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51.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مکاسب محرمه درس های خارج فقه حضرت آیه الله حاج شیخ محمدجواد فاضل لنکرانی دام ظله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30691_1468164448">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2530693_1468164448">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2530695_1468164448">
            <w:r>
              <w:rPr>
                <w:webHidden/>
                <w:rStyle w:val="IndexLink"/>
                <w:rtl w:val="true"/>
              </w:rPr>
              <w:t>پیش گفتار</w:t>
            </w:r>
            <w:r>
              <w:rPr>
                <w:rStyle w:val="IndexLink"/>
                <w:rtl w:val="true"/>
              </w:rPr>
              <w:tab/>
            </w:r>
            <w:r>
              <w:rPr>
                <w:rStyle w:val="IndexLink"/>
              </w:rPr>
              <w:t>16</w:t>
            </w:r>
          </w:hyperlink>
        </w:p>
        <w:p>
          <w:pPr>
            <w:pStyle w:val="Contents2"/>
            <w:tabs>
              <w:tab w:val="clear" w:pos="8743"/>
              <w:tab w:val="right" w:pos="9026" w:leader="dot"/>
            </w:tabs>
            <w:rPr/>
          </w:pPr>
          <w:hyperlink w:anchor="__RefHeading___Toc2530697_1468164448">
            <w:r>
              <w:rPr>
                <w:webHidden/>
                <w:rStyle w:val="IndexLink"/>
                <w:rtl w:val="true"/>
              </w:rPr>
              <w:t>مقدّمه</w:t>
            </w:r>
            <w:r>
              <w:rPr>
                <w:rStyle w:val="IndexLink"/>
                <w:rtl w:val="true"/>
              </w:rPr>
              <w:tab/>
            </w:r>
            <w:r>
              <w:rPr>
                <w:rStyle w:val="IndexLink"/>
              </w:rPr>
              <w:t>18</w:t>
            </w:r>
          </w:hyperlink>
        </w:p>
        <w:p>
          <w:pPr>
            <w:pStyle w:val="Contents3"/>
            <w:tabs>
              <w:tab w:val="clear" w:pos="8459"/>
              <w:tab w:val="right" w:pos="9026" w:leader="dot"/>
            </w:tabs>
            <w:rPr/>
          </w:pPr>
          <w:hyperlink w:anchor="__RefHeading___Toc2530699_1468164448">
            <w:r>
              <w:rPr>
                <w:webHidden/>
                <w:rStyle w:val="IndexLink"/>
                <w:rtl w:val="true"/>
              </w:rPr>
              <w:t>الف</w:t>
            </w:r>
            <w:r>
              <w:rPr>
                <w:rStyle w:val="IndexLink"/>
                <w:rtl w:val="true"/>
              </w:rPr>
              <w:t xml:space="preserve">) </w:t>
            </w:r>
            <w:r>
              <w:rPr>
                <w:rStyle w:val="IndexLink"/>
                <w:rtl w:val="true"/>
              </w:rPr>
              <w:t>اهمّیت بحث</w:t>
            </w:r>
            <w:r>
              <w:rPr>
                <w:rStyle w:val="IndexLink"/>
                <w:rtl w:val="true"/>
              </w:rPr>
              <w:tab/>
            </w:r>
            <w:r>
              <w:rPr>
                <w:rStyle w:val="IndexLink"/>
              </w:rPr>
              <w:t>18</w:t>
            </w:r>
          </w:hyperlink>
        </w:p>
        <w:p>
          <w:pPr>
            <w:pStyle w:val="Contents3"/>
            <w:tabs>
              <w:tab w:val="clear" w:pos="8459"/>
              <w:tab w:val="right" w:pos="9026" w:leader="dot"/>
            </w:tabs>
            <w:rPr/>
          </w:pPr>
          <w:hyperlink w:anchor="__RefHeading___Toc2530701_1468164448">
            <w:r>
              <w:rPr>
                <w:webHidden/>
                <w:rStyle w:val="IndexLink"/>
                <w:rtl w:val="true"/>
              </w:rPr>
              <w:t>ب</w:t>
            </w:r>
            <w:r>
              <w:rPr>
                <w:rStyle w:val="IndexLink"/>
                <w:rtl w:val="true"/>
              </w:rPr>
              <w:t xml:space="preserve">) </w:t>
            </w:r>
            <w:r>
              <w:rPr>
                <w:rStyle w:val="IndexLink"/>
                <w:rtl w:val="true"/>
              </w:rPr>
              <w:t>دربارۀ عنوان کتاب</w:t>
            </w:r>
            <w:r>
              <w:rPr>
                <w:rStyle w:val="IndexLink"/>
                <w:rtl w:val="true"/>
              </w:rPr>
              <w:tab/>
            </w:r>
            <w:r>
              <w:rPr>
                <w:rStyle w:val="IndexLink"/>
              </w:rPr>
              <w:t>19</w:t>
            </w:r>
          </w:hyperlink>
        </w:p>
        <w:p>
          <w:pPr>
            <w:pStyle w:val="Contents2"/>
            <w:tabs>
              <w:tab w:val="clear" w:pos="8743"/>
              <w:tab w:val="right" w:pos="9026" w:leader="dot"/>
            </w:tabs>
            <w:rPr/>
          </w:pPr>
          <w:hyperlink w:anchor="__RefHeading___Toc2530703_1468164448">
            <w:r>
              <w:rPr>
                <w:webHidden/>
                <w:rStyle w:val="IndexLink"/>
                <w:rtl w:val="true"/>
              </w:rPr>
              <w:t>بخش اول</w:t>
            </w:r>
            <w:r>
              <w:rPr>
                <w:rStyle w:val="IndexLink"/>
                <w:rtl w:val="true"/>
              </w:rPr>
              <w:t xml:space="preserve">: </w:t>
            </w:r>
            <w:r>
              <w:rPr>
                <w:rStyle w:val="IndexLink"/>
                <w:rtl w:val="true"/>
              </w:rPr>
              <w:t>کلیات</w:t>
            </w:r>
            <w:r>
              <w:rPr>
                <w:rStyle w:val="IndexLink"/>
                <w:rtl w:val="true"/>
              </w:rPr>
              <w:tab/>
            </w:r>
            <w:r>
              <w:rPr>
                <w:rStyle w:val="IndexLink"/>
              </w:rPr>
              <w:t>22</w:t>
            </w:r>
          </w:hyperlink>
        </w:p>
        <w:p>
          <w:pPr>
            <w:pStyle w:val="Contents3"/>
            <w:tabs>
              <w:tab w:val="clear" w:pos="8459"/>
              <w:tab w:val="right" w:pos="9026" w:leader="dot"/>
            </w:tabs>
            <w:rPr/>
          </w:pPr>
          <w:hyperlink w:anchor="__RefHeading___Toc2530705_1468164448">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2530707_1468164448">
            <w:r>
              <w:rPr>
                <w:webHidden/>
                <w:rStyle w:val="IndexLink"/>
                <w:rtl w:val="true"/>
              </w:rPr>
              <w:t>فصل اوّل</w:t>
            </w:r>
            <w:r>
              <w:rPr>
                <w:rStyle w:val="IndexLink"/>
                <w:rtl w:val="true"/>
              </w:rPr>
              <w:t xml:space="preserve">: </w:t>
            </w:r>
            <w:r>
              <w:rPr>
                <w:rStyle w:val="IndexLink"/>
                <w:rtl w:val="true"/>
              </w:rPr>
              <w:t>روایات عام</w:t>
            </w:r>
            <w:r>
              <w:rPr>
                <w:rStyle w:val="IndexLink"/>
                <w:rtl w:val="true"/>
              </w:rPr>
              <w:tab/>
            </w:r>
            <w:r>
              <w:rPr>
                <w:rStyle w:val="IndexLink"/>
              </w:rPr>
              <w:t>23</w:t>
            </w:r>
          </w:hyperlink>
        </w:p>
        <w:p>
          <w:pPr>
            <w:pStyle w:val="Contents4"/>
            <w:tabs>
              <w:tab w:val="clear" w:pos="8176"/>
              <w:tab w:val="right" w:pos="9026" w:leader="dot"/>
            </w:tabs>
            <w:rPr/>
          </w:pPr>
          <w:hyperlink w:anchor="__RefHeading___Toc2530709_1468164448">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2530711_1468164448">
            <w:r>
              <w:rPr>
                <w:webHidden/>
                <w:rStyle w:val="IndexLink"/>
                <w:rtl w:val="true"/>
              </w:rPr>
              <w:t>گفتار اوّل</w:t>
            </w:r>
            <w:r>
              <w:rPr>
                <w:rStyle w:val="IndexLink"/>
                <w:rtl w:val="true"/>
              </w:rPr>
              <w:t xml:space="preserve">: </w:t>
            </w:r>
            <w:r>
              <w:rPr>
                <w:rStyle w:val="IndexLink"/>
                <w:rtl w:val="true"/>
              </w:rPr>
              <w:t>روایت تحف العقول</w:t>
            </w:r>
            <w:r>
              <w:rPr>
                <w:rStyle w:val="IndexLink"/>
                <w:rtl w:val="true"/>
              </w:rPr>
              <w:tab/>
            </w:r>
            <w:r>
              <w:rPr>
                <w:rStyle w:val="IndexLink"/>
              </w:rPr>
              <w:t>24</w:t>
            </w:r>
          </w:hyperlink>
        </w:p>
        <w:p>
          <w:pPr>
            <w:pStyle w:val="Contents5"/>
            <w:tabs>
              <w:tab w:val="clear" w:pos="7892"/>
              <w:tab w:val="right" w:pos="9026" w:leader="dot"/>
            </w:tabs>
            <w:rPr/>
          </w:pPr>
          <w:hyperlink w:anchor="__RefHeading___Toc2530713_1468164448">
            <w:r>
              <w:rPr>
                <w:webHidden/>
                <w:rStyle w:val="IndexLink"/>
                <w:rtl w:val="true"/>
              </w:rPr>
              <w:t>اشارة</w:t>
            </w:r>
            <w:r>
              <w:rPr>
                <w:rStyle w:val="IndexLink"/>
                <w:rtl w:val="true"/>
              </w:rPr>
              <w:tab/>
            </w:r>
            <w:r>
              <w:rPr>
                <w:rStyle w:val="IndexLink"/>
              </w:rPr>
              <w:t>24</w:t>
            </w:r>
          </w:hyperlink>
        </w:p>
        <w:p>
          <w:pPr>
            <w:pStyle w:val="Contents5"/>
            <w:tabs>
              <w:tab w:val="clear" w:pos="7892"/>
              <w:tab w:val="right" w:pos="9026" w:leader="dot"/>
            </w:tabs>
            <w:rPr/>
          </w:pPr>
          <w:hyperlink w:anchor="__RefHeading___Toc2530715_1468164448">
            <w:r>
              <w:rPr>
                <w:webHidden/>
                <w:rStyle w:val="IndexLink"/>
                <w:rtl w:val="true"/>
              </w:rPr>
              <w:t>بند اوّل</w:t>
            </w:r>
            <w:r>
              <w:rPr>
                <w:rStyle w:val="IndexLink"/>
                <w:rtl w:val="true"/>
              </w:rPr>
              <w:t xml:space="preserve">: </w:t>
            </w:r>
            <w:r>
              <w:rPr>
                <w:rStyle w:val="IndexLink"/>
                <w:rtl w:val="true"/>
              </w:rPr>
              <w:t>متن روایت</w:t>
            </w:r>
            <w:r>
              <w:rPr>
                <w:rStyle w:val="IndexLink"/>
                <w:rtl w:val="true"/>
              </w:rPr>
              <w:tab/>
            </w:r>
            <w:r>
              <w:rPr>
                <w:rStyle w:val="IndexLink"/>
              </w:rPr>
              <w:t>24</w:t>
            </w:r>
          </w:hyperlink>
        </w:p>
        <w:p>
          <w:pPr>
            <w:pStyle w:val="Contents5"/>
            <w:tabs>
              <w:tab w:val="clear" w:pos="7892"/>
              <w:tab w:val="right" w:pos="9026" w:leader="dot"/>
            </w:tabs>
            <w:rPr/>
          </w:pPr>
          <w:hyperlink w:anchor="__RefHeading___Toc2530717_1468164448">
            <w:r>
              <w:rPr>
                <w:webHidden/>
                <w:rStyle w:val="IndexLink"/>
                <w:rtl w:val="true"/>
              </w:rPr>
              <w:t>بند دوم</w:t>
            </w:r>
            <w:r>
              <w:rPr>
                <w:rStyle w:val="IndexLink"/>
                <w:rtl w:val="true"/>
              </w:rPr>
              <w:t xml:space="preserve">: </w:t>
            </w:r>
            <w:r>
              <w:rPr>
                <w:rStyle w:val="IndexLink"/>
                <w:rtl w:val="true"/>
              </w:rPr>
              <w:t>بررسی سند روایت</w:t>
            </w:r>
            <w:r>
              <w:rPr>
                <w:rStyle w:val="IndexLink"/>
                <w:rtl w:val="true"/>
              </w:rPr>
              <w:tab/>
            </w:r>
            <w:r>
              <w:rPr>
                <w:rStyle w:val="IndexLink"/>
              </w:rPr>
              <w:t>29</w:t>
            </w:r>
          </w:hyperlink>
        </w:p>
        <w:p>
          <w:pPr>
            <w:pStyle w:val="Contents6"/>
            <w:tabs>
              <w:tab w:val="clear" w:pos="7609"/>
              <w:tab w:val="right" w:pos="9026" w:leader="dot"/>
            </w:tabs>
            <w:rPr/>
          </w:pPr>
          <w:hyperlink w:anchor="__RefHeading___Toc2530719_1468164448">
            <w:r>
              <w:rPr>
                <w:webHidden/>
                <w:rStyle w:val="IndexLink"/>
                <w:rtl w:val="true"/>
              </w:rPr>
              <w:t>اشارة</w:t>
            </w:r>
            <w:r>
              <w:rPr>
                <w:rStyle w:val="IndexLink"/>
                <w:rtl w:val="true"/>
              </w:rPr>
              <w:tab/>
            </w:r>
            <w:r>
              <w:rPr>
                <w:rStyle w:val="IndexLink"/>
              </w:rPr>
              <w:t>29</w:t>
            </w:r>
          </w:hyperlink>
        </w:p>
        <w:p>
          <w:pPr>
            <w:pStyle w:val="Contents6"/>
            <w:tabs>
              <w:tab w:val="clear" w:pos="7609"/>
              <w:tab w:val="right" w:pos="9026" w:leader="dot"/>
            </w:tabs>
            <w:rPr/>
          </w:pPr>
          <w:hyperlink w:anchor="__RefHeading___Toc2530721_1468164448">
            <w:r>
              <w:rPr>
                <w:webHidden/>
                <w:rStyle w:val="IndexLink"/>
                <w:rtl w:val="true"/>
              </w:rPr>
              <w:t>الف</w:t>
            </w:r>
            <w:r>
              <w:rPr>
                <w:rStyle w:val="IndexLink"/>
                <w:rtl w:val="true"/>
              </w:rPr>
              <w:t xml:space="preserve">) </w:t>
            </w:r>
            <w:r>
              <w:rPr>
                <w:rStyle w:val="IndexLink"/>
                <w:rtl w:val="true"/>
              </w:rPr>
              <w:t>اشکالات سندی</w:t>
            </w:r>
            <w:r>
              <w:rPr>
                <w:rStyle w:val="IndexLink"/>
                <w:rtl w:val="true"/>
              </w:rPr>
              <w:tab/>
            </w:r>
            <w:r>
              <w:rPr>
                <w:rStyle w:val="IndexLink"/>
              </w:rPr>
              <w:t>31</w:t>
            </w:r>
          </w:hyperlink>
        </w:p>
        <w:p>
          <w:pPr>
            <w:pStyle w:val="Contents6"/>
            <w:tabs>
              <w:tab w:val="clear" w:pos="7609"/>
              <w:tab w:val="right" w:pos="9026" w:leader="dot"/>
            </w:tabs>
            <w:rPr/>
          </w:pPr>
          <w:hyperlink w:anchor="__RefHeading___Toc2530723_1468164448">
            <w:r>
              <w:rPr>
                <w:webHidden/>
                <w:rStyle w:val="IndexLink"/>
              </w:rPr>
              <w:t>1</w:t>
            </w:r>
            <w:r>
              <w:rPr>
                <w:rStyle w:val="IndexLink"/>
                <w:rtl w:val="true"/>
              </w:rPr>
              <w:t xml:space="preserve">- </w:t>
            </w:r>
            <w:r>
              <w:rPr>
                <w:rStyle w:val="IndexLink"/>
                <w:rtl w:val="true"/>
              </w:rPr>
              <w:t>مرسل بودن روایت</w:t>
            </w:r>
            <w:r>
              <w:rPr>
                <w:rStyle w:val="IndexLink"/>
                <w:rtl w:val="true"/>
              </w:rPr>
              <w:tab/>
            </w:r>
            <w:r>
              <w:rPr>
                <w:rStyle w:val="IndexLink"/>
              </w:rPr>
              <w:t>31</w:t>
            </w:r>
          </w:hyperlink>
        </w:p>
        <w:p>
          <w:pPr>
            <w:pStyle w:val="Contents6"/>
            <w:tabs>
              <w:tab w:val="clear" w:pos="7609"/>
              <w:tab w:val="right" w:pos="9026" w:leader="dot"/>
            </w:tabs>
            <w:rPr/>
          </w:pPr>
          <w:hyperlink w:anchor="__RefHeading___Toc2530725_1468164448">
            <w:r>
              <w:rPr>
                <w:webHidden/>
                <w:rStyle w:val="IndexLink"/>
              </w:rPr>
              <w:t>2</w:t>
            </w:r>
            <w:r>
              <w:rPr>
                <w:rStyle w:val="IndexLink"/>
                <w:rtl w:val="true"/>
              </w:rPr>
              <w:t xml:space="preserve">- </w:t>
            </w:r>
            <w:r>
              <w:rPr>
                <w:rStyle w:val="IndexLink"/>
                <w:rtl w:val="true"/>
              </w:rPr>
              <w:t>ذکر نشدن در جوامع روایی</w:t>
            </w:r>
            <w:r>
              <w:rPr>
                <w:rStyle w:val="IndexLink"/>
                <w:rtl w:val="true"/>
              </w:rPr>
              <w:tab/>
            </w:r>
            <w:r>
              <w:rPr>
                <w:rStyle w:val="IndexLink"/>
              </w:rPr>
              <w:t>33</w:t>
            </w:r>
          </w:hyperlink>
        </w:p>
        <w:p>
          <w:pPr>
            <w:pStyle w:val="Contents6"/>
            <w:tabs>
              <w:tab w:val="clear" w:pos="7609"/>
              <w:tab w:val="right" w:pos="9026" w:leader="dot"/>
            </w:tabs>
            <w:rPr/>
          </w:pPr>
          <w:hyperlink w:anchor="__RefHeading___Toc2530727_1468164448">
            <w:r>
              <w:rPr>
                <w:webHidden/>
                <w:rStyle w:val="IndexLink"/>
                <w:rtl w:val="true"/>
              </w:rPr>
              <w:t>ب</w:t>
            </w:r>
            <w:r>
              <w:rPr>
                <w:rStyle w:val="IndexLink"/>
                <w:rtl w:val="true"/>
              </w:rPr>
              <w:t xml:space="preserve">) </w:t>
            </w:r>
            <w:r>
              <w:rPr>
                <w:rStyle w:val="IndexLink"/>
                <w:rtl w:val="true"/>
              </w:rPr>
              <w:t>راه‌های تصحیح سند روایت</w:t>
            </w:r>
            <w:r>
              <w:rPr>
                <w:rStyle w:val="IndexLink"/>
                <w:rtl w:val="true"/>
              </w:rPr>
              <w:tab/>
            </w:r>
            <w:r>
              <w:rPr>
                <w:rStyle w:val="IndexLink"/>
              </w:rPr>
              <w:t>33</w:t>
            </w:r>
          </w:hyperlink>
        </w:p>
        <w:p>
          <w:pPr>
            <w:pStyle w:val="Contents6"/>
            <w:tabs>
              <w:tab w:val="clear" w:pos="7609"/>
              <w:tab w:val="right" w:pos="9026" w:leader="dot"/>
            </w:tabs>
            <w:rPr/>
          </w:pPr>
          <w:hyperlink w:anchor="__RefHeading___Toc2530729_1468164448">
            <w:r>
              <w:rPr>
                <w:webHidden/>
                <w:rStyle w:val="IndexLink"/>
              </w:rPr>
              <w:t>1</w:t>
            </w:r>
            <w:r>
              <w:rPr>
                <w:rStyle w:val="IndexLink"/>
                <w:rtl w:val="true"/>
              </w:rPr>
              <w:t xml:space="preserve">- </w:t>
            </w:r>
            <w:r>
              <w:rPr>
                <w:rStyle w:val="IndexLink"/>
                <w:rtl w:val="true"/>
              </w:rPr>
              <w:t>شهرت عملی</w:t>
            </w:r>
            <w:r>
              <w:rPr>
                <w:rStyle w:val="IndexLink"/>
                <w:rtl w:val="true"/>
              </w:rPr>
              <w:tab/>
            </w:r>
            <w:r>
              <w:rPr>
                <w:rStyle w:val="IndexLink"/>
              </w:rPr>
              <w:t>33</w:t>
            </w:r>
          </w:hyperlink>
        </w:p>
        <w:p>
          <w:pPr>
            <w:pStyle w:val="Contents6"/>
            <w:tabs>
              <w:tab w:val="clear" w:pos="7609"/>
              <w:tab w:val="right" w:pos="9026" w:leader="dot"/>
            </w:tabs>
            <w:rPr/>
          </w:pPr>
          <w:hyperlink w:anchor="__RefHeading___Toc2530731_1468164448">
            <w:r>
              <w:rPr>
                <w:webHidden/>
                <w:rStyle w:val="IndexLink"/>
              </w:rPr>
              <w:t>2</w:t>
            </w:r>
            <w:r>
              <w:rPr>
                <w:rStyle w:val="IndexLink"/>
                <w:rtl w:val="true"/>
              </w:rPr>
              <w:t xml:space="preserve">- </w:t>
            </w:r>
            <w:r>
              <w:rPr>
                <w:rStyle w:val="IndexLink"/>
                <w:rtl w:val="true"/>
              </w:rPr>
              <w:t xml:space="preserve">استفاده از کلمۀ </w:t>
            </w:r>
            <w:r>
              <w:rPr>
                <w:rStyle w:val="IndexLink"/>
                <w:rtl w:val="true"/>
              </w:rPr>
              <w:t>«</w:t>
            </w:r>
            <w:r>
              <w:rPr>
                <w:rStyle w:val="IndexLink"/>
                <w:rtl w:val="true"/>
              </w:rPr>
              <w:t>قال</w:t>
            </w:r>
            <w:r>
              <w:rPr>
                <w:rStyle w:val="IndexLink"/>
                <w:rtl w:val="true"/>
              </w:rPr>
              <w:t xml:space="preserve">» </w:t>
            </w:r>
            <w:r>
              <w:rPr>
                <w:rStyle w:val="IndexLink"/>
                <w:rtl w:val="true"/>
              </w:rPr>
              <w:t>در روایت</w:t>
            </w:r>
            <w:r>
              <w:rPr>
                <w:rStyle w:val="IndexLink"/>
                <w:rtl w:val="true"/>
              </w:rPr>
              <w:tab/>
            </w:r>
            <w:r>
              <w:rPr>
                <w:rStyle w:val="IndexLink"/>
              </w:rPr>
              <w:t>36</w:t>
            </w:r>
          </w:hyperlink>
        </w:p>
        <w:p>
          <w:pPr>
            <w:pStyle w:val="Contents6"/>
            <w:tabs>
              <w:tab w:val="clear" w:pos="7609"/>
              <w:tab w:val="right" w:pos="9026" w:leader="dot"/>
            </w:tabs>
            <w:rPr/>
          </w:pPr>
          <w:hyperlink w:anchor="__RefHeading___Toc2530733_1468164448">
            <w:r>
              <w:rPr>
                <w:webHidden/>
                <w:rStyle w:val="IndexLink"/>
              </w:rPr>
              <w:t>3</w:t>
            </w:r>
            <w:r>
              <w:rPr>
                <w:rStyle w:val="IndexLink"/>
                <w:rtl w:val="true"/>
              </w:rPr>
              <w:t xml:space="preserve">- </w:t>
            </w:r>
            <w:r>
              <w:rPr>
                <w:rStyle w:val="IndexLink"/>
                <w:rtl w:val="true"/>
              </w:rPr>
              <w:t>وثوق صدوری روایت</w:t>
            </w:r>
            <w:r>
              <w:rPr>
                <w:rStyle w:val="IndexLink"/>
                <w:rtl w:val="true"/>
              </w:rPr>
              <w:tab/>
            </w:r>
            <w:r>
              <w:rPr>
                <w:rStyle w:val="IndexLink"/>
              </w:rPr>
              <w:t>37</w:t>
            </w:r>
          </w:hyperlink>
        </w:p>
        <w:p>
          <w:pPr>
            <w:pStyle w:val="Contents5"/>
            <w:tabs>
              <w:tab w:val="clear" w:pos="7892"/>
              <w:tab w:val="right" w:pos="9026" w:leader="dot"/>
            </w:tabs>
            <w:rPr/>
          </w:pPr>
          <w:hyperlink w:anchor="__RefHeading___Toc2530735_1468164448">
            <w:r>
              <w:rPr>
                <w:webHidden/>
                <w:rStyle w:val="IndexLink"/>
                <w:rtl w:val="true"/>
              </w:rPr>
              <w:t>بند سوم</w:t>
            </w:r>
            <w:r>
              <w:rPr>
                <w:rStyle w:val="IndexLink"/>
                <w:rtl w:val="true"/>
              </w:rPr>
              <w:t xml:space="preserve">: </w:t>
            </w:r>
            <w:r>
              <w:rPr>
                <w:rStyle w:val="IndexLink"/>
                <w:rtl w:val="true"/>
              </w:rPr>
              <w:t>بررسی مضمون روایت</w:t>
            </w:r>
            <w:r>
              <w:rPr>
                <w:rStyle w:val="IndexLink"/>
                <w:rtl w:val="true"/>
              </w:rPr>
              <w:tab/>
            </w:r>
            <w:r>
              <w:rPr>
                <w:rStyle w:val="IndexLink"/>
              </w:rPr>
              <w:t>38</w:t>
            </w:r>
          </w:hyperlink>
        </w:p>
        <w:p>
          <w:pPr>
            <w:pStyle w:val="Contents6"/>
            <w:tabs>
              <w:tab w:val="clear" w:pos="7609"/>
              <w:tab w:val="right" w:pos="9026" w:leader="dot"/>
            </w:tabs>
            <w:rPr/>
          </w:pPr>
          <w:hyperlink w:anchor="__RefHeading___Toc2530737_1468164448">
            <w:r>
              <w:rPr>
                <w:webHidden/>
                <w:rStyle w:val="IndexLink"/>
                <w:rtl w:val="true"/>
              </w:rPr>
              <w:t>اشارة</w:t>
            </w:r>
            <w:r>
              <w:rPr>
                <w:rStyle w:val="IndexLink"/>
                <w:rtl w:val="true"/>
              </w:rPr>
              <w:tab/>
            </w:r>
            <w:r>
              <w:rPr>
                <w:rStyle w:val="IndexLink"/>
              </w:rPr>
              <w:t>38</w:t>
            </w:r>
          </w:hyperlink>
        </w:p>
        <w:p>
          <w:pPr>
            <w:pStyle w:val="Contents6"/>
            <w:tabs>
              <w:tab w:val="clear" w:pos="7609"/>
              <w:tab w:val="right" w:pos="9026" w:leader="dot"/>
            </w:tabs>
            <w:rPr/>
          </w:pPr>
          <w:hyperlink w:anchor="__RefHeading___Toc2530739_1468164448">
            <w:r>
              <w:rPr>
                <w:webHidden/>
                <w:rStyle w:val="IndexLink"/>
                <w:rtl w:val="true"/>
              </w:rPr>
              <w:t>الف</w:t>
            </w:r>
            <w:r>
              <w:rPr>
                <w:rStyle w:val="IndexLink"/>
                <w:rtl w:val="true"/>
              </w:rPr>
              <w:t xml:space="preserve">) </w:t>
            </w:r>
            <w:r>
              <w:rPr>
                <w:rStyle w:val="IndexLink"/>
                <w:rtl w:val="true"/>
              </w:rPr>
              <w:t>اشکالات مربوط به متن روایت</w:t>
            </w:r>
            <w:r>
              <w:rPr>
                <w:rStyle w:val="IndexLink"/>
                <w:rtl w:val="true"/>
              </w:rPr>
              <w:tab/>
            </w:r>
            <w:r>
              <w:rPr>
                <w:rStyle w:val="IndexLink"/>
              </w:rPr>
              <w:t>38</w:t>
            </w:r>
          </w:hyperlink>
        </w:p>
        <w:p>
          <w:pPr>
            <w:pStyle w:val="Contents6"/>
            <w:tabs>
              <w:tab w:val="clear" w:pos="7609"/>
              <w:tab w:val="right" w:pos="9026" w:leader="dot"/>
            </w:tabs>
            <w:rPr/>
          </w:pPr>
          <w:hyperlink w:anchor="__RefHeading___Toc2530741_1468164448">
            <w:r>
              <w:rPr>
                <w:webHidden/>
                <w:rStyle w:val="IndexLink"/>
              </w:rPr>
              <w:t>1</w:t>
            </w:r>
            <w:r>
              <w:rPr>
                <w:rStyle w:val="IndexLink"/>
                <w:rtl w:val="true"/>
              </w:rPr>
              <w:t xml:space="preserve">- </w:t>
            </w:r>
            <w:r>
              <w:rPr>
                <w:rStyle w:val="IndexLink"/>
                <w:rtl w:val="true"/>
              </w:rPr>
              <w:t>اضطراب در متن روایت</w:t>
            </w:r>
            <w:r>
              <w:rPr>
                <w:rStyle w:val="IndexLink"/>
                <w:rtl w:val="true"/>
              </w:rPr>
              <w:tab/>
            </w:r>
            <w:r>
              <w:rPr>
                <w:rStyle w:val="IndexLink"/>
              </w:rPr>
              <w:t>38</w:t>
            </w:r>
          </w:hyperlink>
        </w:p>
        <w:p>
          <w:pPr>
            <w:pStyle w:val="Contents6"/>
            <w:tabs>
              <w:tab w:val="clear" w:pos="7609"/>
              <w:tab w:val="right" w:pos="9026" w:leader="dot"/>
            </w:tabs>
            <w:rPr/>
          </w:pPr>
          <w:hyperlink w:anchor="__RefHeading___Toc2530743_1468164448">
            <w:r>
              <w:rPr>
                <w:webHidden/>
                <w:rStyle w:val="IndexLink"/>
              </w:rPr>
              <w:t>2</w:t>
            </w:r>
            <w:r>
              <w:rPr>
                <w:rStyle w:val="IndexLink"/>
                <w:rtl w:val="true"/>
              </w:rPr>
              <w:t xml:space="preserve">- </w:t>
            </w:r>
            <w:r>
              <w:rPr>
                <w:rStyle w:val="IndexLink"/>
                <w:rtl w:val="true"/>
              </w:rPr>
              <w:t>فتوا ندادن فقها به برخی از بخش‌های روایت</w:t>
            </w:r>
            <w:r>
              <w:rPr>
                <w:rStyle w:val="IndexLink"/>
                <w:rtl w:val="true"/>
              </w:rPr>
              <w:tab/>
            </w:r>
            <w:r>
              <w:rPr>
                <w:rStyle w:val="IndexLink"/>
              </w:rPr>
              <w:t>39</w:t>
            </w:r>
          </w:hyperlink>
        </w:p>
        <w:p>
          <w:pPr>
            <w:pStyle w:val="Contents6"/>
            <w:tabs>
              <w:tab w:val="clear" w:pos="7609"/>
              <w:tab w:val="right" w:pos="9026" w:leader="dot"/>
            </w:tabs>
            <w:rPr/>
          </w:pPr>
          <w:hyperlink w:anchor="__RefHeading___Toc2530745_1468164448">
            <w:r>
              <w:rPr>
                <w:webHidden/>
                <w:rStyle w:val="IndexLink"/>
              </w:rPr>
              <w:t>3</w:t>
            </w:r>
            <w:r>
              <w:rPr>
                <w:rStyle w:val="IndexLink"/>
                <w:rtl w:val="true"/>
              </w:rPr>
              <w:t xml:space="preserve">- </w:t>
            </w:r>
            <w:r>
              <w:rPr>
                <w:rStyle w:val="IndexLink"/>
                <w:rtl w:val="true"/>
              </w:rPr>
              <w:t>صحیح نبودن تقسیم موجود در روایت</w:t>
            </w:r>
            <w:r>
              <w:rPr>
                <w:rStyle w:val="IndexLink"/>
                <w:rtl w:val="true"/>
              </w:rPr>
              <w:tab/>
            </w:r>
            <w:r>
              <w:rPr>
                <w:rStyle w:val="IndexLink"/>
              </w:rPr>
              <w:t>41</w:t>
            </w:r>
          </w:hyperlink>
        </w:p>
        <w:p>
          <w:pPr>
            <w:pStyle w:val="Contents6"/>
            <w:tabs>
              <w:tab w:val="clear" w:pos="7609"/>
              <w:tab w:val="right" w:pos="9026" w:leader="dot"/>
            </w:tabs>
            <w:rPr/>
          </w:pPr>
          <w:hyperlink w:anchor="__RefHeading___Toc2530747_1468164448">
            <w:r>
              <w:rPr>
                <w:webHidden/>
                <w:rStyle w:val="IndexLink"/>
              </w:rPr>
              <w:t>4</w:t>
            </w:r>
            <w:r>
              <w:rPr>
                <w:rStyle w:val="IndexLink"/>
                <w:rtl w:val="true"/>
              </w:rPr>
              <w:t xml:space="preserve">- </w:t>
            </w:r>
            <w:r>
              <w:rPr>
                <w:rStyle w:val="IndexLink"/>
                <w:rtl w:val="true"/>
              </w:rPr>
              <w:t>تعارض بین فقرات روایت</w:t>
            </w:r>
            <w:r>
              <w:rPr>
                <w:rStyle w:val="IndexLink"/>
                <w:rtl w:val="true"/>
              </w:rPr>
              <w:tab/>
            </w:r>
            <w:r>
              <w:rPr>
                <w:rStyle w:val="IndexLink"/>
              </w:rPr>
              <w:t>44</w:t>
            </w:r>
          </w:hyperlink>
        </w:p>
        <w:p>
          <w:pPr>
            <w:pStyle w:val="Contents6"/>
            <w:tabs>
              <w:tab w:val="clear" w:pos="7609"/>
              <w:tab w:val="right" w:pos="9026" w:leader="dot"/>
            </w:tabs>
            <w:rPr/>
          </w:pPr>
          <w:hyperlink w:anchor="__RefHeading___Toc2530749_1468164448">
            <w:r>
              <w:rPr>
                <w:webHidden/>
                <w:rStyle w:val="IndexLink"/>
              </w:rPr>
              <w:t>5</w:t>
            </w:r>
            <w:r>
              <w:rPr>
                <w:rStyle w:val="IndexLink"/>
                <w:rtl w:val="true"/>
              </w:rPr>
              <w:t xml:space="preserve">- </w:t>
            </w:r>
            <w:r>
              <w:rPr>
                <w:rStyle w:val="IndexLink"/>
                <w:rtl w:val="true"/>
              </w:rPr>
              <w:t xml:space="preserve">روایت تنها بر </w:t>
            </w:r>
            <w:r>
              <w:rPr>
                <w:rStyle w:val="IndexLink"/>
                <w:rtl w:val="true"/>
              </w:rPr>
              <w:t>«</w:t>
            </w:r>
            <w:r>
              <w:rPr>
                <w:rStyle w:val="IndexLink"/>
                <w:rtl w:val="true"/>
              </w:rPr>
              <w:t>حرمت اعانۀ بر اثم</w:t>
            </w:r>
            <w:r>
              <w:rPr>
                <w:rStyle w:val="IndexLink"/>
                <w:rtl w:val="true"/>
              </w:rPr>
              <w:t xml:space="preserve">» </w:t>
            </w:r>
            <w:r>
              <w:rPr>
                <w:rStyle w:val="IndexLink"/>
                <w:rtl w:val="true"/>
              </w:rPr>
              <w:t>دلالت دارد</w:t>
            </w:r>
            <w:r>
              <w:rPr>
                <w:rStyle w:val="IndexLink"/>
                <w:rtl w:val="true"/>
              </w:rPr>
              <w:tab/>
            </w:r>
            <w:r>
              <w:rPr>
                <w:rStyle w:val="IndexLink"/>
              </w:rPr>
              <w:t>47</w:t>
            </w:r>
          </w:hyperlink>
        </w:p>
        <w:p>
          <w:pPr>
            <w:pStyle w:val="Contents6"/>
            <w:tabs>
              <w:tab w:val="clear" w:pos="7609"/>
              <w:tab w:val="right" w:pos="9026" w:leader="dot"/>
            </w:tabs>
            <w:rPr/>
          </w:pPr>
          <w:hyperlink w:anchor="__RefHeading___Toc2530751_1468164448">
            <w:r>
              <w:rPr>
                <w:webHidden/>
                <w:rStyle w:val="IndexLink"/>
                <w:rtl w:val="true"/>
              </w:rPr>
              <w:t>ب</w:t>
            </w:r>
            <w:r>
              <w:rPr>
                <w:rStyle w:val="IndexLink"/>
                <w:rtl w:val="true"/>
              </w:rPr>
              <w:t xml:space="preserve">) </w:t>
            </w:r>
            <w:r>
              <w:rPr>
                <w:rStyle w:val="IndexLink"/>
                <w:rtl w:val="true"/>
              </w:rPr>
              <w:t>دیدگاه برگزیده</w:t>
            </w:r>
            <w:r>
              <w:rPr>
                <w:rStyle w:val="IndexLink"/>
                <w:rtl w:val="true"/>
              </w:rPr>
              <w:tab/>
            </w:r>
            <w:r>
              <w:rPr>
                <w:rStyle w:val="IndexLink"/>
              </w:rPr>
              <w:t>48</w:t>
            </w:r>
          </w:hyperlink>
        </w:p>
        <w:p>
          <w:pPr>
            <w:pStyle w:val="Contents5"/>
            <w:tabs>
              <w:tab w:val="clear" w:pos="7892"/>
              <w:tab w:val="right" w:pos="9026" w:leader="dot"/>
            </w:tabs>
            <w:rPr/>
          </w:pPr>
          <w:hyperlink w:anchor="__RefHeading___Toc2530753_1468164448">
            <w:r>
              <w:rPr>
                <w:webHidden/>
                <w:rStyle w:val="IndexLink"/>
                <w:rtl w:val="true"/>
              </w:rPr>
              <w:t>بند چهارم</w:t>
            </w:r>
            <w:r>
              <w:rPr>
                <w:rStyle w:val="IndexLink"/>
                <w:rtl w:val="true"/>
              </w:rPr>
              <w:t xml:space="preserve">: </w:t>
            </w:r>
            <w:r>
              <w:rPr>
                <w:rStyle w:val="IndexLink"/>
                <w:rtl w:val="true"/>
              </w:rPr>
              <w:t>نوع حکم شرعی مستفاد از روایت تحف العقول</w:t>
            </w:r>
            <w:r>
              <w:rPr>
                <w:rStyle w:val="IndexLink"/>
                <w:rtl w:val="true"/>
              </w:rPr>
              <w:tab/>
            </w:r>
            <w:r>
              <w:rPr>
                <w:rStyle w:val="IndexLink"/>
              </w:rPr>
              <w:t>50</w:t>
            </w:r>
          </w:hyperlink>
        </w:p>
        <w:p>
          <w:pPr>
            <w:pStyle w:val="Contents6"/>
            <w:tabs>
              <w:tab w:val="clear" w:pos="7609"/>
              <w:tab w:val="right" w:pos="9026" w:leader="dot"/>
            </w:tabs>
            <w:rPr/>
          </w:pPr>
          <w:hyperlink w:anchor="__RefHeading___Toc2530755_1468164448">
            <w:r>
              <w:rPr>
                <w:webHidden/>
                <w:rStyle w:val="IndexLink"/>
                <w:rtl w:val="true"/>
              </w:rPr>
              <w:t>اشارة</w:t>
            </w:r>
            <w:r>
              <w:rPr>
                <w:rStyle w:val="IndexLink"/>
                <w:rtl w:val="true"/>
              </w:rPr>
              <w:tab/>
            </w:r>
            <w:r>
              <w:rPr>
                <w:rStyle w:val="IndexLink"/>
              </w:rPr>
              <w:t>50</w:t>
            </w:r>
          </w:hyperlink>
        </w:p>
        <w:p>
          <w:pPr>
            <w:pStyle w:val="Contents6"/>
            <w:tabs>
              <w:tab w:val="clear" w:pos="7609"/>
              <w:tab w:val="right" w:pos="9026" w:leader="dot"/>
            </w:tabs>
            <w:rPr/>
          </w:pPr>
          <w:hyperlink w:anchor="__RefHeading___Toc2530757_1468164448">
            <w:r>
              <w:rPr>
                <w:webHidden/>
                <w:rStyle w:val="IndexLink"/>
                <w:rtl w:val="true"/>
              </w:rPr>
              <w:t>الف</w:t>
            </w:r>
            <w:r>
              <w:rPr>
                <w:rStyle w:val="IndexLink"/>
                <w:rtl w:val="true"/>
              </w:rPr>
              <w:t xml:space="preserve">) </w:t>
            </w:r>
            <w:r>
              <w:rPr>
                <w:rStyle w:val="IndexLink"/>
                <w:rtl w:val="true"/>
              </w:rPr>
              <w:t>راهکارهای سیّد یزدی</w:t>
            </w:r>
            <w:r>
              <w:rPr>
                <w:rStyle w:val="IndexLink"/>
                <w:rtl w:val="true"/>
              </w:rPr>
              <w:tab/>
            </w:r>
            <w:r>
              <w:rPr>
                <w:rStyle w:val="IndexLink"/>
              </w:rPr>
              <w:t>50</w:t>
            </w:r>
          </w:hyperlink>
        </w:p>
        <w:p>
          <w:pPr>
            <w:pStyle w:val="Contents6"/>
            <w:tabs>
              <w:tab w:val="clear" w:pos="7609"/>
              <w:tab w:val="right" w:pos="9026" w:leader="dot"/>
            </w:tabs>
            <w:rPr/>
          </w:pPr>
          <w:hyperlink w:anchor="__RefHeading___Toc2530759_1468164448">
            <w:r>
              <w:rPr>
                <w:webHidden/>
                <w:rStyle w:val="IndexLink"/>
                <w:rtl w:val="true"/>
              </w:rPr>
              <w:t>ب</w:t>
            </w:r>
            <w:r>
              <w:rPr>
                <w:rStyle w:val="IndexLink"/>
                <w:rtl w:val="true"/>
              </w:rPr>
              <w:t xml:space="preserve">) </w:t>
            </w:r>
            <w:r>
              <w:rPr>
                <w:rStyle w:val="IndexLink"/>
                <w:rtl w:val="true"/>
              </w:rPr>
              <w:t>عمومیت حلال و حرام نسبت به حکم تکلیفی و وضعی</w:t>
            </w:r>
            <w:r>
              <w:rPr>
                <w:rStyle w:val="IndexLink"/>
                <w:rtl w:val="true"/>
              </w:rPr>
              <w:tab/>
            </w:r>
            <w:r>
              <w:rPr>
                <w:rStyle w:val="IndexLink"/>
              </w:rPr>
              <w:t>52</w:t>
            </w:r>
          </w:hyperlink>
        </w:p>
        <w:p>
          <w:pPr>
            <w:pStyle w:val="Contents6"/>
            <w:tabs>
              <w:tab w:val="clear" w:pos="7609"/>
              <w:tab w:val="right" w:pos="9026" w:leader="dot"/>
            </w:tabs>
            <w:rPr/>
          </w:pPr>
          <w:hyperlink w:anchor="__RefHeading___Toc2530761_1468164448">
            <w:r>
              <w:rPr>
                <w:webHidden/>
                <w:rStyle w:val="IndexLink"/>
                <w:rtl w:val="true"/>
              </w:rPr>
              <w:t>ج</w:t>
            </w:r>
            <w:r>
              <w:rPr>
                <w:rStyle w:val="IndexLink"/>
                <w:rtl w:val="true"/>
              </w:rPr>
              <w:t xml:space="preserve">) </w:t>
            </w:r>
            <w:r>
              <w:rPr>
                <w:rStyle w:val="IndexLink"/>
                <w:rtl w:val="true"/>
              </w:rPr>
              <w:t>دیدگاه برگزیده</w:t>
            </w:r>
            <w:r>
              <w:rPr>
                <w:rStyle w:val="IndexLink"/>
                <w:rtl w:val="true"/>
              </w:rPr>
              <w:tab/>
            </w:r>
            <w:r>
              <w:rPr>
                <w:rStyle w:val="IndexLink"/>
              </w:rPr>
              <w:t>53</w:t>
            </w:r>
          </w:hyperlink>
        </w:p>
        <w:p>
          <w:pPr>
            <w:pStyle w:val="Contents4"/>
            <w:tabs>
              <w:tab w:val="clear" w:pos="8176"/>
              <w:tab w:val="right" w:pos="9026" w:leader="dot"/>
            </w:tabs>
            <w:rPr/>
          </w:pPr>
          <w:hyperlink w:anchor="__RefHeading___Toc2530763_1468164448">
            <w:r>
              <w:rPr>
                <w:webHidden/>
                <w:rStyle w:val="IndexLink"/>
                <w:rtl w:val="true"/>
              </w:rPr>
              <w:t>گفتار دوم</w:t>
            </w:r>
            <w:r>
              <w:rPr>
                <w:rStyle w:val="IndexLink"/>
                <w:rtl w:val="true"/>
              </w:rPr>
              <w:t xml:space="preserve">: </w:t>
            </w:r>
            <w:r>
              <w:rPr>
                <w:rStyle w:val="IndexLink"/>
                <w:rtl w:val="true"/>
              </w:rPr>
              <w:t>روایت فقه الرضا علیه السلام</w:t>
            </w:r>
            <w:r>
              <w:rPr>
                <w:rStyle w:val="IndexLink"/>
                <w:rtl w:val="true"/>
              </w:rPr>
              <w:tab/>
            </w:r>
            <w:r>
              <w:rPr>
                <w:rStyle w:val="IndexLink"/>
              </w:rPr>
              <w:t>53</w:t>
            </w:r>
          </w:hyperlink>
        </w:p>
        <w:p>
          <w:pPr>
            <w:pStyle w:val="Contents5"/>
            <w:tabs>
              <w:tab w:val="clear" w:pos="7892"/>
              <w:tab w:val="right" w:pos="9026" w:leader="dot"/>
            </w:tabs>
            <w:rPr/>
          </w:pPr>
          <w:hyperlink w:anchor="__RefHeading___Toc2530765_1468164448">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2530767_1468164448">
            <w:r>
              <w:rPr>
                <w:webHidden/>
                <w:rStyle w:val="IndexLink"/>
                <w:rtl w:val="true"/>
              </w:rPr>
              <w:t>بند اوّل</w:t>
            </w:r>
            <w:r>
              <w:rPr>
                <w:rStyle w:val="IndexLink"/>
                <w:rtl w:val="true"/>
              </w:rPr>
              <w:t xml:space="preserve">: </w:t>
            </w:r>
            <w:r>
              <w:rPr>
                <w:rStyle w:val="IndexLink"/>
                <w:rtl w:val="true"/>
              </w:rPr>
              <w:t>بررسی سند کتاب</w:t>
            </w:r>
            <w:r>
              <w:rPr>
                <w:rStyle w:val="IndexLink"/>
                <w:rtl w:val="true"/>
              </w:rPr>
              <w:tab/>
            </w:r>
            <w:r>
              <w:rPr>
                <w:rStyle w:val="IndexLink"/>
              </w:rPr>
              <w:t>55</w:t>
            </w:r>
          </w:hyperlink>
        </w:p>
        <w:p>
          <w:pPr>
            <w:pStyle w:val="Contents6"/>
            <w:tabs>
              <w:tab w:val="clear" w:pos="7609"/>
              <w:tab w:val="right" w:pos="9026" w:leader="dot"/>
            </w:tabs>
            <w:rPr/>
          </w:pPr>
          <w:hyperlink w:anchor="__RefHeading___Toc2530769_1468164448">
            <w:r>
              <w:rPr>
                <w:webHidden/>
                <w:rStyle w:val="IndexLink"/>
                <w:rtl w:val="true"/>
              </w:rPr>
              <w:t>الف</w:t>
            </w:r>
            <w:r>
              <w:rPr>
                <w:rStyle w:val="IndexLink"/>
                <w:rtl w:val="true"/>
              </w:rPr>
              <w:t xml:space="preserve">) </w:t>
            </w:r>
            <w:r>
              <w:rPr>
                <w:rStyle w:val="IndexLink"/>
                <w:rtl w:val="true"/>
              </w:rPr>
              <w:t>مأخذ کتاب</w:t>
            </w:r>
            <w:r>
              <w:rPr>
                <w:rStyle w:val="IndexLink"/>
                <w:rtl w:val="true"/>
              </w:rPr>
              <w:tab/>
            </w:r>
            <w:r>
              <w:rPr>
                <w:rStyle w:val="IndexLink"/>
              </w:rPr>
              <w:t>55</w:t>
            </w:r>
          </w:hyperlink>
        </w:p>
        <w:p>
          <w:pPr>
            <w:pStyle w:val="Contents6"/>
            <w:tabs>
              <w:tab w:val="clear" w:pos="7609"/>
              <w:tab w:val="right" w:pos="9026" w:leader="dot"/>
            </w:tabs>
            <w:rPr/>
          </w:pPr>
          <w:hyperlink w:anchor="__RefHeading___Toc2530771_1468164448">
            <w:r>
              <w:rPr>
                <w:webHidden/>
                <w:rStyle w:val="IndexLink"/>
                <w:rtl w:val="true"/>
              </w:rPr>
              <w:t>ب</w:t>
            </w:r>
            <w:r>
              <w:rPr>
                <w:rStyle w:val="IndexLink"/>
                <w:rtl w:val="true"/>
              </w:rPr>
              <w:t xml:space="preserve">) </w:t>
            </w:r>
            <w:r>
              <w:rPr>
                <w:rStyle w:val="IndexLink"/>
                <w:rtl w:val="true"/>
              </w:rPr>
              <w:t>ویژگی‌های کتاب</w:t>
            </w:r>
            <w:r>
              <w:rPr>
                <w:rStyle w:val="IndexLink"/>
                <w:rtl w:val="true"/>
              </w:rPr>
              <w:tab/>
            </w:r>
            <w:r>
              <w:rPr>
                <w:rStyle w:val="IndexLink"/>
              </w:rPr>
              <w:t>56</w:t>
            </w:r>
          </w:hyperlink>
        </w:p>
        <w:p>
          <w:pPr>
            <w:pStyle w:val="Contents6"/>
            <w:tabs>
              <w:tab w:val="clear" w:pos="7609"/>
              <w:tab w:val="right" w:pos="9026" w:leader="dot"/>
            </w:tabs>
            <w:rPr/>
          </w:pPr>
          <w:hyperlink w:anchor="__RefHeading___Toc2530773_1468164448">
            <w:r>
              <w:rPr>
                <w:webHidden/>
                <w:rStyle w:val="IndexLink"/>
                <w:rtl w:val="true"/>
              </w:rPr>
              <w:t>ج</w:t>
            </w:r>
            <w:r>
              <w:rPr>
                <w:rStyle w:val="IndexLink"/>
                <w:rtl w:val="true"/>
              </w:rPr>
              <w:t xml:space="preserve">) </w:t>
            </w:r>
            <w:r>
              <w:rPr>
                <w:rStyle w:val="IndexLink"/>
                <w:rtl w:val="true"/>
              </w:rPr>
              <w:t>فقهایی که به این کتاب اعتماد کرده‌اند</w:t>
            </w:r>
            <w:r>
              <w:rPr>
                <w:rStyle w:val="IndexLink"/>
                <w:rtl w:val="true"/>
              </w:rPr>
              <w:tab/>
            </w:r>
            <w:r>
              <w:rPr>
                <w:rStyle w:val="IndexLink"/>
              </w:rPr>
              <w:t>56</w:t>
            </w:r>
          </w:hyperlink>
        </w:p>
        <w:p>
          <w:pPr>
            <w:pStyle w:val="Contents6"/>
            <w:tabs>
              <w:tab w:val="clear" w:pos="7609"/>
              <w:tab w:val="right" w:pos="9026" w:leader="dot"/>
            </w:tabs>
            <w:rPr/>
          </w:pPr>
          <w:hyperlink w:anchor="__RefHeading___Toc2530775_1468164448">
            <w:r>
              <w:rPr>
                <w:webHidden/>
                <w:rStyle w:val="IndexLink"/>
                <w:rtl w:val="true"/>
              </w:rPr>
              <w:t>د</w:t>
            </w:r>
            <w:r>
              <w:rPr>
                <w:rStyle w:val="IndexLink"/>
                <w:rtl w:val="true"/>
              </w:rPr>
              <w:t xml:space="preserve">) </w:t>
            </w:r>
            <w:r>
              <w:rPr>
                <w:rStyle w:val="IndexLink"/>
                <w:rtl w:val="true"/>
              </w:rPr>
              <w:t>مؤلّف کتاب</w:t>
            </w:r>
            <w:r>
              <w:rPr>
                <w:rStyle w:val="IndexLink"/>
                <w:rtl w:val="true"/>
              </w:rPr>
              <w:tab/>
            </w:r>
            <w:r>
              <w:rPr>
                <w:rStyle w:val="IndexLink"/>
              </w:rPr>
              <w:t>57</w:t>
            </w:r>
          </w:hyperlink>
        </w:p>
        <w:p>
          <w:pPr>
            <w:pStyle w:val="Contents6"/>
            <w:tabs>
              <w:tab w:val="clear" w:pos="7609"/>
              <w:tab w:val="right" w:pos="9026" w:leader="dot"/>
            </w:tabs>
            <w:rPr/>
          </w:pPr>
          <w:hyperlink w:anchor="__RefHeading___Toc2530777_1468164448">
            <w:r>
              <w:rPr>
                <w:webHidden/>
                <w:rStyle w:val="IndexLink"/>
              </w:rPr>
              <w:t>1</w:t>
            </w:r>
            <w:r>
              <w:rPr>
                <w:rStyle w:val="IndexLink"/>
                <w:rtl w:val="true"/>
              </w:rPr>
              <w:t xml:space="preserve">- </w:t>
            </w:r>
            <w:r>
              <w:rPr>
                <w:rStyle w:val="IndexLink"/>
                <w:rtl w:val="true"/>
              </w:rPr>
              <w:t>دیدگاه اوّل و نقد آن</w:t>
            </w:r>
            <w:r>
              <w:rPr>
                <w:rStyle w:val="IndexLink"/>
                <w:rtl w:val="true"/>
              </w:rPr>
              <w:tab/>
            </w:r>
            <w:r>
              <w:rPr>
                <w:rStyle w:val="IndexLink"/>
              </w:rPr>
              <w:t>57</w:t>
            </w:r>
          </w:hyperlink>
        </w:p>
        <w:p>
          <w:pPr>
            <w:pStyle w:val="Contents6"/>
            <w:tabs>
              <w:tab w:val="clear" w:pos="7609"/>
              <w:tab w:val="right" w:pos="9026" w:leader="dot"/>
            </w:tabs>
            <w:rPr/>
          </w:pPr>
          <w:hyperlink w:anchor="__RefHeading___Toc2530779_1468164448">
            <w:r>
              <w:rPr>
                <w:webHidden/>
                <w:rStyle w:val="IndexLink"/>
              </w:rPr>
              <w:t>2</w:t>
            </w:r>
            <w:r>
              <w:rPr>
                <w:rStyle w:val="IndexLink"/>
                <w:rtl w:val="true"/>
              </w:rPr>
              <w:t xml:space="preserve">- </w:t>
            </w:r>
            <w:r>
              <w:rPr>
                <w:rStyle w:val="IndexLink"/>
                <w:rtl w:val="true"/>
              </w:rPr>
              <w:t>دیدگاه دوم</w:t>
            </w:r>
            <w:r>
              <w:rPr>
                <w:rStyle w:val="IndexLink"/>
                <w:rtl w:val="true"/>
              </w:rPr>
              <w:tab/>
            </w:r>
            <w:r>
              <w:rPr>
                <w:rStyle w:val="IndexLink"/>
              </w:rPr>
              <w:t>61</w:t>
            </w:r>
          </w:hyperlink>
        </w:p>
        <w:p>
          <w:pPr>
            <w:pStyle w:val="Contents6"/>
            <w:tabs>
              <w:tab w:val="clear" w:pos="7609"/>
              <w:tab w:val="right" w:pos="9026" w:leader="dot"/>
            </w:tabs>
            <w:rPr/>
          </w:pPr>
          <w:hyperlink w:anchor="__RefHeading___Toc2530781_1468164448">
            <w:r>
              <w:rPr>
                <w:webHidden/>
                <w:rStyle w:val="IndexLink"/>
              </w:rPr>
              <w:t>3</w:t>
            </w:r>
            <w:r>
              <w:rPr>
                <w:rStyle w:val="IndexLink"/>
                <w:rtl w:val="true"/>
              </w:rPr>
              <w:t xml:space="preserve">- </w:t>
            </w:r>
            <w:r>
              <w:rPr>
                <w:rStyle w:val="IndexLink"/>
                <w:rtl w:val="true"/>
              </w:rPr>
              <w:t>دیدگاه سوم</w:t>
            </w:r>
            <w:r>
              <w:rPr>
                <w:rStyle w:val="IndexLink"/>
                <w:rtl w:val="true"/>
              </w:rPr>
              <w:tab/>
            </w:r>
            <w:r>
              <w:rPr>
                <w:rStyle w:val="IndexLink"/>
              </w:rPr>
              <w:t>62</w:t>
            </w:r>
          </w:hyperlink>
        </w:p>
        <w:p>
          <w:pPr>
            <w:pStyle w:val="Contents6"/>
            <w:tabs>
              <w:tab w:val="clear" w:pos="7609"/>
              <w:tab w:val="right" w:pos="9026" w:leader="dot"/>
            </w:tabs>
            <w:rPr/>
          </w:pPr>
          <w:hyperlink w:anchor="__RefHeading___Toc2530783_1468164448">
            <w:r>
              <w:rPr>
                <w:webHidden/>
                <w:rStyle w:val="IndexLink"/>
              </w:rPr>
              <w:t>4</w:t>
            </w:r>
            <w:r>
              <w:rPr>
                <w:rStyle w:val="IndexLink"/>
                <w:rtl w:val="true"/>
              </w:rPr>
              <w:t xml:space="preserve">- </w:t>
            </w:r>
            <w:r>
              <w:rPr>
                <w:rStyle w:val="IndexLink"/>
                <w:rtl w:val="true"/>
              </w:rPr>
              <w:t>دیدگاه چهارم</w:t>
            </w:r>
            <w:r>
              <w:rPr>
                <w:rStyle w:val="IndexLink"/>
                <w:rtl w:val="true"/>
              </w:rPr>
              <w:tab/>
            </w:r>
            <w:r>
              <w:rPr>
                <w:rStyle w:val="IndexLink"/>
              </w:rPr>
              <w:t>62</w:t>
            </w:r>
          </w:hyperlink>
        </w:p>
        <w:p>
          <w:pPr>
            <w:pStyle w:val="Contents6"/>
            <w:tabs>
              <w:tab w:val="clear" w:pos="7609"/>
              <w:tab w:val="right" w:pos="9026" w:leader="dot"/>
            </w:tabs>
            <w:rPr/>
          </w:pPr>
          <w:hyperlink w:anchor="__RefHeading___Toc2530785_1468164448">
            <w:r>
              <w:rPr>
                <w:webHidden/>
                <w:rStyle w:val="IndexLink"/>
                <w:rtl w:val="true"/>
              </w:rPr>
              <w:t>ه</w:t>
            </w:r>
            <w:r>
              <w:rPr>
                <w:rStyle w:val="IndexLink"/>
                <w:rtl w:val="true"/>
              </w:rPr>
              <w:t xml:space="preserve">) </w:t>
            </w:r>
            <w:r>
              <w:rPr>
                <w:rStyle w:val="IndexLink"/>
                <w:rtl w:val="true"/>
              </w:rPr>
              <w:t>دیدگاه برگزیده</w:t>
            </w:r>
            <w:r>
              <w:rPr>
                <w:rStyle w:val="IndexLink"/>
                <w:rtl w:val="true"/>
              </w:rPr>
              <w:tab/>
            </w:r>
            <w:r>
              <w:rPr>
                <w:rStyle w:val="IndexLink"/>
              </w:rPr>
              <w:t>63</w:t>
            </w:r>
          </w:hyperlink>
        </w:p>
        <w:p>
          <w:pPr>
            <w:pStyle w:val="Contents5"/>
            <w:tabs>
              <w:tab w:val="clear" w:pos="7892"/>
              <w:tab w:val="right" w:pos="9026" w:leader="dot"/>
            </w:tabs>
            <w:rPr/>
          </w:pPr>
          <w:hyperlink w:anchor="__RefHeading___Toc2530787_1468164448">
            <w:r>
              <w:rPr>
                <w:webHidden/>
                <w:rStyle w:val="IndexLink"/>
                <w:rtl w:val="true"/>
              </w:rPr>
              <w:t>بند دوم</w:t>
            </w:r>
            <w:r>
              <w:rPr>
                <w:rStyle w:val="IndexLink"/>
                <w:rtl w:val="true"/>
              </w:rPr>
              <w:t xml:space="preserve">: </w:t>
            </w:r>
            <w:r>
              <w:rPr>
                <w:rStyle w:val="IndexLink"/>
                <w:rtl w:val="true"/>
              </w:rPr>
              <w:t>بررسی دلالت روایت فقه الرّضا علیه السلام</w:t>
            </w:r>
            <w:r>
              <w:rPr>
                <w:rStyle w:val="IndexLink"/>
                <w:rtl w:val="true"/>
              </w:rPr>
              <w:tab/>
            </w:r>
            <w:r>
              <w:rPr>
                <w:rStyle w:val="IndexLink"/>
              </w:rPr>
              <w:t>64</w:t>
            </w:r>
          </w:hyperlink>
        </w:p>
        <w:p>
          <w:pPr>
            <w:pStyle w:val="Contents4"/>
            <w:tabs>
              <w:tab w:val="clear" w:pos="8176"/>
              <w:tab w:val="right" w:pos="9026" w:leader="dot"/>
            </w:tabs>
            <w:rPr/>
          </w:pPr>
          <w:hyperlink w:anchor="__RefHeading___Toc2530789_1468164448">
            <w:r>
              <w:rPr>
                <w:webHidden/>
                <w:rStyle w:val="IndexLink"/>
                <w:rtl w:val="true"/>
              </w:rPr>
              <w:t>گفتار سوم</w:t>
            </w:r>
            <w:r>
              <w:rPr>
                <w:rStyle w:val="IndexLink"/>
                <w:rtl w:val="true"/>
              </w:rPr>
              <w:t xml:space="preserve">: </w:t>
            </w:r>
            <w:r>
              <w:rPr>
                <w:rStyle w:val="IndexLink"/>
                <w:rtl w:val="true"/>
              </w:rPr>
              <w:t>روایت دعائم الاسلام</w:t>
            </w:r>
            <w:r>
              <w:rPr>
                <w:rStyle w:val="IndexLink"/>
                <w:rtl w:val="true"/>
              </w:rPr>
              <w:tab/>
            </w:r>
            <w:r>
              <w:rPr>
                <w:rStyle w:val="IndexLink"/>
              </w:rPr>
              <w:t>66</w:t>
            </w:r>
          </w:hyperlink>
        </w:p>
        <w:p>
          <w:pPr>
            <w:pStyle w:val="Contents5"/>
            <w:tabs>
              <w:tab w:val="clear" w:pos="7892"/>
              <w:tab w:val="right" w:pos="9026" w:leader="dot"/>
            </w:tabs>
            <w:rPr/>
          </w:pPr>
          <w:hyperlink w:anchor="__RefHeading___Toc2530791_1468164448">
            <w:r>
              <w:rPr>
                <w:webHidden/>
                <w:rStyle w:val="IndexLink"/>
                <w:rtl w:val="true"/>
              </w:rPr>
              <w:t>اشارة</w:t>
            </w:r>
            <w:r>
              <w:rPr>
                <w:rStyle w:val="IndexLink"/>
                <w:rtl w:val="true"/>
              </w:rPr>
              <w:tab/>
            </w:r>
            <w:r>
              <w:rPr>
                <w:rStyle w:val="IndexLink"/>
              </w:rPr>
              <w:t>66</w:t>
            </w:r>
          </w:hyperlink>
        </w:p>
        <w:p>
          <w:pPr>
            <w:pStyle w:val="Contents5"/>
            <w:tabs>
              <w:tab w:val="clear" w:pos="7892"/>
              <w:tab w:val="right" w:pos="9026" w:leader="dot"/>
            </w:tabs>
            <w:rPr/>
          </w:pPr>
          <w:hyperlink w:anchor="__RefHeading___Toc2530793_1468164448">
            <w:r>
              <w:rPr>
                <w:webHidden/>
                <w:rStyle w:val="IndexLink"/>
                <w:rtl w:val="true"/>
              </w:rPr>
              <w:t>بند اوّل</w:t>
            </w:r>
            <w:r>
              <w:rPr>
                <w:rStyle w:val="IndexLink"/>
                <w:rtl w:val="true"/>
              </w:rPr>
              <w:t xml:space="preserve">: </w:t>
            </w:r>
            <w:r>
              <w:rPr>
                <w:rStyle w:val="IndexLink"/>
                <w:rtl w:val="true"/>
              </w:rPr>
              <w:t>بررسی سند روایت</w:t>
            </w:r>
            <w:r>
              <w:rPr>
                <w:rStyle w:val="IndexLink"/>
                <w:rtl w:val="true"/>
              </w:rPr>
              <w:tab/>
            </w:r>
            <w:r>
              <w:rPr>
                <w:rStyle w:val="IndexLink"/>
              </w:rPr>
              <w:t>66</w:t>
            </w:r>
          </w:hyperlink>
        </w:p>
        <w:p>
          <w:pPr>
            <w:pStyle w:val="Contents6"/>
            <w:tabs>
              <w:tab w:val="clear" w:pos="7609"/>
              <w:tab w:val="right" w:pos="9026" w:leader="dot"/>
            </w:tabs>
            <w:rPr/>
          </w:pPr>
          <w:hyperlink w:anchor="__RefHeading___Toc2530795_1468164448">
            <w:r>
              <w:rPr>
                <w:webHidden/>
                <w:rStyle w:val="IndexLink"/>
                <w:rtl w:val="true"/>
              </w:rPr>
              <w:t>اشارة</w:t>
            </w:r>
            <w:r>
              <w:rPr>
                <w:rStyle w:val="IndexLink"/>
                <w:rtl w:val="true"/>
              </w:rPr>
              <w:tab/>
            </w:r>
            <w:r>
              <w:rPr>
                <w:rStyle w:val="IndexLink"/>
              </w:rPr>
              <w:t>66</w:t>
            </w:r>
          </w:hyperlink>
        </w:p>
        <w:p>
          <w:pPr>
            <w:pStyle w:val="Contents6"/>
            <w:tabs>
              <w:tab w:val="clear" w:pos="7609"/>
              <w:tab w:val="right" w:pos="9026" w:leader="dot"/>
            </w:tabs>
            <w:rPr/>
          </w:pPr>
          <w:hyperlink w:anchor="__RefHeading___Toc2530797_1468164448">
            <w:r>
              <w:rPr>
                <w:webHidden/>
                <w:rStyle w:val="IndexLink"/>
                <w:rtl w:val="true"/>
              </w:rPr>
              <w:t>الف</w:t>
            </w:r>
            <w:r>
              <w:rPr>
                <w:rStyle w:val="IndexLink"/>
                <w:rtl w:val="true"/>
              </w:rPr>
              <w:t xml:space="preserve">) </w:t>
            </w:r>
            <w:r>
              <w:rPr>
                <w:rStyle w:val="IndexLink"/>
                <w:rtl w:val="true"/>
              </w:rPr>
              <w:t>مؤلّف کتاب</w:t>
            </w:r>
            <w:r>
              <w:rPr>
                <w:rStyle w:val="IndexLink"/>
                <w:rtl w:val="true"/>
              </w:rPr>
              <w:tab/>
            </w:r>
            <w:r>
              <w:rPr>
                <w:rStyle w:val="IndexLink"/>
              </w:rPr>
              <w:t>66</w:t>
            </w:r>
          </w:hyperlink>
        </w:p>
        <w:p>
          <w:pPr>
            <w:pStyle w:val="Contents6"/>
            <w:tabs>
              <w:tab w:val="clear" w:pos="7609"/>
              <w:tab w:val="right" w:pos="9026" w:leader="dot"/>
            </w:tabs>
            <w:rPr/>
          </w:pPr>
          <w:hyperlink w:anchor="__RefHeading___Toc2530799_1468164448">
            <w:r>
              <w:rPr>
                <w:webHidden/>
                <w:rStyle w:val="IndexLink"/>
                <w:rtl w:val="true"/>
              </w:rPr>
              <w:t>ب</w:t>
            </w:r>
            <w:r>
              <w:rPr>
                <w:rStyle w:val="IndexLink"/>
                <w:rtl w:val="true"/>
              </w:rPr>
              <w:t xml:space="preserve">) </w:t>
            </w:r>
            <w:r>
              <w:rPr>
                <w:rStyle w:val="IndexLink"/>
                <w:rtl w:val="true"/>
              </w:rPr>
              <w:t>ارسال روایات کتاب</w:t>
            </w:r>
            <w:r>
              <w:rPr>
                <w:rStyle w:val="IndexLink"/>
                <w:rtl w:val="true"/>
              </w:rPr>
              <w:tab/>
            </w:r>
            <w:r>
              <w:rPr>
                <w:rStyle w:val="IndexLink"/>
              </w:rPr>
              <w:t>67</w:t>
            </w:r>
          </w:hyperlink>
        </w:p>
        <w:p>
          <w:pPr>
            <w:pStyle w:val="Contents6"/>
            <w:tabs>
              <w:tab w:val="clear" w:pos="7609"/>
              <w:tab w:val="right" w:pos="9026" w:leader="dot"/>
            </w:tabs>
            <w:rPr/>
          </w:pPr>
          <w:hyperlink w:anchor="__RefHeading___Toc2530801_1468164448">
            <w:r>
              <w:rPr>
                <w:webHidden/>
                <w:rStyle w:val="IndexLink"/>
                <w:rtl w:val="true"/>
              </w:rPr>
              <w:t>ج</w:t>
            </w:r>
            <w:r>
              <w:rPr>
                <w:rStyle w:val="IndexLink"/>
                <w:rtl w:val="true"/>
              </w:rPr>
              <w:t xml:space="preserve">) </w:t>
            </w:r>
            <w:r>
              <w:rPr>
                <w:rStyle w:val="IndexLink"/>
                <w:rtl w:val="true"/>
              </w:rPr>
              <w:t>فروع مخالف مذهب امامیّه در کتاب</w:t>
            </w:r>
            <w:r>
              <w:rPr>
                <w:rStyle w:val="IndexLink"/>
                <w:rtl w:val="true"/>
              </w:rPr>
              <w:tab/>
            </w:r>
            <w:r>
              <w:rPr>
                <w:rStyle w:val="IndexLink"/>
              </w:rPr>
              <w:t>68</w:t>
            </w:r>
          </w:hyperlink>
        </w:p>
        <w:p>
          <w:pPr>
            <w:pStyle w:val="Contents5"/>
            <w:tabs>
              <w:tab w:val="clear" w:pos="7892"/>
              <w:tab w:val="right" w:pos="9026" w:leader="dot"/>
            </w:tabs>
            <w:rPr/>
          </w:pPr>
          <w:hyperlink w:anchor="__RefHeading___Toc2530803_1468164448">
            <w:r>
              <w:rPr>
                <w:webHidden/>
                <w:rStyle w:val="IndexLink"/>
                <w:rtl w:val="true"/>
              </w:rPr>
              <w:t>بند دوم</w:t>
            </w:r>
            <w:r>
              <w:rPr>
                <w:rStyle w:val="IndexLink"/>
                <w:rtl w:val="true"/>
              </w:rPr>
              <w:t xml:space="preserve">: </w:t>
            </w:r>
            <w:r>
              <w:rPr>
                <w:rStyle w:val="IndexLink"/>
                <w:rtl w:val="true"/>
              </w:rPr>
              <w:t>بررسی دلالت روایت</w:t>
            </w:r>
            <w:r>
              <w:rPr>
                <w:rStyle w:val="IndexLink"/>
                <w:rtl w:val="true"/>
              </w:rPr>
              <w:tab/>
            </w:r>
            <w:r>
              <w:rPr>
                <w:rStyle w:val="IndexLink"/>
              </w:rPr>
              <w:t>69</w:t>
            </w:r>
          </w:hyperlink>
        </w:p>
        <w:p>
          <w:pPr>
            <w:pStyle w:val="Contents5"/>
            <w:tabs>
              <w:tab w:val="clear" w:pos="7892"/>
              <w:tab w:val="right" w:pos="9026" w:leader="dot"/>
            </w:tabs>
            <w:rPr/>
          </w:pPr>
          <w:hyperlink w:anchor="__RefHeading___Toc2530805_1468164448">
            <w:r>
              <w:rPr>
                <w:webHidden/>
                <w:rStyle w:val="IndexLink"/>
                <w:rtl w:val="true"/>
              </w:rPr>
              <w:t>بند سوم</w:t>
            </w:r>
            <w:r>
              <w:rPr>
                <w:rStyle w:val="IndexLink"/>
                <w:rtl w:val="true"/>
              </w:rPr>
              <w:t xml:space="preserve">: </w:t>
            </w:r>
            <w:r>
              <w:rPr>
                <w:rStyle w:val="IndexLink"/>
                <w:rtl w:val="true"/>
              </w:rPr>
              <w:t>دیدگاه برگزیده</w:t>
            </w:r>
            <w:r>
              <w:rPr>
                <w:rStyle w:val="IndexLink"/>
                <w:rtl w:val="true"/>
              </w:rPr>
              <w:tab/>
            </w:r>
            <w:r>
              <w:rPr>
                <w:rStyle w:val="IndexLink"/>
              </w:rPr>
              <w:t>71</w:t>
            </w:r>
          </w:hyperlink>
        </w:p>
        <w:p>
          <w:pPr>
            <w:pStyle w:val="Contents4"/>
            <w:tabs>
              <w:tab w:val="clear" w:pos="8176"/>
              <w:tab w:val="right" w:pos="9026" w:leader="dot"/>
            </w:tabs>
            <w:rPr/>
          </w:pPr>
          <w:hyperlink w:anchor="__RefHeading___Toc2530807_1468164448">
            <w:r>
              <w:rPr>
                <w:webHidden/>
                <w:rStyle w:val="IndexLink"/>
                <w:rtl w:val="true"/>
              </w:rPr>
              <w:t>گفتار چهارم</w:t>
            </w:r>
            <w:r>
              <w:rPr>
                <w:rStyle w:val="IndexLink"/>
                <w:rtl w:val="true"/>
              </w:rPr>
              <w:t xml:space="preserve">: </w:t>
            </w:r>
            <w:r>
              <w:rPr>
                <w:rStyle w:val="IndexLink"/>
                <w:rtl w:val="true"/>
              </w:rPr>
              <w:t>روایت عوالی اللئالی</w:t>
            </w:r>
            <w:r>
              <w:rPr>
                <w:rStyle w:val="IndexLink"/>
                <w:rtl w:val="true"/>
              </w:rPr>
              <w:tab/>
            </w:r>
            <w:r>
              <w:rPr>
                <w:rStyle w:val="IndexLink"/>
              </w:rPr>
              <w:t>71</w:t>
            </w:r>
          </w:hyperlink>
        </w:p>
        <w:p>
          <w:pPr>
            <w:pStyle w:val="Contents5"/>
            <w:tabs>
              <w:tab w:val="clear" w:pos="7892"/>
              <w:tab w:val="right" w:pos="9026" w:leader="dot"/>
            </w:tabs>
            <w:rPr/>
          </w:pPr>
          <w:hyperlink w:anchor="__RefHeading___Toc2530809_1468164448">
            <w:r>
              <w:rPr>
                <w:webHidden/>
                <w:rStyle w:val="IndexLink"/>
                <w:rtl w:val="true"/>
              </w:rPr>
              <w:t>اشارة</w:t>
            </w:r>
            <w:r>
              <w:rPr>
                <w:rStyle w:val="IndexLink"/>
                <w:rtl w:val="true"/>
              </w:rPr>
              <w:tab/>
            </w:r>
            <w:r>
              <w:rPr>
                <w:rStyle w:val="IndexLink"/>
              </w:rPr>
              <w:t>71</w:t>
            </w:r>
          </w:hyperlink>
        </w:p>
        <w:p>
          <w:pPr>
            <w:pStyle w:val="Contents5"/>
            <w:tabs>
              <w:tab w:val="clear" w:pos="7892"/>
              <w:tab w:val="right" w:pos="9026" w:leader="dot"/>
            </w:tabs>
            <w:rPr/>
          </w:pPr>
          <w:hyperlink w:anchor="__RefHeading___Toc2530811_1468164448">
            <w:r>
              <w:rPr>
                <w:webHidden/>
                <w:rStyle w:val="IndexLink"/>
                <w:rtl w:val="true"/>
              </w:rPr>
              <w:t>بند اوّل</w:t>
            </w:r>
            <w:r>
              <w:rPr>
                <w:rStyle w:val="IndexLink"/>
                <w:rtl w:val="true"/>
              </w:rPr>
              <w:t xml:space="preserve">: </w:t>
            </w:r>
            <w:r>
              <w:rPr>
                <w:rStyle w:val="IndexLink"/>
                <w:rtl w:val="true"/>
              </w:rPr>
              <w:t>بررسی سند روایت</w:t>
            </w:r>
            <w:r>
              <w:rPr>
                <w:rStyle w:val="IndexLink"/>
                <w:rtl w:val="true"/>
              </w:rPr>
              <w:tab/>
            </w:r>
            <w:r>
              <w:rPr>
                <w:rStyle w:val="IndexLink"/>
              </w:rPr>
              <w:t>71</w:t>
            </w:r>
          </w:hyperlink>
        </w:p>
        <w:p>
          <w:pPr>
            <w:pStyle w:val="Contents5"/>
            <w:tabs>
              <w:tab w:val="clear" w:pos="7892"/>
              <w:tab w:val="right" w:pos="9026" w:leader="dot"/>
            </w:tabs>
            <w:rPr/>
          </w:pPr>
          <w:hyperlink w:anchor="__RefHeading___Toc2530813_1468164448">
            <w:r>
              <w:rPr>
                <w:webHidden/>
                <w:rStyle w:val="IndexLink"/>
                <w:rtl w:val="true"/>
              </w:rPr>
              <w:t>بند دوم</w:t>
            </w:r>
            <w:r>
              <w:rPr>
                <w:rStyle w:val="IndexLink"/>
                <w:rtl w:val="true"/>
              </w:rPr>
              <w:t xml:space="preserve">: </w:t>
            </w:r>
            <w:r>
              <w:rPr>
                <w:rStyle w:val="IndexLink"/>
                <w:rtl w:val="true"/>
              </w:rPr>
              <w:t xml:space="preserve">اطلاق روایت و عدم وجود کلمۀ </w:t>
            </w:r>
            <w:r>
              <w:rPr>
                <w:rStyle w:val="IndexLink"/>
                <w:rtl w:val="true"/>
              </w:rPr>
              <w:t>«</w:t>
            </w:r>
            <w:r>
              <w:rPr>
                <w:rStyle w:val="IndexLink"/>
                <w:rtl w:val="true"/>
              </w:rPr>
              <w:t>أکل</w:t>
            </w:r>
            <w:r>
              <w:rPr>
                <w:rStyle w:val="IndexLink"/>
                <w:rtl w:val="true"/>
              </w:rPr>
              <w:t xml:space="preserve">» </w:t>
            </w:r>
            <w:r>
              <w:rPr>
                <w:rStyle w:val="IndexLink"/>
                <w:rtl w:val="true"/>
              </w:rPr>
              <w:t>در آن</w:t>
            </w:r>
            <w:r>
              <w:rPr>
                <w:rStyle w:val="IndexLink"/>
                <w:rtl w:val="true"/>
              </w:rPr>
              <w:tab/>
            </w:r>
            <w:r>
              <w:rPr>
                <w:rStyle w:val="IndexLink"/>
              </w:rPr>
              <w:t>73</w:t>
            </w:r>
          </w:hyperlink>
        </w:p>
        <w:p>
          <w:pPr>
            <w:pStyle w:val="Contents6"/>
            <w:tabs>
              <w:tab w:val="clear" w:pos="7609"/>
              <w:tab w:val="right" w:pos="9026" w:leader="dot"/>
            </w:tabs>
            <w:rPr/>
          </w:pPr>
          <w:hyperlink w:anchor="__RefHeading___Toc2530815_1468164448">
            <w:r>
              <w:rPr>
                <w:webHidden/>
                <w:rStyle w:val="IndexLink"/>
                <w:rtl w:val="true"/>
              </w:rPr>
              <w:t>اشارة</w:t>
            </w:r>
            <w:r>
              <w:rPr>
                <w:rStyle w:val="IndexLink"/>
                <w:rtl w:val="true"/>
              </w:rPr>
              <w:tab/>
            </w:r>
            <w:r>
              <w:rPr>
                <w:rStyle w:val="IndexLink"/>
              </w:rPr>
              <w:t>73</w:t>
            </w:r>
          </w:hyperlink>
        </w:p>
        <w:p>
          <w:pPr>
            <w:pStyle w:val="Contents6"/>
            <w:tabs>
              <w:tab w:val="clear" w:pos="7609"/>
              <w:tab w:val="right" w:pos="9026" w:leader="dot"/>
            </w:tabs>
            <w:rPr/>
          </w:pPr>
          <w:hyperlink w:anchor="__RefHeading___Toc2530817_1468164448">
            <w:r>
              <w:rPr>
                <w:webHidden/>
                <w:rStyle w:val="IndexLink"/>
                <w:rtl w:val="true"/>
              </w:rPr>
              <w:t>الف</w:t>
            </w:r>
            <w:r>
              <w:rPr>
                <w:rStyle w:val="IndexLink"/>
                <w:rtl w:val="true"/>
              </w:rPr>
              <w:t xml:space="preserve">) </w:t>
            </w:r>
            <w:r>
              <w:rPr>
                <w:rStyle w:val="IndexLink"/>
                <w:rtl w:val="true"/>
              </w:rPr>
              <w:t>اصل عدم زیاده و اصل عدم نقیصه</w:t>
            </w:r>
            <w:r>
              <w:rPr>
                <w:rStyle w:val="IndexLink"/>
                <w:rtl w:val="true"/>
              </w:rPr>
              <w:tab/>
            </w:r>
            <w:r>
              <w:rPr>
                <w:rStyle w:val="IndexLink"/>
              </w:rPr>
              <w:t>74</w:t>
            </w:r>
          </w:hyperlink>
        </w:p>
        <w:p>
          <w:pPr>
            <w:pStyle w:val="Contents6"/>
            <w:tabs>
              <w:tab w:val="clear" w:pos="7609"/>
              <w:tab w:val="right" w:pos="9026" w:leader="dot"/>
            </w:tabs>
            <w:rPr/>
          </w:pPr>
          <w:hyperlink w:anchor="__RefHeading___Toc2530819_1468164448">
            <w:r>
              <w:rPr>
                <w:webHidden/>
                <w:rStyle w:val="IndexLink"/>
                <w:rtl w:val="true"/>
              </w:rPr>
              <w:t>ب</w:t>
            </w:r>
            <w:r>
              <w:rPr>
                <w:rStyle w:val="IndexLink"/>
                <w:rtl w:val="true"/>
              </w:rPr>
              <w:t xml:space="preserve">) </w:t>
            </w:r>
            <w:r>
              <w:rPr>
                <w:rStyle w:val="IndexLink"/>
                <w:rtl w:val="true"/>
              </w:rPr>
              <w:t>دیدگاه محقّق خویی</w:t>
            </w:r>
            <w:r>
              <w:rPr>
                <w:rStyle w:val="IndexLink"/>
                <w:rtl w:val="true"/>
              </w:rPr>
              <w:tab/>
            </w:r>
            <w:r>
              <w:rPr>
                <w:rStyle w:val="IndexLink"/>
              </w:rPr>
              <w:t>77</w:t>
            </w:r>
          </w:hyperlink>
        </w:p>
        <w:p>
          <w:pPr>
            <w:pStyle w:val="Contents5"/>
            <w:tabs>
              <w:tab w:val="clear" w:pos="7892"/>
              <w:tab w:val="right" w:pos="9026" w:leader="dot"/>
            </w:tabs>
            <w:rPr/>
          </w:pPr>
          <w:hyperlink w:anchor="__RefHeading___Toc2530821_1468164448">
            <w:r>
              <w:rPr>
                <w:webHidden/>
                <w:rStyle w:val="IndexLink"/>
                <w:rtl w:val="true"/>
              </w:rPr>
              <w:t>بند سوم</w:t>
            </w:r>
            <w:r>
              <w:rPr>
                <w:rStyle w:val="IndexLink"/>
                <w:rtl w:val="true"/>
              </w:rPr>
              <w:t xml:space="preserve">: </w:t>
            </w:r>
            <w:r>
              <w:rPr>
                <w:rStyle w:val="IndexLink"/>
                <w:rtl w:val="true"/>
              </w:rPr>
              <w:t>شهرت عملی جابر ضعف سند روایت</w:t>
            </w:r>
            <w:r>
              <w:rPr>
                <w:rStyle w:val="IndexLink"/>
                <w:rtl w:val="true"/>
              </w:rPr>
              <w:tab/>
            </w:r>
            <w:r>
              <w:rPr>
                <w:rStyle w:val="IndexLink"/>
              </w:rPr>
              <w:t>78</w:t>
            </w:r>
          </w:hyperlink>
        </w:p>
        <w:p>
          <w:pPr>
            <w:pStyle w:val="Contents5"/>
            <w:tabs>
              <w:tab w:val="clear" w:pos="7892"/>
              <w:tab w:val="right" w:pos="9026" w:leader="dot"/>
            </w:tabs>
            <w:rPr/>
          </w:pPr>
          <w:hyperlink w:anchor="__RefHeading___Toc2530823_1468164448">
            <w:r>
              <w:rPr>
                <w:webHidden/>
                <w:rStyle w:val="IndexLink"/>
                <w:rtl w:val="true"/>
              </w:rPr>
              <w:t>بند چهارم</w:t>
            </w:r>
            <w:r>
              <w:rPr>
                <w:rStyle w:val="IndexLink"/>
                <w:rtl w:val="true"/>
              </w:rPr>
              <w:t xml:space="preserve">: </w:t>
            </w:r>
            <w:r>
              <w:rPr>
                <w:rStyle w:val="IndexLink"/>
                <w:rtl w:val="true"/>
              </w:rPr>
              <w:t>دیدگاه برگزیده</w:t>
            </w:r>
            <w:r>
              <w:rPr>
                <w:rStyle w:val="IndexLink"/>
                <w:rtl w:val="true"/>
              </w:rPr>
              <w:tab/>
            </w:r>
            <w:r>
              <w:rPr>
                <w:rStyle w:val="IndexLink"/>
              </w:rPr>
              <w:t>79</w:t>
            </w:r>
          </w:hyperlink>
        </w:p>
        <w:p>
          <w:pPr>
            <w:pStyle w:val="Contents4"/>
            <w:tabs>
              <w:tab w:val="clear" w:pos="8176"/>
              <w:tab w:val="right" w:pos="9026" w:leader="dot"/>
            </w:tabs>
            <w:rPr/>
          </w:pPr>
          <w:hyperlink w:anchor="__RefHeading___Toc2530825_1468164448">
            <w:r>
              <w:rPr>
                <w:webHidden/>
                <w:rStyle w:val="IndexLink"/>
                <w:rtl w:val="true"/>
              </w:rPr>
              <w:t>گفتار پنجم</w:t>
            </w:r>
            <w:r>
              <w:rPr>
                <w:rStyle w:val="IndexLink"/>
                <w:rtl w:val="true"/>
              </w:rPr>
              <w:t xml:space="preserve">: </w:t>
            </w:r>
            <w:r>
              <w:rPr>
                <w:rStyle w:val="IndexLink"/>
                <w:rtl w:val="true"/>
              </w:rPr>
              <w:t>برآیند بررسی روایات و اصل اوّلی در معاملات</w:t>
            </w:r>
            <w:r>
              <w:rPr>
                <w:rStyle w:val="IndexLink"/>
                <w:rtl w:val="true"/>
              </w:rPr>
              <w:tab/>
            </w:r>
            <w:r>
              <w:rPr>
                <w:rStyle w:val="IndexLink"/>
              </w:rPr>
              <w:t>80</w:t>
            </w:r>
          </w:hyperlink>
        </w:p>
        <w:p>
          <w:pPr>
            <w:pStyle w:val="Contents5"/>
            <w:tabs>
              <w:tab w:val="clear" w:pos="7892"/>
              <w:tab w:val="right" w:pos="9026" w:leader="dot"/>
            </w:tabs>
            <w:rPr/>
          </w:pPr>
          <w:hyperlink w:anchor="__RefHeading___Toc2530827_1468164448">
            <w:r>
              <w:rPr>
                <w:webHidden/>
                <w:rStyle w:val="IndexLink"/>
                <w:rtl w:val="true"/>
              </w:rPr>
              <w:t>بند اوّل</w:t>
            </w:r>
            <w:r>
              <w:rPr>
                <w:rStyle w:val="IndexLink"/>
                <w:rtl w:val="true"/>
              </w:rPr>
              <w:t xml:space="preserve">: </w:t>
            </w:r>
            <w:r>
              <w:rPr>
                <w:rStyle w:val="IndexLink"/>
                <w:rtl w:val="true"/>
              </w:rPr>
              <w:t>نتیجۀ بررسی روایات عام</w:t>
            </w:r>
            <w:r>
              <w:rPr>
                <w:rStyle w:val="IndexLink"/>
                <w:rtl w:val="true"/>
              </w:rPr>
              <w:tab/>
            </w:r>
            <w:r>
              <w:rPr>
                <w:rStyle w:val="IndexLink"/>
              </w:rPr>
              <w:t>80</w:t>
            </w:r>
          </w:hyperlink>
        </w:p>
        <w:p>
          <w:pPr>
            <w:pStyle w:val="Contents5"/>
            <w:tabs>
              <w:tab w:val="clear" w:pos="7892"/>
              <w:tab w:val="right" w:pos="9026" w:leader="dot"/>
            </w:tabs>
            <w:rPr/>
          </w:pPr>
          <w:hyperlink w:anchor="__RefHeading___Toc2530829_1468164448">
            <w:r>
              <w:rPr>
                <w:webHidden/>
                <w:rStyle w:val="IndexLink"/>
                <w:rtl w:val="true"/>
              </w:rPr>
              <w:t>بند دوم</w:t>
            </w:r>
            <w:r>
              <w:rPr>
                <w:rStyle w:val="IndexLink"/>
                <w:rtl w:val="true"/>
              </w:rPr>
              <w:t xml:space="preserve">: </w:t>
            </w:r>
            <w:r>
              <w:rPr>
                <w:rStyle w:val="IndexLink"/>
                <w:rtl w:val="true"/>
              </w:rPr>
              <w:t>اصل اوّلی در معاملات</w:t>
            </w:r>
            <w:r>
              <w:rPr>
                <w:rStyle w:val="IndexLink"/>
                <w:rtl w:val="true"/>
              </w:rPr>
              <w:tab/>
            </w:r>
            <w:r>
              <w:rPr>
                <w:rStyle w:val="IndexLink"/>
              </w:rPr>
              <w:t>80</w:t>
            </w:r>
          </w:hyperlink>
        </w:p>
        <w:p>
          <w:pPr>
            <w:pStyle w:val="Contents3"/>
            <w:tabs>
              <w:tab w:val="clear" w:pos="8459"/>
              <w:tab w:val="right" w:pos="9026" w:leader="dot"/>
            </w:tabs>
            <w:rPr/>
          </w:pPr>
          <w:hyperlink w:anchor="__RefHeading___Toc2530831_1468164448">
            <w:r>
              <w:rPr>
                <w:webHidden/>
                <w:rStyle w:val="IndexLink"/>
                <w:rtl w:val="true"/>
              </w:rPr>
              <w:t>فصل دوم</w:t>
            </w:r>
            <w:r>
              <w:rPr>
                <w:rStyle w:val="IndexLink"/>
                <w:rtl w:val="true"/>
              </w:rPr>
              <w:t xml:space="preserve">: </w:t>
            </w:r>
            <w:r>
              <w:rPr>
                <w:rStyle w:val="IndexLink"/>
                <w:rtl w:val="true"/>
              </w:rPr>
              <w:t>تقسیم مکاسب</w:t>
            </w:r>
            <w:r>
              <w:rPr>
                <w:rStyle w:val="IndexLink"/>
                <w:rtl w:val="true"/>
              </w:rPr>
              <w:tab/>
            </w:r>
            <w:r>
              <w:rPr>
                <w:rStyle w:val="IndexLink"/>
              </w:rPr>
              <w:t>83</w:t>
            </w:r>
          </w:hyperlink>
        </w:p>
        <w:p>
          <w:pPr>
            <w:pStyle w:val="Contents4"/>
            <w:tabs>
              <w:tab w:val="clear" w:pos="8176"/>
              <w:tab w:val="right" w:pos="9026" w:leader="dot"/>
            </w:tabs>
            <w:rPr/>
          </w:pPr>
          <w:hyperlink w:anchor="__RefHeading___Toc2530833_1468164448">
            <w:r>
              <w:rPr>
                <w:webHidden/>
                <w:rStyle w:val="IndexLink"/>
                <w:rtl w:val="true"/>
              </w:rPr>
              <w:t>گفتار اوّل</w:t>
            </w:r>
            <w:r>
              <w:rPr>
                <w:rStyle w:val="IndexLink"/>
                <w:rtl w:val="true"/>
              </w:rPr>
              <w:t xml:space="preserve">: </w:t>
            </w:r>
            <w:r>
              <w:rPr>
                <w:rStyle w:val="IndexLink"/>
                <w:rtl w:val="true"/>
              </w:rPr>
              <w:t>امکان وجود کسب واجب و مستحب</w:t>
            </w:r>
            <w:r>
              <w:rPr>
                <w:rStyle w:val="IndexLink"/>
                <w:rtl w:val="true"/>
              </w:rPr>
              <w:tab/>
            </w:r>
            <w:r>
              <w:rPr>
                <w:rStyle w:val="IndexLink"/>
              </w:rPr>
              <w:t>83</w:t>
            </w:r>
          </w:hyperlink>
        </w:p>
        <w:p>
          <w:pPr>
            <w:pStyle w:val="Contents5"/>
            <w:tabs>
              <w:tab w:val="clear" w:pos="7892"/>
              <w:tab w:val="right" w:pos="9026" w:leader="dot"/>
            </w:tabs>
            <w:rPr/>
          </w:pPr>
          <w:hyperlink w:anchor="__RefHeading___Toc2530835_1468164448">
            <w:r>
              <w:rPr>
                <w:webHidden/>
                <w:rStyle w:val="IndexLink"/>
                <w:rtl w:val="true"/>
              </w:rPr>
              <w:t>اشارة</w:t>
            </w:r>
            <w:r>
              <w:rPr>
                <w:rStyle w:val="IndexLink"/>
                <w:rtl w:val="true"/>
              </w:rPr>
              <w:tab/>
            </w:r>
            <w:r>
              <w:rPr>
                <w:rStyle w:val="IndexLink"/>
              </w:rPr>
              <w:t>83</w:t>
            </w:r>
          </w:hyperlink>
        </w:p>
        <w:p>
          <w:pPr>
            <w:pStyle w:val="Contents5"/>
            <w:tabs>
              <w:tab w:val="clear" w:pos="7892"/>
              <w:tab w:val="right" w:pos="9026" w:leader="dot"/>
            </w:tabs>
            <w:rPr/>
          </w:pPr>
          <w:hyperlink w:anchor="__RefHeading___Toc2530837_1468164448">
            <w:r>
              <w:rPr>
                <w:webHidden/>
                <w:rStyle w:val="IndexLink"/>
                <w:rtl w:val="true"/>
              </w:rPr>
              <w:t>بند اوّل</w:t>
            </w:r>
            <w:r>
              <w:rPr>
                <w:rStyle w:val="IndexLink"/>
                <w:rtl w:val="true"/>
              </w:rPr>
              <w:t xml:space="preserve">: </w:t>
            </w:r>
            <w:r>
              <w:rPr>
                <w:rStyle w:val="IndexLink"/>
                <w:rtl w:val="true"/>
              </w:rPr>
              <w:t>مکاسب مستحب</w:t>
            </w:r>
            <w:r>
              <w:rPr>
                <w:rStyle w:val="IndexLink"/>
                <w:rtl w:val="true"/>
              </w:rPr>
              <w:tab/>
            </w:r>
            <w:r>
              <w:rPr>
                <w:rStyle w:val="IndexLink"/>
              </w:rPr>
              <w:t>84</w:t>
            </w:r>
          </w:hyperlink>
        </w:p>
        <w:p>
          <w:pPr>
            <w:pStyle w:val="Contents5"/>
            <w:tabs>
              <w:tab w:val="clear" w:pos="7892"/>
              <w:tab w:val="right" w:pos="9026" w:leader="dot"/>
            </w:tabs>
            <w:rPr/>
          </w:pPr>
          <w:hyperlink w:anchor="__RefHeading___Toc2530839_1468164448">
            <w:r>
              <w:rPr>
                <w:webHidden/>
                <w:rStyle w:val="IndexLink"/>
                <w:rtl w:val="true"/>
              </w:rPr>
              <w:t>بند دوم</w:t>
            </w:r>
            <w:r>
              <w:rPr>
                <w:rStyle w:val="IndexLink"/>
                <w:rtl w:val="true"/>
              </w:rPr>
              <w:t xml:space="preserve">: </w:t>
            </w:r>
            <w:r>
              <w:rPr>
                <w:rStyle w:val="IndexLink"/>
                <w:rtl w:val="true"/>
              </w:rPr>
              <w:t>مکاسب واجب</w:t>
            </w:r>
            <w:r>
              <w:rPr>
                <w:rStyle w:val="IndexLink"/>
                <w:rtl w:val="true"/>
              </w:rPr>
              <w:tab/>
            </w:r>
            <w:r>
              <w:rPr>
                <w:rStyle w:val="IndexLink"/>
              </w:rPr>
              <w:t>86</w:t>
            </w:r>
          </w:hyperlink>
        </w:p>
        <w:p>
          <w:pPr>
            <w:pStyle w:val="Contents4"/>
            <w:tabs>
              <w:tab w:val="clear" w:pos="8176"/>
              <w:tab w:val="right" w:pos="9026" w:leader="dot"/>
            </w:tabs>
            <w:rPr/>
          </w:pPr>
          <w:hyperlink w:anchor="__RefHeading___Toc2530841_1468164448">
            <w:r>
              <w:rPr>
                <w:webHidden/>
                <w:rStyle w:val="IndexLink"/>
                <w:rtl w:val="true"/>
              </w:rPr>
              <w:t>گفتار دوم</w:t>
            </w:r>
            <w:r>
              <w:rPr>
                <w:rStyle w:val="IndexLink"/>
                <w:rtl w:val="true"/>
              </w:rPr>
              <w:t xml:space="preserve">: </w:t>
            </w:r>
            <w:r>
              <w:rPr>
                <w:rStyle w:val="IndexLink"/>
                <w:rtl w:val="true"/>
              </w:rPr>
              <w:t>تقسیم مکاسب در کلام فقها</w:t>
            </w:r>
            <w:r>
              <w:rPr>
                <w:rStyle w:val="IndexLink"/>
                <w:rtl w:val="true"/>
              </w:rPr>
              <w:tab/>
            </w:r>
            <w:r>
              <w:rPr>
                <w:rStyle w:val="IndexLink"/>
              </w:rPr>
              <w:t>87</w:t>
            </w:r>
          </w:hyperlink>
        </w:p>
        <w:p>
          <w:pPr>
            <w:pStyle w:val="Contents5"/>
            <w:tabs>
              <w:tab w:val="clear" w:pos="7892"/>
              <w:tab w:val="right" w:pos="9026" w:leader="dot"/>
            </w:tabs>
            <w:rPr/>
          </w:pPr>
          <w:hyperlink w:anchor="__RefHeading___Toc2530843_1468164448">
            <w:r>
              <w:rPr>
                <w:webHidden/>
                <w:rStyle w:val="IndexLink"/>
                <w:rtl w:val="true"/>
              </w:rPr>
              <w:t>اشارة</w:t>
            </w:r>
            <w:r>
              <w:rPr>
                <w:rStyle w:val="IndexLink"/>
                <w:rtl w:val="true"/>
              </w:rPr>
              <w:tab/>
            </w:r>
            <w:r>
              <w:rPr>
                <w:rStyle w:val="IndexLink"/>
              </w:rPr>
              <w:t>87</w:t>
            </w:r>
          </w:hyperlink>
        </w:p>
        <w:p>
          <w:pPr>
            <w:pStyle w:val="Contents5"/>
            <w:tabs>
              <w:tab w:val="clear" w:pos="7892"/>
              <w:tab w:val="right" w:pos="9026" w:leader="dot"/>
            </w:tabs>
            <w:rPr/>
          </w:pPr>
          <w:hyperlink w:anchor="__RefHeading___Toc2530845_1468164448">
            <w:r>
              <w:rPr>
                <w:webHidden/>
                <w:rStyle w:val="IndexLink"/>
                <w:rtl w:val="true"/>
              </w:rPr>
              <w:t>بند اوّل</w:t>
            </w:r>
            <w:r>
              <w:rPr>
                <w:rStyle w:val="IndexLink"/>
                <w:rtl w:val="true"/>
              </w:rPr>
              <w:t xml:space="preserve">: </w:t>
            </w:r>
            <w:r>
              <w:rPr>
                <w:rStyle w:val="IndexLink"/>
                <w:rtl w:val="true"/>
              </w:rPr>
              <w:t>دیدگاه شیخ سلّار</w:t>
            </w:r>
            <w:r>
              <w:rPr>
                <w:rStyle w:val="IndexLink"/>
                <w:rtl w:val="true"/>
              </w:rPr>
              <w:tab/>
            </w:r>
            <w:r>
              <w:rPr>
                <w:rStyle w:val="IndexLink"/>
              </w:rPr>
              <w:t>88</w:t>
            </w:r>
          </w:hyperlink>
        </w:p>
        <w:p>
          <w:pPr>
            <w:pStyle w:val="Contents5"/>
            <w:tabs>
              <w:tab w:val="clear" w:pos="7892"/>
              <w:tab w:val="right" w:pos="9026" w:leader="dot"/>
            </w:tabs>
            <w:rPr/>
          </w:pPr>
          <w:hyperlink w:anchor="__RefHeading___Toc2530847_1468164448">
            <w:r>
              <w:rPr>
                <w:webHidden/>
                <w:rStyle w:val="IndexLink"/>
                <w:rtl w:val="true"/>
              </w:rPr>
              <w:t>بند دوم</w:t>
            </w:r>
            <w:r>
              <w:rPr>
                <w:rStyle w:val="IndexLink"/>
                <w:rtl w:val="true"/>
              </w:rPr>
              <w:t xml:space="preserve">: </w:t>
            </w:r>
            <w:r>
              <w:rPr>
                <w:rStyle w:val="IndexLink"/>
                <w:rtl w:val="true"/>
              </w:rPr>
              <w:t>دیدگاه شهید اوّل</w:t>
            </w:r>
            <w:r>
              <w:rPr>
                <w:rStyle w:val="IndexLink"/>
                <w:rtl w:val="true"/>
              </w:rPr>
              <w:tab/>
            </w:r>
            <w:r>
              <w:rPr>
                <w:rStyle w:val="IndexLink"/>
              </w:rPr>
              <w:t>88</w:t>
            </w:r>
          </w:hyperlink>
        </w:p>
        <w:p>
          <w:pPr>
            <w:pStyle w:val="Contents5"/>
            <w:tabs>
              <w:tab w:val="clear" w:pos="7892"/>
              <w:tab w:val="right" w:pos="9026" w:leader="dot"/>
            </w:tabs>
            <w:rPr/>
          </w:pPr>
          <w:hyperlink w:anchor="__RefHeading___Toc2530849_1468164448">
            <w:r>
              <w:rPr>
                <w:webHidden/>
                <w:rStyle w:val="IndexLink"/>
                <w:rtl w:val="true"/>
              </w:rPr>
              <w:t>بند سوم</w:t>
            </w:r>
            <w:r>
              <w:rPr>
                <w:rStyle w:val="IndexLink"/>
                <w:rtl w:val="true"/>
              </w:rPr>
              <w:t xml:space="preserve">: </w:t>
            </w:r>
            <w:r>
              <w:rPr>
                <w:rStyle w:val="IndexLink"/>
                <w:rtl w:val="true"/>
              </w:rPr>
              <w:t>دیدگاه علاّمۀ حلّی</w:t>
            </w:r>
            <w:r>
              <w:rPr>
                <w:rStyle w:val="IndexLink"/>
                <w:rtl w:val="true"/>
              </w:rPr>
              <w:tab/>
            </w:r>
            <w:r>
              <w:rPr>
                <w:rStyle w:val="IndexLink"/>
              </w:rPr>
              <w:t>89</w:t>
            </w:r>
          </w:hyperlink>
        </w:p>
        <w:p>
          <w:pPr>
            <w:pStyle w:val="Contents5"/>
            <w:tabs>
              <w:tab w:val="clear" w:pos="7892"/>
              <w:tab w:val="right" w:pos="9026" w:leader="dot"/>
            </w:tabs>
            <w:rPr/>
          </w:pPr>
          <w:hyperlink w:anchor="__RefHeading___Toc2530851_1468164448">
            <w:r>
              <w:rPr>
                <w:webHidden/>
                <w:rStyle w:val="IndexLink"/>
                <w:rtl w:val="true"/>
              </w:rPr>
              <w:t>بند چهارم</w:t>
            </w:r>
            <w:r>
              <w:rPr>
                <w:rStyle w:val="IndexLink"/>
                <w:rtl w:val="true"/>
              </w:rPr>
              <w:t xml:space="preserve">: </w:t>
            </w:r>
            <w:r>
              <w:rPr>
                <w:rStyle w:val="IndexLink"/>
                <w:rtl w:val="true"/>
              </w:rPr>
              <w:t>تقابل دیدگاه شهید ثانی و مقدّس اردبیلی</w:t>
            </w:r>
            <w:r>
              <w:rPr>
                <w:rStyle w:val="IndexLink"/>
                <w:rtl w:val="true"/>
              </w:rPr>
              <w:tab/>
            </w:r>
            <w:r>
              <w:rPr>
                <w:rStyle w:val="IndexLink"/>
              </w:rPr>
              <w:t>89</w:t>
            </w:r>
          </w:hyperlink>
        </w:p>
        <w:p>
          <w:pPr>
            <w:pStyle w:val="Contents5"/>
            <w:tabs>
              <w:tab w:val="clear" w:pos="7892"/>
              <w:tab w:val="right" w:pos="9026" w:leader="dot"/>
            </w:tabs>
            <w:rPr/>
          </w:pPr>
          <w:hyperlink w:anchor="__RefHeading___Toc2530853_1468164448">
            <w:r>
              <w:rPr>
                <w:webHidden/>
                <w:rStyle w:val="IndexLink"/>
                <w:rtl w:val="true"/>
              </w:rPr>
              <w:t>بند پنجم</w:t>
            </w:r>
            <w:r>
              <w:rPr>
                <w:rStyle w:val="IndexLink"/>
                <w:rtl w:val="true"/>
              </w:rPr>
              <w:t xml:space="preserve">: </w:t>
            </w:r>
            <w:r>
              <w:rPr>
                <w:rStyle w:val="IndexLink"/>
                <w:rtl w:val="true"/>
              </w:rPr>
              <w:t>دیدگاه محقّق حلّی</w:t>
            </w:r>
            <w:r>
              <w:rPr>
                <w:rStyle w:val="IndexLink"/>
                <w:rtl w:val="true"/>
              </w:rPr>
              <w:tab/>
            </w:r>
            <w:r>
              <w:rPr>
                <w:rStyle w:val="IndexLink"/>
              </w:rPr>
              <w:t>91</w:t>
            </w:r>
          </w:hyperlink>
        </w:p>
        <w:p>
          <w:pPr>
            <w:pStyle w:val="Contents4"/>
            <w:tabs>
              <w:tab w:val="clear" w:pos="8176"/>
              <w:tab w:val="right" w:pos="9026" w:leader="dot"/>
            </w:tabs>
            <w:rPr/>
          </w:pPr>
          <w:hyperlink w:anchor="__RefHeading___Toc2530855_1468164448">
            <w:r>
              <w:rPr>
                <w:webHidden/>
                <w:rStyle w:val="IndexLink"/>
                <w:rtl w:val="true"/>
              </w:rPr>
              <w:t>گفتار سوم</w:t>
            </w:r>
            <w:r>
              <w:rPr>
                <w:rStyle w:val="IndexLink"/>
                <w:rtl w:val="true"/>
              </w:rPr>
              <w:t xml:space="preserve">: </w:t>
            </w:r>
            <w:r>
              <w:rPr>
                <w:rStyle w:val="IndexLink"/>
                <w:rtl w:val="true"/>
              </w:rPr>
              <w:t>نفسی یا غیری بودن حکم</w:t>
            </w:r>
            <w:r>
              <w:rPr>
                <w:rStyle w:val="IndexLink"/>
                <w:rtl w:val="true"/>
              </w:rPr>
              <w:tab/>
            </w:r>
            <w:r>
              <w:rPr>
                <w:rStyle w:val="IndexLink"/>
              </w:rPr>
              <w:t>92</w:t>
            </w:r>
          </w:hyperlink>
        </w:p>
        <w:p>
          <w:pPr>
            <w:pStyle w:val="Contents5"/>
            <w:tabs>
              <w:tab w:val="clear" w:pos="7892"/>
              <w:tab w:val="right" w:pos="9026" w:leader="dot"/>
            </w:tabs>
            <w:rPr/>
          </w:pPr>
          <w:hyperlink w:anchor="__RefHeading___Toc2530857_1468164448">
            <w:r>
              <w:rPr>
                <w:webHidden/>
                <w:rStyle w:val="IndexLink"/>
                <w:rtl w:val="true"/>
              </w:rPr>
              <w:t>اشارة</w:t>
            </w:r>
            <w:r>
              <w:rPr>
                <w:rStyle w:val="IndexLink"/>
                <w:rtl w:val="true"/>
              </w:rPr>
              <w:tab/>
            </w:r>
            <w:r>
              <w:rPr>
                <w:rStyle w:val="IndexLink"/>
              </w:rPr>
              <w:t>92</w:t>
            </w:r>
          </w:hyperlink>
        </w:p>
        <w:p>
          <w:pPr>
            <w:pStyle w:val="Contents5"/>
            <w:tabs>
              <w:tab w:val="clear" w:pos="7892"/>
              <w:tab w:val="right" w:pos="9026" w:leader="dot"/>
            </w:tabs>
            <w:rPr/>
          </w:pPr>
          <w:hyperlink w:anchor="__RefHeading___Toc2530859_1468164448">
            <w:r>
              <w:rPr>
                <w:webHidden/>
                <w:rStyle w:val="IndexLink"/>
                <w:rtl w:val="true"/>
              </w:rPr>
              <w:t>تفاوت نفسی و غیری بودن حکم</w:t>
            </w:r>
            <w:r>
              <w:rPr>
                <w:rStyle w:val="IndexLink"/>
                <w:rtl w:val="true"/>
              </w:rPr>
              <w:tab/>
            </w:r>
            <w:r>
              <w:rPr>
                <w:rStyle w:val="IndexLink"/>
              </w:rPr>
              <w:t>93</w:t>
            </w:r>
          </w:hyperlink>
        </w:p>
        <w:p>
          <w:pPr>
            <w:pStyle w:val="Contents4"/>
            <w:tabs>
              <w:tab w:val="clear" w:pos="8176"/>
              <w:tab w:val="right" w:pos="9026" w:leader="dot"/>
            </w:tabs>
            <w:rPr/>
          </w:pPr>
          <w:hyperlink w:anchor="__RefHeading___Toc2530861_1468164448">
            <w:r>
              <w:rPr>
                <w:webHidden/>
                <w:rStyle w:val="IndexLink"/>
                <w:rtl w:val="true"/>
              </w:rPr>
              <w:t>گفتار چهارم</w:t>
            </w:r>
            <w:r>
              <w:rPr>
                <w:rStyle w:val="IndexLink"/>
                <w:rtl w:val="true"/>
              </w:rPr>
              <w:t xml:space="preserve">: </w:t>
            </w:r>
            <w:r>
              <w:rPr>
                <w:rStyle w:val="IndexLink"/>
                <w:rtl w:val="true"/>
              </w:rPr>
              <w:t>حکم اکتساب محض</w:t>
            </w:r>
            <w:r>
              <w:rPr>
                <w:rStyle w:val="IndexLink"/>
                <w:rtl w:val="true"/>
              </w:rPr>
              <w:tab/>
            </w:r>
            <w:r>
              <w:rPr>
                <w:rStyle w:val="IndexLink"/>
              </w:rPr>
              <w:t>94</w:t>
            </w:r>
          </w:hyperlink>
        </w:p>
        <w:p>
          <w:pPr>
            <w:pStyle w:val="Contents4"/>
            <w:tabs>
              <w:tab w:val="clear" w:pos="8176"/>
              <w:tab w:val="right" w:pos="9026" w:leader="dot"/>
            </w:tabs>
            <w:rPr/>
          </w:pPr>
          <w:hyperlink w:anchor="__RefHeading___Toc2530863_1468164448">
            <w:r>
              <w:rPr>
                <w:webHidden/>
                <w:rStyle w:val="IndexLink"/>
                <w:rtl w:val="true"/>
              </w:rPr>
              <w:t>گفتار پنجم</w:t>
            </w:r>
            <w:r>
              <w:rPr>
                <w:rStyle w:val="IndexLink"/>
                <w:rtl w:val="true"/>
              </w:rPr>
              <w:t xml:space="preserve">: </w:t>
            </w:r>
            <w:r>
              <w:rPr>
                <w:rStyle w:val="IndexLink"/>
                <w:rtl w:val="true"/>
              </w:rPr>
              <w:t>نتیجه‌گیری</w:t>
            </w:r>
            <w:r>
              <w:rPr>
                <w:rStyle w:val="IndexLink"/>
                <w:rtl w:val="true"/>
              </w:rPr>
              <w:tab/>
            </w:r>
            <w:r>
              <w:rPr>
                <w:rStyle w:val="IndexLink"/>
              </w:rPr>
              <w:t>95</w:t>
            </w:r>
          </w:hyperlink>
        </w:p>
        <w:p>
          <w:pPr>
            <w:pStyle w:val="Contents3"/>
            <w:tabs>
              <w:tab w:val="clear" w:pos="8459"/>
              <w:tab w:val="right" w:pos="9026" w:leader="dot"/>
            </w:tabs>
            <w:rPr/>
          </w:pPr>
          <w:hyperlink w:anchor="__RefHeading___Toc2530865_1468164448">
            <w:r>
              <w:rPr>
                <w:webHidden/>
                <w:rStyle w:val="IndexLink"/>
                <w:rtl w:val="true"/>
              </w:rPr>
              <w:t>فصل سوم</w:t>
            </w:r>
            <w:r>
              <w:rPr>
                <w:rStyle w:val="IndexLink"/>
                <w:rtl w:val="true"/>
              </w:rPr>
              <w:t xml:space="preserve">: </w:t>
            </w:r>
            <w:r>
              <w:rPr>
                <w:rStyle w:val="IndexLink"/>
                <w:rtl w:val="true"/>
              </w:rPr>
              <w:t>متعلّق حرمت در بحث مکاسب محرّمه</w:t>
            </w:r>
            <w:r>
              <w:rPr>
                <w:rStyle w:val="IndexLink"/>
                <w:rtl w:val="true"/>
              </w:rPr>
              <w:tab/>
            </w:r>
            <w:r>
              <w:rPr>
                <w:rStyle w:val="IndexLink"/>
              </w:rPr>
              <w:t>96</w:t>
            </w:r>
          </w:hyperlink>
        </w:p>
        <w:p>
          <w:pPr>
            <w:pStyle w:val="Contents4"/>
            <w:tabs>
              <w:tab w:val="clear" w:pos="8176"/>
              <w:tab w:val="right" w:pos="9026" w:leader="dot"/>
            </w:tabs>
            <w:rPr/>
          </w:pPr>
          <w:hyperlink w:anchor="__RefHeading___Toc2530867_1468164448">
            <w:r>
              <w:rPr>
                <w:webHidden/>
                <w:rStyle w:val="IndexLink"/>
                <w:rtl w:val="true"/>
              </w:rPr>
              <w:t>اشارة</w:t>
            </w:r>
            <w:r>
              <w:rPr>
                <w:rStyle w:val="IndexLink"/>
                <w:rtl w:val="true"/>
              </w:rPr>
              <w:tab/>
            </w:r>
            <w:r>
              <w:rPr>
                <w:rStyle w:val="IndexLink"/>
              </w:rPr>
              <w:t>96</w:t>
            </w:r>
          </w:hyperlink>
        </w:p>
        <w:p>
          <w:pPr>
            <w:pStyle w:val="Contents4"/>
            <w:tabs>
              <w:tab w:val="clear" w:pos="8176"/>
              <w:tab w:val="right" w:pos="9026" w:leader="dot"/>
            </w:tabs>
            <w:rPr/>
          </w:pPr>
          <w:hyperlink w:anchor="__RefHeading___Toc2530869_1468164448">
            <w:r>
              <w:rPr>
                <w:webHidden/>
                <w:rStyle w:val="IndexLink"/>
                <w:rtl w:val="true"/>
              </w:rPr>
              <w:t>گفتار اوّل</w:t>
            </w:r>
            <w:r>
              <w:rPr>
                <w:rStyle w:val="IndexLink"/>
                <w:rtl w:val="true"/>
              </w:rPr>
              <w:t xml:space="preserve">: </w:t>
            </w:r>
            <w:r>
              <w:rPr>
                <w:rStyle w:val="IndexLink"/>
                <w:rtl w:val="true"/>
              </w:rPr>
              <w:t>نکات مقدّماتی</w:t>
            </w:r>
            <w:r>
              <w:rPr>
                <w:rStyle w:val="IndexLink"/>
                <w:rtl w:val="true"/>
              </w:rPr>
              <w:tab/>
            </w:r>
            <w:r>
              <w:rPr>
                <w:rStyle w:val="IndexLink"/>
              </w:rPr>
              <w:t>97</w:t>
            </w:r>
          </w:hyperlink>
        </w:p>
        <w:p>
          <w:pPr>
            <w:pStyle w:val="Contents5"/>
            <w:tabs>
              <w:tab w:val="clear" w:pos="7892"/>
              <w:tab w:val="right" w:pos="9026" w:leader="dot"/>
            </w:tabs>
            <w:rPr/>
          </w:pPr>
          <w:hyperlink w:anchor="__RefHeading___Toc2530871_1468164448">
            <w:r>
              <w:rPr>
                <w:webHidden/>
                <w:rStyle w:val="IndexLink"/>
                <w:rtl w:val="true"/>
              </w:rPr>
              <w:t>بند اوّل</w:t>
            </w:r>
            <w:r>
              <w:rPr>
                <w:rStyle w:val="IndexLink"/>
                <w:rtl w:val="true"/>
              </w:rPr>
              <w:t xml:space="preserve">: </w:t>
            </w:r>
            <w:r>
              <w:rPr>
                <w:rStyle w:val="IndexLink"/>
                <w:rtl w:val="true"/>
              </w:rPr>
              <w:t>انواع کسب‌های محرّم</w:t>
            </w:r>
            <w:r>
              <w:rPr>
                <w:rStyle w:val="IndexLink"/>
                <w:rtl w:val="true"/>
              </w:rPr>
              <w:tab/>
            </w:r>
            <w:r>
              <w:rPr>
                <w:rStyle w:val="IndexLink"/>
              </w:rPr>
              <w:t>97</w:t>
            </w:r>
          </w:hyperlink>
        </w:p>
        <w:p>
          <w:pPr>
            <w:pStyle w:val="Contents5"/>
            <w:tabs>
              <w:tab w:val="clear" w:pos="7892"/>
              <w:tab w:val="right" w:pos="9026" w:leader="dot"/>
            </w:tabs>
            <w:rPr/>
          </w:pPr>
          <w:hyperlink w:anchor="__RefHeading___Toc2530873_1468164448">
            <w:r>
              <w:rPr>
                <w:webHidden/>
                <w:rStyle w:val="IndexLink"/>
                <w:rtl w:val="true"/>
              </w:rPr>
              <w:t>بند دوم</w:t>
            </w:r>
            <w:r>
              <w:rPr>
                <w:rStyle w:val="IndexLink"/>
                <w:rtl w:val="true"/>
              </w:rPr>
              <w:t xml:space="preserve">: </w:t>
            </w:r>
            <w:r>
              <w:rPr>
                <w:rStyle w:val="IndexLink"/>
                <w:rtl w:val="true"/>
              </w:rPr>
              <w:t>فرض‌های قابل تصوّر در مورد متعلّق حرمت</w:t>
            </w:r>
            <w:r>
              <w:rPr>
                <w:rStyle w:val="IndexLink"/>
                <w:rtl w:val="true"/>
              </w:rPr>
              <w:tab/>
            </w:r>
            <w:r>
              <w:rPr>
                <w:rStyle w:val="IndexLink"/>
              </w:rPr>
              <w:t>97</w:t>
            </w:r>
          </w:hyperlink>
        </w:p>
        <w:p>
          <w:pPr>
            <w:pStyle w:val="Contents4"/>
            <w:tabs>
              <w:tab w:val="clear" w:pos="8176"/>
              <w:tab w:val="right" w:pos="9026" w:leader="dot"/>
            </w:tabs>
            <w:rPr/>
          </w:pPr>
          <w:hyperlink w:anchor="__RefHeading___Toc2530875_1468164448">
            <w:r>
              <w:rPr>
                <w:webHidden/>
                <w:rStyle w:val="IndexLink"/>
                <w:rtl w:val="true"/>
              </w:rPr>
              <w:t>گفتار دوم</w:t>
            </w:r>
            <w:r>
              <w:rPr>
                <w:rStyle w:val="IndexLink"/>
                <w:rtl w:val="true"/>
              </w:rPr>
              <w:t xml:space="preserve">: </w:t>
            </w:r>
            <w:r>
              <w:rPr>
                <w:rStyle w:val="IndexLink"/>
                <w:rtl w:val="true"/>
              </w:rPr>
              <w:t>دیدگاه‌های فقها</w:t>
            </w:r>
            <w:r>
              <w:rPr>
                <w:rStyle w:val="IndexLink"/>
                <w:rtl w:val="true"/>
              </w:rPr>
              <w:tab/>
            </w:r>
            <w:r>
              <w:rPr>
                <w:rStyle w:val="IndexLink"/>
              </w:rPr>
              <w:t>99</w:t>
            </w:r>
          </w:hyperlink>
        </w:p>
        <w:p>
          <w:pPr>
            <w:pStyle w:val="Contents5"/>
            <w:tabs>
              <w:tab w:val="clear" w:pos="7892"/>
              <w:tab w:val="right" w:pos="9026" w:leader="dot"/>
            </w:tabs>
            <w:rPr/>
          </w:pPr>
          <w:hyperlink w:anchor="__RefHeading___Toc2530877_1468164448">
            <w:r>
              <w:rPr>
                <w:webHidden/>
                <w:rStyle w:val="IndexLink"/>
                <w:rtl w:val="true"/>
              </w:rPr>
              <w:t>بند اوّل</w:t>
            </w:r>
            <w:r>
              <w:rPr>
                <w:rStyle w:val="IndexLink"/>
                <w:rtl w:val="true"/>
              </w:rPr>
              <w:t xml:space="preserve">: </w:t>
            </w:r>
            <w:r>
              <w:rPr>
                <w:rStyle w:val="IndexLink"/>
                <w:rtl w:val="true"/>
              </w:rPr>
              <w:t>دیدگاه شیخ انصاری</w:t>
            </w:r>
            <w:r>
              <w:rPr>
                <w:rStyle w:val="IndexLink"/>
                <w:rtl w:val="true"/>
              </w:rPr>
              <w:tab/>
            </w:r>
            <w:r>
              <w:rPr>
                <w:rStyle w:val="IndexLink"/>
              </w:rPr>
              <w:t>99</w:t>
            </w:r>
          </w:hyperlink>
        </w:p>
        <w:p>
          <w:pPr>
            <w:pStyle w:val="Contents6"/>
            <w:tabs>
              <w:tab w:val="clear" w:pos="7609"/>
              <w:tab w:val="right" w:pos="9026" w:leader="dot"/>
            </w:tabs>
            <w:rPr/>
          </w:pPr>
          <w:hyperlink w:anchor="__RefHeading___Toc2530879_1468164448">
            <w:r>
              <w:rPr>
                <w:webHidden/>
                <w:rStyle w:val="IndexLink"/>
                <w:rtl w:val="true"/>
              </w:rPr>
              <w:t>اشارة</w:t>
            </w:r>
            <w:r>
              <w:rPr>
                <w:rStyle w:val="IndexLink"/>
                <w:rtl w:val="true"/>
              </w:rPr>
              <w:tab/>
            </w:r>
            <w:r>
              <w:rPr>
                <w:rStyle w:val="IndexLink"/>
              </w:rPr>
              <w:t>99</w:t>
            </w:r>
          </w:hyperlink>
        </w:p>
        <w:p>
          <w:pPr>
            <w:pStyle w:val="Contents6"/>
            <w:tabs>
              <w:tab w:val="clear" w:pos="7609"/>
              <w:tab w:val="right" w:pos="9026" w:leader="dot"/>
            </w:tabs>
            <w:rPr/>
          </w:pPr>
          <w:hyperlink w:anchor="__RefHeading___Toc2530881_1468164448">
            <w:r>
              <w:rPr>
                <w:webHidden/>
                <w:rStyle w:val="IndexLink"/>
                <w:rtl w:val="true"/>
              </w:rPr>
              <w:t>الف</w:t>
            </w:r>
            <w:r>
              <w:rPr>
                <w:rStyle w:val="IndexLink"/>
                <w:rtl w:val="true"/>
              </w:rPr>
              <w:t xml:space="preserve">) </w:t>
            </w:r>
            <w:r>
              <w:rPr>
                <w:rStyle w:val="IndexLink"/>
                <w:rtl w:val="true"/>
              </w:rPr>
              <w:t>مطلب اوّل</w:t>
            </w:r>
            <w:r>
              <w:rPr>
                <w:rStyle w:val="IndexLink"/>
                <w:rtl w:val="true"/>
              </w:rPr>
              <w:tab/>
            </w:r>
            <w:r>
              <w:rPr>
                <w:rStyle w:val="IndexLink"/>
              </w:rPr>
              <w:t>99</w:t>
            </w:r>
          </w:hyperlink>
        </w:p>
        <w:p>
          <w:pPr>
            <w:pStyle w:val="Contents6"/>
            <w:tabs>
              <w:tab w:val="clear" w:pos="7609"/>
              <w:tab w:val="right" w:pos="9026" w:leader="dot"/>
            </w:tabs>
            <w:rPr/>
          </w:pPr>
          <w:hyperlink w:anchor="__RefHeading___Toc2530883_1468164448">
            <w:r>
              <w:rPr>
                <w:webHidden/>
                <w:rStyle w:val="IndexLink"/>
                <w:rtl w:val="true"/>
              </w:rPr>
              <w:t>ب</w:t>
            </w:r>
            <w:r>
              <w:rPr>
                <w:rStyle w:val="IndexLink"/>
                <w:rtl w:val="true"/>
              </w:rPr>
              <w:t xml:space="preserve">) </w:t>
            </w:r>
            <w:r>
              <w:rPr>
                <w:rStyle w:val="IndexLink"/>
                <w:rtl w:val="true"/>
              </w:rPr>
              <w:t>مطلب دوم</w:t>
            </w:r>
            <w:r>
              <w:rPr>
                <w:rStyle w:val="IndexLink"/>
                <w:rtl w:val="true"/>
              </w:rPr>
              <w:tab/>
            </w:r>
            <w:r>
              <w:rPr>
                <w:rStyle w:val="IndexLink"/>
              </w:rPr>
              <w:t>100</w:t>
            </w:r>
          </w:hyperlink>
        </w:p>
        <w:p>
          <w:pPr>
            <w:pStyle w:val="Contents6"/>
            <w:tabs>
              <w:tab w:val="clear" w:pos="7609"/>
              <w:tab w:val="right" w:pos="9026" w:leader="dot"/>
            </w:tabs>
            <w:rPr/>
          </w:pPr>
          <w:hyperlink w:anchor="__RefHeading___Toc2530885_1468164448">
            <w:r>
              <w:rPr>
                <w:webHidden/>
                <w:rStyle w:val="IndexLink"/>
                <w:rtl w:val="true"/>
              </w:rPr>
              <w:t>ج</w:t>
            </w:r>
            <w:r>
              <w:rPr>
                <w:rStyle w:val="IndexLink"/>
                <w:rtl w:val="true"/>
              </w:rPr>
              <w:t xml:space="preserve">) </w:t>
            </w:r>
            <w:r>
              <w:rPr>
                <w:rStyle w:val="IndexLink"/>
                <w:rtl w:val="true"/>
              </w:rPr>
              <w:t>مطلب سوم</w:t>
            </w:r>
            <w:r>
              <w:rPr>
                <w:rStyle w:val="IndexLink"/>
                <w:rtl w:val="true"/>
              </w:rPr>
              <w:tab/>
            </w:r>
            <w:r>
              <w:rPr>
                <w:rStyle w:val="IndexLink"/>
              </w:rPr>
              <w:t>103</w:t>
            </w:r>
          </w:hyperlink>
        </w:p>
        <w:p>
          <w:pPr>
            <w:pStyle w:val="Contents5"/>
            <w:tabs>
              <w:tab w:val="clear" w:pos="7892"/>
              <w:tab w:val="right" w:pos="9026" w:leader="dot"/>
            </w:tabs>
            <w:rPr/>
          </w:pPr>
          <w:hyperlink w:anchor="__RefHeading___Toc2530887_1468164448">
            <w:r>
              <w:rPr>
                <w:webHidden/>
                <w:rStyle w:val="IndexLink"/>
                <w:rtl w:val="true"/>
              </w:rPr>
              <w:t>بند دوم</w:t>
            </w:r>
            <w:r>
              <w:rPr>
                <w:rStyle w:val="IndexLink"/>
                <w:rtl w:val="true"/>
              </w:rPr>
              <w:t xml:space="preserve">: </w:t>
            </w:r>
            <w:r>
              <w:rPr>
                <w:rStyle w:val="IndexLink"/>
                <w:rtl w:val="true"/>
              </w:rPr>
              <w:t>دیدگاه محقّق نائینی</w:t>
            </w:r>
            <w:r>
              <w:rPr>
                <w:rStyle w:val="IndexLink"/>
                <w:rtl w:val="true"/>
              </w:rPr>
              <w:tab/>
            </w:r>
            <w:r>
              <w:rPr>
                <w:rStyle w:val="IndexLink"/>
              </w:rPr>
              <w:t>104</w:t>
            </w:r>
          </w:hyperlink>
        </w:p>
        <w:p>
          <w:pPr>
            <w:pStyle w:val="Contents6"/>
            <w:tabs>
              <w:tab w:val="clear" w:pos="7609"/>
              <w:tab w:val="right" w:pos="9026" w:leader="dot"/>
            </w:tabs>
            <w:rPr/>
          </w:pPr>
          <w:hyperlink w:anchor="__RefHeading___Toc2530889_1468164448">
            <w:r>
              <w:rPr>
                <w:webHidden/>
                <w:rStyle w:val="IndexLink"/>
                <w:rtl w:val="true"/>
              </w:rPr>
              <w:t>الف</w:t>
            </w:r>
            <w:r>
              <w:rPr>
                <w:rStyle w:val="IndexLink"/>
                <w:rtl w:val="true"/>
              </w:rPr>
              <w:t xml:space="preserve">) </w:t>
            </w:r>
            <w:r>
              <w:rPr>
                <w:rStyle w:val="IndexLink"/>
                <w:rtl w:val="true"/>
              </w:rPr>
              <w:t>تبیین دیدگاه</w:t>
            </w:r>
            <w:r>
              <w:rPr>
                <w:rStyle w:val="IndexLink"/>
                <w:rtl w:val="true"/>
              </w:rPr>
              <w:tab/>
            </w:r>
            <w:r>
              <w:rPr>
                <w:rStyle w:val="IndexLink"/>
              </w:rPr>
              <w:t>104</w:t>
            </w:r>
          </w:hyperlink>
        </w:p>
        <w:p>
          <w:pPr>
            <w:pStyle w:val="Contents6"/>
            <w:tabs>
              <w:tab w:val="clear" w:pos="7609"/>
              <w:tab w:val="right" w:pos="9026" w:leader="dot"/>
            </w:tabs>
            <w:rPr/>
          </w:pPr>
          <w:hyperlink w:anchor="__RefHeading___Toc2530891_1468164448">
            <w:r>
              <w:rPr>
                <w:webHidden/>
                <w:rStyle w:val="IndexLink"/>
                <w:rtl w:val="true"/>
              </w:rPr>
              <w:t>ب</w:t>
            </w:r>
            <w:r>
              <w:rPr>
                <w:rStyle w:val="IndexLink"/>
                <w:rtl w:val="true"/>
              </w:rPr>
              <w:t xml:space="preserve">) </w:t>
            </w:r>
            <w:r>
              <w:rPr>
                <w:rStyle w:val="IndexLink"/>
                <w:rtl w:val="true"/>
              </w:rPr>
              <w:t>نقد اعتبار لولایی توسّط امام خمینی</w:t>
            </w:r>
            <w:r>
              <w:rPr>
                <w:rStyle w:val="IndexLink"/>
                <w:rtl w:val="true"/>
              </w:rPr>
              <w:tab/>
            </w:r>
            <w:r>
              <w:rPr>
                <w:rStyle w:val="IndexLink"/>
              </w:rPr>
              <w:t>105</w:t>
            </w:r>
          </w:hyperlink>
        </w:p>
        <w:p>
          <w:pPr>
            <w:pStyle w:val="Contents6"/>
            <w:tabs>
              <w:tab w:val="clear" w:pos="7609"/>
              <w:tab w:val="right" w:pos="9026" w:leader="dot"/>
            </w:tabs>
            <w:rPr/>
          </w:pPr>
          <w:hyperlink w:anchor="__RefHeading___Toc2530893_1468164448">
            <w:r>
              <w:rPr>
                <w:webHidden/>
                <w:rStyle w:val="IndexLink"/>
                <w:rtl w:val="true"/>
              </w:rPr>
              <w:t>ج</w:t>
            </w:r>
            <w:r>
              <w:rPr>
                <w:rStyle w:val="IndexLink"/>
                <w:rtl w:val="true"/>
              </w:rPr>
              <w:t xml:space="preserve">) </w:t>
            </w:r>
            <w:r>
              <w:rPr>
                <w:rStyle w:val="IndexLink"/>
                <w:rtl w:val="true"/>
              </w:rPr>
              <w:t>نقد دیدگاه محقّق نائینی</w:t>
            </w:r>
            <w:r>
              <w:rPr>
                <w:rStyle w:val="IndexLink"/>
                <w:rtl w:val="true"/>
              </w:rPr>
              <w:tab/>
            </w:r>
            <w:r>
              <w:rPr>
                <w:rStyle w:val="IndexLink"/>
              </w:rPr>
              <w:t>106</w:t>
            </w:r>
          </w:hyperlink>
        </w:p>
        <w:p>
          <w:pPr>
            <w:pStyle w:val="Contents5"/>
            <w:tabs>
              <w:tab w:val="clear" w:pos="7892"/>
              <w:tab w:val="right" w:pos="9026" w:leader="dot"/>
            </w:tabs>
            <w:rPr/>
          </w:pPr>
          <w:hyperlink w:anchor="__RefHeading___Toc2530895_1468164448">
            <w:r>
              <w:rPr>
                <w:webHidden/>
                <w:rStyle w:val="IndexLink"/>
                <w:rtl w:val="true"/>
              </w:rPr>
              <w:t>بند سوم</w:t>
            </w:r>
            <w:r>
              <w:rPr>
                <w:rStyle w:val="IndexLink"/>
                <w:rtl w:val="true"/>
              </w:rPr>
              <w:t xml:space="preserve">: </w:t>
            </w:r>
            <w:r>
              <w:rPr>
                <w:rStyle w:val="IndexLink"/>
                <w:rtl w:val="true"/>
              </w:rPr>
              <w:t>دیدگاه محقّق ایروانی</w:t>
            </w:r>
            <w:r>
              <w:rPr>
                <w:rStyle w:val="IndexLink"/>
                <w:rtl w:val="true"/>
              </w:rPr>
              <w:tab/>
            </w:r>
            <w:r>
              <w:rPr>
                <w:rStyle w:val="IndexLink"/>
              </w:rPr>
              <w:t>107</w:t>
            </w:r>
          </w:hyperlink>
        </w:p>
        <w:p>
          <w:pPr>
            <w:pStyle w:val="Contents6"/>
            <w:tabs>
              <w:tab w:val="clear" w:pos="7609"/>
              <w:tab w:val="right" w:pos="9026" w:leader="dot"/>
            </w:tabs>
            <w:rPr/>
          </w:pPr>
          <w:hyperlink w:anchor="__RefHeading___Toc2530897_1468164448">
            <w:r>
              <w:rPr>
                <w:webHidden/>
                <w:rStyle w:val="IndexLink"/>
                <w:rtl w:val="true"/>
              </w:rPr>
              <w:t>الف</w:t>
            </w:r>
            <w:r>
              <w:rPr>
                <w:rStyle w:val="IndexLink"/>
                <w:rtl w:val="true"/>
              </w:rPr>
              <w:t xml:space="preserve">) </w:t>
            </w:r>
            <w:r>
              <w:rPr>
                <w:rStyle w:val="IndexLink"/>
                <w:rtl w:val="true"/>
              </w:rPr>
              <w:t>تبیین دیدگاه</w:t>
            </w:r>
            <w:r>
              <w:rPr>
                <w:rStyle w:val="IndexLink"/>
                <w:rtl w:val="true"/>
              </w:rPr>
              <w:tab/>
            </w:r>
            <w:r>
              <w:rPr>
                <w:rStyle w:val="IndexLink"/>
              </w:rPr>
              <w:t>107</w:t>
            </w:r>
          </w:hyperlink>
        </w:p>
        <w:p>
          <w:pPr>
            <w:pStyle w:val="Contents6"/>
            <w:tabs>
              <w:tab w:val="clear" w:pos="7609"/>
              <w:tab w:val="right" w:pos="9026" w:leader="dot"/>
            </w:tabs>
            <w:rPr/>
          </w:pPr>
          <w:hyperlink w:anchor="__RefHeading___Toc2530899_1468164448">
            <w:r>
              <w:rPr>
                <w:webHidden/>
                <w:rStyle w:val="IndexLink"/>
                <w:rtl w:val="true"/>
              </w:rPr>
              <w:t>ب</w:t>
            </w:r>
            <w:r>
              <w:rPr>
                <w:rStyle w:val="IndexLink"/>
                <w:rtl w:val="true"/>
              </w:rPr>
              <w:t xml:space="preserve">) </w:t>
            </w:r>
            <w:r>
              <w:rPr>
                <w:rStyle w:val="IndexLink"/>
                <w:rtl w:val="true"/>
              </w:rPr>
              <w:t>نقد دیدگاه محقّق ایروانی</w:t>
            </w:r>
            <w:r>
              <w:rPr>
                <w:rStyle w:val="IndexLink"/>
                <w:rtl w:val="true"/>
              </w:rPr>
              <w:tab/>
            </w:r>
            <w:r>
              <w:rPr>
                <w:rStyle w:val="IndexLink"/>
              </w:rPr>
              <w:t>108</w:t>
            </w:r>
          </w:hyperlink>
        </w:p>
        <w:p>
          <w:pPr>
            <w:pStyle w:val="Contents6"/>
            <w:tabs>
              <w:tab w:val="clear" w:pos="7609"/>
              <w:tab w:val="right" w:pos="9026" w:leader="dot"/>
            </w:tabs>
            <w:rPr/>
          </w:pPr>
          <w:hyperlink w:anchor="__RefHeading___Toc2530901_1468164448">
            <w:r>
              <w:rPr>
                <w:webHidden/>
                <w:rStyle w:val="IndexLink"/>
                <w:rtl w:val="true"/>
              </w:rPr>
              <w:t>ج</w:t>
            </w:r>
            <w:r>
              <w:rPr>
                <w:rStyle w:val="IndexLink"/>
                <w:rtl w:val="true"/>
              </w:rPr>
              <w:t xml:space="preserve">) </w:t>
            </w:r>
            <w:r>
              <w:rPr>
                <w:rStyle w:val="IndexLink"/>
                <w:rtl w:val="true"/>
              </w:rPr>
              <w:t>اشکال محقّق خویی نسبت به دیدگاه محقّق ایروانی</w:t>
            </w:r>
            <w:r>
              <w:rPr>
                <w:rStyle w:val="IndexLink"/>
                <w:rtl w:val="true"/>
              </w:rPr>
              <w:tab/>
            </w:r>
            <w:r>
              <w:rPr>
                <w:rStyle w:val="IndexLink"/>
              </w:rPr>
              <w:t>111</w:t>
            </w:r>
          </w:hyperlink>
        </w:p>
        <w:p>
          <w:pPr>
            <w:pStyle w:val="Contents5"/>
            <w:tabs>
              <w:tab w:val="clear" w:pos="7892"/>
              <w:tab w:val="right" w:pos="9026" w:leader="dot"/>
            </w:tabs>
            <w:rPr/>
          </w:pPr>
          <w:hyperlink w:anchor="__RefHeading___Toc2530903_1468164448">
            <w:r>
              <w:rPr>
                <w:webHidden/>
                <w:rStyle w:val="IndexLink"/>
                <w:rtl w:val="true"/>
              </w:rPr>
              <w:t>بند چهارم</w:t>
            </w:r>
            <w:r>
              <w:rPr>
                <w:rStyle w:val="IndexLink"/>
                <w:rtl w:val="true"/>
              </w:rPr>
              <w:t xml:space="preserve">: </w:t>
            </w:r>
            <w:r>
              <w:rPr>
                <w:rStyle w:val="IndexLink"/>
                <w:rtl w:val="true"/>
              </w:rPr>
              <w:t>دیدگاه امام خمینی</w:t>
            </w:r>
            <w:r>
              <w:rPr>
                <w:rStyle w:val="IndexLink"/>
                <w:rtl w:val="true"/>
              </w:rPr>
              <w:tab/>
            </w:r>
            <w:r>
              <w:rPr>
                <w:rStyle w:val="IndexLink"/>
              </w:rPr>
              <w:t>112</w:t>
            </w:r>
          </w:hyperlink>
        </w:p>
        <w:p>
          <w:pPr>
            <w:pStyle w:val="Contents5"/>
            <w:tabs>
              <w:tab w:val="clear" w:pos="7892"/>
              <w:tab w:val="right" w:pos="9026" w:leader="dot"/>
            </w:tabs>
            <w:rPr/>
          </w:pPr>
          <w:hyperlink w:anchor="__RefHeading___Toc2530905_1468164448">
            <w:r>
              <w:rPr>
                <w:webHidden/>
                <w:rStyle w:val="IndexLink"/>
                <w:rtl w:val="true"/>
              </w:rPr>
              <w:t>بند پنجم</w:t>
            </w:r>
            <w:r>
              <w:rPr>
                <w:rStyle w:val="IndexLink"/>
                <w:rtl w:val="true"/>
              </w:rPr>
              <w:t xml:space="preserve">: </w:t>
            </w:r>
            <w:r>
              <w:rPr>
                <w:rStyle w:val="IndexLink"/>
                <w:rtl w:val="true"/>
              </w:rPr>
              <w:t>دیدگاه محقّق خویی</w:t>
            </w:r>
            <w:r>
              <w:rPr>
                <w:rStyle w:val="IndexLink"/>
                <w:rtl w:val="true"/>
              </w:rPr>
              <w:tab/>
            </w:r>
            <w:r>
              <w:rPr>
                <w:rStyle w:val="IndexLink"/>
              </w:rPr>
              <w:t>114</w:t>
            </w:r>
          </w:hyperlink>
        </w:p>
        <w:p>
          <w:pPr>
            <w:pStyle w:val="Contents4"/>
            <w:tabs>
              <w:tab w:val="clear" w:pos="8176"/>
              <w:tab w:val="right" w:pos="9026" w:leader="dot"/>
            </w:tabs>
            <w:rPr/>
          </w:pPr>
          <w:hyperlink w:anchor="__RefHeading___Toc2530907_1468164448">
            <w:r>
              <w:rPr>
                <w:webHidden/>
                <w:rStyle w:val="IndexLink"/>
                <w:rtl w:val="true"/>
              </w:rPr>
              <w:t>گفتار سوم</w:t>
            </w:r>
            <w:r>
              <w:rPr>
                <w:rStyle w:val="IndexLink"/>
                <w:rtl w:val="true"/>
              </w:rPr>
              <w:t xml:space="preserve">: </w:t>
            </w:r>
            <w:r>
              <w:rPr>
                <w:rStyle w:val="IndexLink"/>
                <w:rtl w:val="true"/>
              </w:rPr>
              <w:t>دیدگاه برگزیده</w:t>
            </w:r>
            <w:r>
              <w:rPr>
                <w:rStyle w:val="IndexLink"/>
                <w:rtl w:val="true"/>
              </w:rPr>
              <w:tab/>
            </w:r>
            <w:r>
              <w:rPr>
                <w:rStyle w:val="IndexLink"/>
              </w:rPr>
              <w:t>115</w:t>
            </w:r>
          </w:hyperlink>
        </w:p>
        <w:p>
          <w:pPr>
            <w:pStyle w:val="Contents4"/>
            <w:tabs>
              <w:tab w:val="clear" w:pos="8176"/>
              <w:tab w:val="right" w:pos="9026" w:leader="dot"/>
            </w:tabs>
            <w:rPr/>
          </w:pPr>
          <w:hyperlink w:anchor="__RefHeading___Toc2530909_1468164448">
            <w:r>
              <w:rPr>
                <w:webHidden/>
                <w:rStyle w:val="IndexLink"/>
                <w:rtl w:val="true"/>
              </w:rPr>
              <w:t>گفتار چهارم</w:t>
            </w:r>
            <w:r>
              <w:rPr>
                <w:rStyle w:val="IndexLink"/>
                <w:rtl w:val="true"/>
              </w:rPr>
              <w:t xml:space="preserve">: </w:t>
            </w:r>
            <w:r>
              <w:rPr>
                <w:rStyle w:val="IndexLink"/>
                <w:rtl w:val="true"/>
              </w:rPr>
              <w:t>معنای حرمت وضعی</w:t>
            </w:r>
            <w:r>
              <w:rPr>
                <w:rStyle w:val="IndexLink"/>
                <w:rtl w:val="true"/>
              </w:rPr>
              <w:tab/>
            </w:r>
            <w:r>
              <w:rPr>
                <w:rStyle w:val="IndexLink"/>
              </w:rPr>
              <w:t>116</w:t>
            </w:r>
          </w:hyperlink>
        </w:p>
        <w:p>
          <w:pPr>
            <w:pStyle w:val="Contents2"/>
            <w:tabs>
              <w:tab w:val="clear" w:pos="8743"/>
              <w:tab w:val="right" w:pos="9026" w:leader="dot"/>
            </w:tabs>
            <w:rPr/>
          </w:pPr>
          <w:hyperlink w:anchor="__RefHeading___Toc2530911_1468164448">
            <w:r>
              <w:rPr>
                <w:webHidden/>
                <w:rStyle w:val="IndexLink"/>
                <w:rtl w:val="true"/>
              </w:rPr>
              <w:t>بخش دوم</w:t>
            </w:r>
            <w:r>
              <w:rPr>
                <w:rStyle w:val="IndexLink"/>
                <w:rtl w:val="true"/>
              </w:rPr>
              <w:t xml:space="preserve">: </w:t>
            </w:r>
            <w:r>
              <w:rPr>
                <w:rStyle w:val="IndexLink"/>
                <w:rtl w:val="true"/>
              </w:rPr>
              <w:t>اکتساب با اعیان نجس</w:t>
            </w:r>
            <w:r>
              <w:rPr>
                <w:rStyle w:val="IndexLink"/>
                <w:rtl w:val="true"/>
              </w:rPr>
              <w:tab/>
            </w:r>
            <w:r>
              <w:rPr>
                <w:rStyle w:val="IndexLink"/>
              </w:rPr>
              <w:t>117</w:t>
            </w:r>
          </w:hyperlink>
        </w:p>
        <w:p>
          <w:pPr>
            <w:pStyle w:val="Contents3"/>
            <w:tabs>
              <w:tab w:val="clear" w:pos="8459"/>
              <w:tab w:val="right" w:pos="9026" w:leader="dot"/>
            </w:tabs>
            <w:rPr/>
          </w:pPr>
          <w:hyperlink w:anchor="__RefHeading___Toc2530913_1468164448">
            <w:r>
              <w:rPr>
                <w:webHidden/>
                <w:rStyle w:val="IndexLink"/>
                <w:rtl w:val="true"/>
              </w:rPr>
              <w:t>اشارة</w:t>
            </w:r>
            <w:r>
              <w:rPr>
                <w:rStyle w:val="IndexLink"/>
                <w:rtl w:val="true"/>
              </w:rPr>
              <w:tab/>
            </w:r>
            <w:r>
              <w:rPr>
                <w:rStyle w:val="IndexLink"/>
              </w:rPr>
              <w:t>117</w:t>
            </w:r>
          </w:hyperlink>
        </w:p>
        <w:p>
          <w:pPr>
            <w:pStyle w:val="Contents3"/>
            <w:tabs>
              <w:tab w:val="clear" w:pos="8459"/>
              <w:tab w:val="right" w:pos="9026" w:leader="dot"/>
            </w:tabs>
            <w:rPr/>
          </w:pPr>
          <w:hyperlink w:anchor="__RefHeading___Toc2530915_1468164448">
            <w:r>
              <w:rPr>
                <w:webHidden/>
                <w:rStyle w:val="IndexLink"/>
                <w:rtl w:val="true"/>
              </w:rPr>
              <w:t>فصل اوّل</w:t>
            </w:r>
            <w:r>
              <w:rPr>
                <w:rStyle w:val="IndexLink"/>
                <w:rtl w:val="true"/>
              </w:rPr>
              <w:t xml:space="preserve">: </w:t>
            </w:r>
            <w:r>
              <w:rPr>
                <w:rStyle w:val="IndexLink"/>
                <w:rtl w:val="true"/>
              </w:rPr>
              <w:t>معاملۀ اعیان نجس</w:t>
            </w:r>
            <w:r>
              <w:rPr>
                <w:rStyle w:val="IndexLink"/>
                <w:rtl w:val="true"/>
              </w:rPr>
              <w:tab/>
            </w:r>
            <w:r>
              <w:rPr>
                <w:rStyle w:val="IndexLink"/>
              </w:rPr>
              <w:t>118</w:t>
            </w:r>
          </w:hyperlink>
        </w:p>
        <w:p>
          <w:pPr>
            <w:pStyle w:val="Contents4"/>
            <w:tabs>
              <w:tab w:val="clear" w:pos="8176"/>
              <w:tab w:val="right" w:pos="9026" w:leader="dot"/>
            </w:tabs>
            <w:rPr/>
          </w:pPr>
          <w:hyperlink w:anchor="__RefHeading___Toc2530917_1468164448">
            <w:r>
              <w:rPr>
                <w:webHidden/>
                <w:rStyle w:val="IndexLink"/>
                <w:rtl w:val="true"/>
              </w:rPr>
              <w:t>اشارة</w:t>
            </w:r>
            <w:r>
              <w:rPr>
                <w:rStyle w:val="IndexLink"/>
                <w:rtl w:val="true"/>
              </w:rPr>
              <w:tab/>
            </w:r>
            <w:r>
              <w:rPr>
                <w:rStyle w:val="IndexLink"/>
              </w:rPr>
              <w:t>118</w:t>
            </w:r>
          </w:hyperlink>
        </w:p>
        <w:p>
          <w:pPr>
            <w:pStyle w:val="Contents4"/>
            <w:tabs>
              <w:tab w:val="clear" w:pos="8176"/>
              <w:tab w:val="right" w:pos="9026" w:leader="dot"/>
            </w:tabs>
            <w:rPr/>
          </w:pPr>
          <w:hyperlink w:anchor="__RefHeading___Toc2530919_1468164448">
            <w:r>
              <w:rPr>
                <w:webHidden/>
                <w:rStyle w:val="IndexLink"/>
                <w:rtl w:val="true"/>
              </w:rPr>
              <w:t>گفتار اوّل</w:t>
            </w:r>
            <w:r>
              <w:rPr>
                <w:rStyle w:val="IndexLink"/>
                <w:rtl w:val="true"/>
              </w:rPr>
              <w:t xml:space="preserve">: </w:t>
            </w:r>
            <w:r>
              <w:rPr>
                <w:rStyle w:val="IndexLink"/>
                <w:rtl w:val="true"/>
              </w:rPr>
              <w:t>حکم تکلیفی معاملۀ اعیان نجس</w:t>
            </w:r>
            <w:r>
              <w:rPr>
                <w:rStyle w:val="IndexLink"/>
                <w:rtl w:val="true"/>
              </w:rPr>
              <w:tab/>
            </w:r>
            <w:r>
              <w:rPr>
                <w:rStyle w:val="IndexLink"/>
              </w:rPr>
              <w:t>120</w:t>
            </w:r>
          </w:hyperlink>
        </w:p>
        <w:p>
          <w:pPr>
            <w:pStyle w:val="Contents5"/>
            <w:tabs>
              <w:tab w:val="clear" w:pos="7892"/>
              <w:tab w:val="right" w:pos="9026" w:leader="dot"/>
            </w:tabs>
            <w:rPr/>
          </w:pPr>
          <w:hyperlink w:anchor="__RefHeading___Toc2530921_1468164448">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2530923_1468164448">
            <w:r>
              <w:rPr>
                <w:webHidden/>
                <w:rStyle w:val="IndexLink"/>
                <w:rtl w:val="true"/>
              </w:rPr>
              <w:t>بند اوّل</w:t>
            </w:r>
            <w:r>
              <w:rPr>
                <w:rStyle w:val="IndexLink"/>
                <w:rtl w:val="true"/>
              </w:rPr>
              <w:t xml:space="preserve">: </w:t>
            </w:r>
            <w:r>
              <w:rPr>
                <w:rStyle w:val="IndexLink"/>
                <w:rtl w:val="true"/>
              </w:rPr>
              <w:t>بررسی ادلّۀ لفظی</w:t>
            </w:r>
            <w:r>
              <w:rPr>
                <w:rStyle w:val="IndexLink"/>
                <w:rtl w:val="true"/>
              </w:rPr>
              <w:tab/>
            </w:r>
            <w:r>
              <w:rPr>
                <w:rStyle w:val="IndexLink"/>
              </w:rPr>
              <w:t>121</w:t>
            </w:r>
          </w:hyperlink>
        </w:p>
        <w:p>
          <w:pPr>
            <w:pStyle w:val="Contents6"/>
            <w:tabs>
              <w:tab w:val="clear" w:pos="7609"/>
              <w:tab w:val="right" w:pos="9026" w:leader="dot"/>
            </w:tabs>
            <w:rPr/>
          </w:pPr>
          <w:hyperlink w:anchor="__RefHeading___Toc2530925_1468164448">
            <w:r>
              <w:rPr>
                <w:webHidden/>
                <w:rStyle w:val="IndexLink"/>
                <w:rtl w:val="true"/>
              </w:rPr>
              <w:t>الف</w:t>
            </w:r>
            <w:r>
              <w:rPr>
                <w:rStyle w:val="IndexLink"/>
                <w:rtl w:val="true"/>
              </w:rPr>
              <w:t xml:space="preserve">) </w:t>
            </w:r>
            <w:r>
              <w:rPr>
                <w:rStyle w:val="IndexLink"/>
                <w:rtl w:val="true"/>
              </w:rPr>
              <w:t>روایت تحف العقول</w:t>
            </w:r>
            <w:r>
              <w:rPr>
                <w:rStyle w:val="IndexLink"/>
                <w:rtl w:val="true"/>
              </w:rPr>
              <w:tab/>
            </w:r>
            <w:r>
              <w:rPr>
                <w:rStyle w:val="IndexLink"/>
              </w:rPr>
              <w:t>121</w:t>
            </w:r>
          </w:hyperlink>
        </w:p>
        <w:p>
          <w:pPr>
            <w:pStyle w:val="Contents6"/>
            <w:tabs>
              <w:tab w:val="clear" w:pos="7609"/>
              <w:tab w:val="right" w:pos="9026" w:leader="dot"/>
            </w:tabs>
            <w:rPr/>
          </w:pPr>
          <w:hyperlink w:anchor="__RefHeading___Toc2530927_1468164448">
            <w:r>
              <w:rPr>
                <w:webHidden/>
                <w:rStyle w:val="IndexLink"/>
                <w:rtl w:val="true"/>
              </w:rPr>
              <w:t>ب</w:t>
            </w:r>
            <w:r>
              <w:rPr>
                <w:rStyle w:val="IndexLink"/>
                <w:rtl w:val="true"/>
              </w:rPr>
              <w:t xml:space="preserve">) </w:t>
            </w:r>
            <w:r>
              <w:rPr>
                <w:rStyle w:val="IndexLink"/>
                <w:rtl w:val="true"/>
              </w:rPr>
              <w:t>روایت</w:t>
            </w:r>
            <w:r>
              <w:rPr>
                <w:rStyle w:val="IndexLink"/>
                <w:rtl w:val="true"/>
              </w:rPr>
              <w:tab/>
            </w:r>
            <w:r>
              <w:rPr>
                <w:rStyle w:val="IndexLink"/>
              </w:rPr>
              <w:t>122</w:t>
            </w:r>
          </w:hyperlink>
        </w:p>
        <w:p>
          <w:pPr>
            <w:pStyle w:val="Contents6"/>
            <w:tabs>
              <w:tab w:val="clear" w:pos="7609"/>
              <w:tab w:val="right" w:pos="9026" w:leader="dot"/>
            </w:tabs>
            <w:rPr/>
          </w:pPr>
          <w:hyperlink w:anchor="__RefHeading___Toc2530929_1468164448">
            <w:r>
              <w:rPr>
                <w:webHidden/>
                <w:rStyle w:val="IndexLink"/>
                <w:rtl w:val="true"/>
              </w:rPr>
              <w:t>ج</w:t>
            </w:r>
            <w:r>
              <w:rPr>
                <w:rStyle w:val="IndexLink"/>
                <w:rtl w:val="true"/>
              </w:rPr>
              <w:t xml:space="preserve">) </w:t>
            </w:r>
            <w:r>
              <w:rPr>
                <w:rStyle w:val="IndexLink"/>
                <w:rtl w:val="true"/>
              </w:rPr>
              <w:t>روایت</w:t>
            </w:r>
            <w:r>
              <w:rPr>
                <w:rStyle w:val="IndexLink"/>
                <w:rtl w:val="true"/>
              </w:rPr>
              <w:tab/>
            </w:r>
            <w:r>
              <w:rPr>
                <w:rStyle w:val="IndexLink"/>
              </w:rPr>
              <w:t>123</w:t>
            </w:r>
          </w:hyperlink>
        </w:p>
        <w:p>
          <w:pPr>
            <w:pStyle w:val="Contents6"/>
            <w:tabs>
              <w:tab w:val="clear" w:pos="7609"/>
              <w:tab w:val="right" w:pos="9026" w:leader="dot"/>
            </w:tabs>
            <w:rPr/>
          </w:pPr>
          <w:hyperlink w:anchor="__RefHeading___Toc2530931_1468164448">
            <w:r>
              <w:rPr>
                <w:webHidden/>
                <w:rStyle w:val="IndexLink"/>
                <w:rtl w:val="true"/>
              </w:rPr>
              <w:t>ه</w:t>
            </w:r>
            <w:r>
              <w:rPr>
                <w:rStyle w:val="IndexLink"/>
                <w:rtl w:val="true"/>
              </w:rPr>
              <w:t xml:space="preserve">) </w:t>
            </w:r>
            <w:r>
              <w:rPr>
                <w:rStyle w:val="IndexLink"/>
                <w:rtl w:val="true"/>
              </w:rPr>
              <w:t xml:space="preserve">آیۀ </w:t>
            </w:r>
            <w:r>
              <w:rPr>
                <w:rStyle w:val="IndexLink"/>
              </w:rPr>
              <w:t>90</w:t>
            </w:r>
            <w:r>
              <w:rPr>
                <w:rStyle w:val="IndexLink"/>
                <w:rtl w:val="true"/>
              </w:rPr>
              <w:t xml:space="preserve"> </w:t>
            </w:r>
            <w:r>
              <w:rPr>
                <w:rStyle w:val="IndexLink"/>
                <w:rtl w:val="true"/>
              </w:rPr>
              <w:t>سورۀ مائده</w:t>
            </w:r>
            <w:r>
              <w:rPr>
                <w:rStyle w:val="IndexLink"/>
                <w:rtl w:val="true"/>
              </w:rPr>
              <w:tab/>
            </w:r>
            <w:r>
              <w:rPr>
                <w:rStyle w:val="IndexLink"/>
              </w:rPr>
              <w:t>126</w:t>
            </w:r>
          </w:hyperlink>
        </w:p>
        <w:p>
          <w:pPr>
            <w:pStyle w:val="Contents6"/>
            <w:tabs>
              <w:tab w:val="clear" w:pos="7609"/>
              <w:tab w:val="right" w:pos="9026" w:leader="dot"/>
            </w:tabs>
            <w:rPr/>
          </w:pPr>
          <w:hyperlink w:anchor="__RefHeading___Toc2530933_1468164448">
            <w:r>
              <w:rPr>
                <w:webHidden/>
                <w:rStyle w:val="IndexLink"/>
                <w:rtl w:val="true"/>
              </w:rPr>
              <w:t>و</w:t>
            </w:r>
            <w:r>
              <w:rPr>
                <w:rStyle w:val="IndexLink"/>
                <w:rtl w:val="true"/>
              </w:rPr>
              <w:t xml:space="preserve">) </w:t>
            </w:r>
            <w:r>
              <w:rPr>
                <w:rStyle w:val="IndexLink"/>
                <w:rtl w:val="true"/>
              </w:rPr>
              <w:t>آیۀ پنجم سورۀ مدّثر</w:t>
            </w:r>
            <w:r>
              <w:rPr>
                <w:rStyle w:val="IndexLink"/>
                <w:rtl w:val="true"/>
              </w:rPr>
              <w:tab/>
            </w:r>
            <w:r>
              <w:rPr>
                <w:rStyle w:val="IndexLink"/>
              </w:rPr>
              <w:t>128</w:t>
            </w:r>
          </w:hyperlink>
        </w:p>
        <w:p>
          <w:pPr>
            <w:pStyle w:val="Contents6"/>
            <w:tabs>
              <w:tab w:val="clear" w:pos="7609"/>
              <w:tab w:val="right" w:pos="9026" w:leader="dot"/>
            </w:tabs>
            <w:rPr/>
          </w:pPr>
          <w:hyperlink w:anchor="__RefHeading___Toc2530935_1468164448">
            <w:r>
              <w:rPr>
                <w:webHidden/>
                <w:rStyle w:val="IndexLink"/>
                <w:rtl w:val="true"/>
              </w:rPr>
              <w:t>ز</w:t>
            </w:r>
            <w:r>
              <w:rPr>
                <w:rStyle w:val="IndexLink"/>
                <w:rtl w:val="true"/>
              </w:rPr>
              <w:t xml:space="preserve">) </w:t>
            </w:r>
            <w:r>
              <w:rPr>
                <w:rStyle w:val="IndexLink"/>
                <w:rtl w:val="true"/>
              </w:rPr>
              <w:t xml:space="preserve">آیۀ </w:t>
            </w:r>
            <w:r>
              <w:rPr>
                <w:rStyle w:val="IndexLink"/>
              </w:rPr>
              <w:t>157</w:t>
            </w:r>
            <w:r>
              <w:rPr>
                <w:rStyle w:val="IndexLink"/>
                <w:rtl w:val="true"/>
              </w:rPr>
              <w:t xml:space="preserve"> </w:t>
            </w:r>
            <w:r>
              <w:rPr>
                <w:rStyle w:val="IndexLink"/>
                <w:rtl w:val="true"/>
              </w:rPr>
              <w:t>سورۀ اعراف</w:t>
            </w:r>
            <w:r>
              <w:rPr>
                <w:rStyle w:val="IndexLink"/>
                <w:rtl w:val="true"/>
              </w:rPr>
              <w:tab/>
            </w:r>
            <w:r>
              <w:rPr>
                <w:rStyle w:val="IndexLink"/>
              </w:rPr>
              <w:t>129</w:t>
            </w:r>
          </w:hyperlink>
        </w:p>
        <w:p>
          <w:pPr>
            <w:pStyle w:val="Contents6"/>
            <w:tabs>
              <w:tab w:val="clear" w:pos="7609"/>
              <w:tab w:val="right" w:pos="9026" w:leader="dot"/>
            </w:tabs>
            <w:rPr/>
          </w:pPr>
          <w:hyperlink w:anchor="__RefHeading___Toc2530937_1468164448">
            <w:r>
              <w:rPr>
                <w:webHidden/>
                <w:rStyle w:val="IndexLink"/>
                <w:rtl w:val="true"/>
              </w:rPr>
              <w:t>ح</w:t>
            </w:r>
            <w:r>
              <w:rPr>
                <w:rStyle w:val="IndexLink"/>
                <w:rtl w:val="true"/>
              </w:rPr>
              <w:t xml:space="preserve">) </w:t>
            </w:r>
            <w:r>
              <w:rPr>
                <w:rStyle w:val="IndexLink"/>
                <w:rtl w:val="true"/>
              </w:rPr>
              <w:t>حرمت خوردن و آشامیدن نجاست</w:t>
            </w:r>
            <w:r>
              <w:rPr>
                <w:rStyle w:val="IndexLink"/>
                <w:rtl w:val="true"/>
              </w:rPr>
              <w:tab/>
            </w:r>
            <w:r>
              <w:rPr>
                <w:rStyle w:val="IndexLink"/>
              </w:rPr>
              <w:t>130</w:t>
            </w:r>
          </w:hyperlink>
        </w:p>
        <w:p>
          <w:pPr>
            <w:pStyle w:val="Contents5"/>
            <w:tabs>
              <w:tab w:val="clear" w:pos="7892"/>
              <w:tab w:val="right" w:pos="9026" w:leader="dot"/>
            </w:tabs>
            <w:rPr/>
          </w:pPr>
          <w:hyperlink w:anchor="__RefHeading___Toc2530939_1468164448">
            <w:r>
              <w:rPr>
                <w:webHidden/>
                <w:rStyle w:val="IndexLink"/>
                <w:rtl w:val="true"/>
              </w:rPr>
              <w:t>بند دوم</w:t>
            </w:r>
            <w:r>
              <w:rPr>
                <w:rStyle w:val="IndexLink"/>
                <w:rtl w:val="true"/>
              </w:rPr>
              <w:t xml:space="preserve">: </w:t>
            </w:r>
            <w:r>
              <w:rPr>
                <w:rStyle w:val="IndexLink"/>
                <w:rtl w:val="true"/>
              </w:rPr>
              <w:t>بررسی اجماع</w:t>
            </w:r>
            <w:r>
              <w:rPr>
                <w:rStyle w:val="IndexLink"/>
                <w:rtl w:val="true"/>
              </w:rPr>
              <w:tab/>
            </w:r>
            <w:r>
              <w:rPr>
                <w:rStyle w:val="IndexLink"/>
              </w:rPr>
              <w:t>131</w:t>
            </w:r>
          </w:hyperlink>
        </w:p>
        <w:p>
          <w:pPr>
            <w:pStyle w:val="Contents5"/>
            <w:tabs>
              <w:tab w:val="clear" w:pos="7892"/>
              <w:tab w:val="right" w:pos="9026" w:leader="dot"/>
            </w:tabs>
            <w:rPr/>
          </w:pPr>
          <w:hyperlink w:anchor="__RefHeading___Toc2530941_1468164448">
            <w:r>
              <w:rPr>
                <w:webHidden/>
                <w:rStyle w:val="IndexLink"/>
                <w:rtl w:val="true"/>
              </w:rPr>
              <w:t>بند سوم</w:t>
            </w:r>
            <w:r>
              <w:rPr>
                <w:rStyle w:val="IndexLink"/>
                <w:rtl w:val="true"/>
              </w:rPr>
              <w:t xml:space="preserve">: </w:t>
            </w:r>
            <w:r>
              <w:rPr>
                <w:rStyle w:val="IndexLink"/>
                <w:rtl w:val="true"/>
              </w:rPr>
              <w:t>بررسی شهرت در مسئله</w:t>
            </w:r>
            <w:r>
              <w:rPr>
                <w:rStyle w:val="IndexLink"/>
                <w:rtl w:val="true"/>
              </w:rPr>
              <w:tab/>
            </w:r>
            <w:r>
              <w:rPr>
                <w:rStyle w:val="IndexLink"/>
              </w:rPr>
              <w:t>136</w:t>
            </w:r>
          </w:hyperlink>
        </w:p>
        <w:p>
          <w:pPr>
            <w:pStyle w:val="Contents5"/>
            <w:tabs>
              <w:tab w:val="clear" w:pos="7892"/>
              <w:tab w:val="right" w:pos="9026" w:leader="dot"/>
            </w:tabs>
            <w:rPr/>
          </w:pPr>
          <w:hyperlink w:anchor="__RefHeading___Toc2530943_1468164448">
            <w:r>
              <w:rPr>
                <w:webHidden/>
                <w:rStyle w:val="IndexLink"/>
                <w:rtl w:val="true"/>
              </w:rPr>
              <w:t>بند چهارم</w:t>
            </w:r>
            <w:r>
              <w:rPr>
                <w:rStyle w:val="IndexLink"/>
                <w:rtl w:val="true"/>
              </w:rPr>
              <w:t xml:space="preserve">: </w:t>
            </w:r>
            <w:r>
              <w:rPr>
                <w:rStyle w:val="IndexLink"/>
                <w:rtl w:val="true"/>
              </w:rPr>
              <w:t>نتیجه گیری و دیدگاه برگزیده</w:t>
            </w:r>
            <w:r>
              <w:rPr>
                <w:rStyle w:val="IndexLink"/>
                <w:rtl w:val="true"/>
              </w:rPr>
              <w:tab/>
            </w:r>
            <w:r>
              <w:rPr>
                <w:rStyle w:val="IndexLink"/>
              </w:rPr>
              <w:t>136</w:t>
            </w:r>
          </w:hyperlink>
        </w:p>
        <w:p>
          <w:pPr>
            <w:pStyle w:val="Contents4"/>
            <w:tabs>
              <w:tab w:val="clear" w:pos="8176"/>
              <w:tab w:val="right" w:pos="9026" w:leader="dot"/>
            </w:tabs>
            <w:rPr/>
          </w:pPr>
          <w:hyperlink w:anchor="__RefHeading___Toc2530945_1468164448">
            <w:r>
              <w:rPr>
                <w:webHidden/>
                <w:rStyle w:val="IndexLink"/>
                <w:rtl w:val="true"/>
              </w:rPr>
              <w:t>گفتار دوم</w:t>
            </w:r>
            <w:r>
              <w:rPr>
                <w:rStyle w:val="IndexLink"/>
                <w:rtl w:val="true"/>
              </w:rPr>
              <w:t xml:space="preserve">: </w:t>
            </w:r>
            <w:r>
              <w:rPr>
                <w:rStyle w:val="IndexLink"/>
                <w:rtl w:val="true"/>
              </w:rPr>
              <w:t>حکم اخذ ثمن در مقابل فروش اعیان نجس</w:t>
            </w:r>
            <w:r>
              <w:rPr>
                <w:rStyle w:val="IndexLink"/>
                <w:rtl w:val="true"/>
              </w:rPr>
              <w:tab/>
            </w:r>
            <w:r>
              <w:rPr>
                <w:rStyle w:val="IndexLink"/>
              </w:rPr>
              <w:t>138</w:t>
            </w:r>
          </w:hyperlink>
        </w:p>
        <w:p>
          <w:pPr>
            <w:pStyle w:val="Contents5"/>
            <w:tabs>
              <w:tab w:val="clear" w:pos="7892"/>
              <w:tab w:val="right" w:pos="9026" w:leader="dot"/>
            </w:tabs>
            <w:rPr/>
          </w:pPr>
          <w:hyperlink w:anchor="__RefHeading___Toc2530947_1468164448">
            <w:r>
              <w:rPr>
                <w:webHidden/>
                <w:rStyle w:val="IndexLink"/>
                <w:rtl w:val="true"/>
              </w:rPr>
              <w:t>اشارة</w:t>
            </w:r>
            <w:r>
              <w:rPr>
                <w:rStyle w:val="IndexLink"/>
                <w:rtl w:val="true"/>
              </w:rPr>
              <w:tab/>
            </w:r>
            <w:r>
              <w:rPr>
                <w:rStyle w:val="IndexLink"/>
              </w:rPr>
              <w:t>138</w:t>
            </w:r>
          </w:hyperlink>
        </w:p>
        <w:p>
          <w:pPr>
            <w:pStyle w:val="Contents5"/>
            <w:tabs>
              <w:tab w:val="clear" w:pos="7892"/>
              <w:tab w:val="right" w:pos="9026" w:leader="dot"/>
            </w:tabs>
            <w:rPr/>
          </w:pPr>
          <w:hyperlink w:anchor="__RefHeading___Toc2530949_1468164448">
            <w:r>
              <w:rPr>
                <w:webHidden/>
                <w:rStyle w:val="IndexLink"/>
                <w:rtl w:val="true"/>
              </w:rPr>
              <w:t>بند اوّل</w:t>
            </w:r>
            <w:r>
              <w:rPr>
                <w:rStyle w:val="IndexLink"/>
                <w:rtl w:val="true"/>
              </w:rPr>
              <w:t xml:space="preserve">: </w:t>
            </w:r>
            <w:r>
              <w:rPr>
                <w:rStyle w:val="IndexLink"/>
                <w:rtl w:val="true"/>
              </w:rPr>
              <w:t>دیدگاه امام خمینی</w:t>
            </w:r>
            <w:r>
              <w:rPr>
                <w:rStyle w:val="IndexLink"/>
                <w:rtl w:val="true"/>
              </w:rPr>
              <w:tab/>
            </w:r>
            <w:r>
              <w:rPr>
                <w:rStyle w:val="IndexLink"/>
              </w:rPr>
              <w:t>139</w:t>
            </w:r>
          </w:hyperlink>
        </w:p>
        <w:p>
          <w:pPr>
            <w:pStyle w:val="Contents6"/>
            <w:tabs>
              <w:tab w:val="clear" w:pos="7609"/>
              <w:tab w:val="right" w:pos="9026" w:leader="dot"/>
            </w:tabs>
            <w:rPr/>
          </w:pPr>
          <w:hyperlink w:anchor="__RefHeading___Toc2530951_1468164448">
            <w:r>
              <w:rPr>
                <w:webHidden/>
                <w:rStyle w:val="IndexLink"/>
                <w:rtl w:val="true"/>
              </w:rPr>
              <w:t>اشارة</w:t>
            </w:r>
            <w:r>
              <w:rPr>
                <w:rStyle w:val="IndexLink"/>
                <w:rtl w:val="true"/>
              </w:rPr>
              <w:tab/>
            </w:r>
            <w:r>
              <w:rPr>
                <w:rStyle w:val="IndexLink"/>
              </w:rPr>
              <w:t>139</w:t>
            </w:r>
          </w:hyperlink>
        </w:p>
        <w:p>
          <w:pPr>
            <w:pStyle w:val="Contents6"/>
            <w:tabs>
              <w:tab w:val="clear" w:pos="7609"/>
              <w:tab w:val="right" w:pos="9026" w:leader="dot"/>
            </w:tabs>
            <w:rPr/>
          </w:pPr>
          <w:hyperlink w:anchor="__RefHeading___Toc2530953_1468164448">
            <w:r>
              <w:rPr>
                <w:webHidden/>
                <w:rStyle w:val="IndexLink"/>
                <w:rtl w:val="true"/>
              </w:rPr>
              <w:t>الف</w:t>
            </w:r>
            <w:r>
              <w:rPr>
                <w:rStyle w:val="IndexLink"/>
                <w:rtl w:val="true"/>
              </w:rPr>
              <w:t xml:space="preserve">) </w:t>
            </w:r>
            <w:r>
              <w:rPr>
                <w:rStyle w:val="IndexLink"/>
                <w:rtl w:val="true"/>
              </w:rPr>
              <w:t>دلیل یکم</w:t>
            </w:r>
            <w:r>
              <w:rPr>
                <w:rStyle w:val="IndexLink"/>
                <w:rtl w:val="true"/>
              </w:rPr>
              <w:tab/>
            </w:r>
            <w:r>
              <w:rPr>
                <w:rStyle w:val="IndexLink"/>
              </w:rPr>
              <w:t>139</w:t>
            </w:r>
          </w:hyperlink>
        </w:p>
        <w:p>
          <w:pPr>
            <w:pStyle w:val="Contents6"/>
            <w:tabs>
              <w:tab w:val="clear" w:pos="7609"/>
              <w:tab w:val="right" w:pos="9026" w:leader="dot"/>
            </w:tabs>
            <w:rPr/>
          </w:pPr>
          <w:hyperlink w:anchor="__RefHeading___Toc2530955_1468164448">
            <w:r>
              <w:rPr>
                <w:webHidden/>
                <w:rStyle w:val="IndexLink"/>
                <w:rtl w:val="true"/>
              </w:rPr>
              <w:t>ب</w:t>
            </w:r>
            <w:r>
              <w:rPr>
                <w:rStyle w:val="IndexLink"/>
                <w:rtl w:val="true"/>
              </w:rPr>
              <w:t xml:space="preserve">) </w:t>
            </w:r>
            <w:r>
              <w:rPr>
                <w:rStyle w:val="IndexLink"/>
                <w:rtl w:val="true"/>
              </w:rPr>
              <w:t>دلیل دوم</w:t>
            </w:r>
            <w:r>
              <w:rPr>
                <w:rStyle w:val="IndexLink"/>
                <w:rtl w:val="true"/>
              </w:rPr>
              <w:tab/>
            </w:r>
            <w:r>
              <w:rPr>
                <w:rStyle w:val="IndexLink"/>
              </w:rPr>
              <w:t>140</w:t>
            </w:r>
          </w:hyperlink>
        </w:p>
        <w:p>
          <w:pPr>
            <w:pStyle w:val="Contents6"/>
            <w:tabs>
              <w:tab w:val="clear" w:pos="7609"/>
              <w:tab w:val="right" w:pos="9026" w:leader="dot"/>
            </w:tabs>
            <w:rPr/>
          </w:pPr>
          <w:hyperlink w:anchor="__RefHeading___Toc2530957_1468164448">
            <w:r>
              <w:rPr>
                <w:webHidden/>
                <w:rStyle w:val="IndexLink"/>
                <w:rtl w:val="true"/>
              </w:rPr>
              <w:t>ج</w:t>
            </w:r>
            <w:r>
              <w:rPr>
                <w:rStyle w:val="IndexLink"/>
                <w:rtl w:val="true"/>
              </w:rPr>
              <w:t xml:space="preserve">) </w:t>
            </w:r>
            <w:r>
              <w:rPr>
                <w:rStyle w:val="IndexLink"/>
                <w:rtl w:val="true"/>
              </w:rPr>
              <w:t>دلیل سوم</w:t>
            </w:r>
            <w:r>
              <w:rPr>
                <w:rStyle w:val="IndexLink"/>
                <w:rtl w:val="true"/>
              </w:rPr>
              <w:tab/>
            </w:r>
            <w:r>
              <w:rPr>
                <w:rStyle w:val="IndexLink"/>
              </w:rPr>
              <w:t>140</w:t>
            </w:r>
          </w:hyperlink>
        </w:p>
        <w:p>
          <w:pPr>
            <w:pStyle w:val="Contents6"/>
            <w:tabs>
              <w:tab w:val="clear" w:pos="7609"/>
              <w:tab w:val="right" w:pos="9026" w:leader="dot"/>
            </w:tabs>
            <w:rPr/>
          </w:pPr>
          <w:hyperlink w:anchor="__RefHeading___Toc2530959_1468164448">
            <w:r>
              <w:rPr>
                <w:webHidden/>
                <w:rStyle w:val="IndexLink"/>
                <w:rtl w:val="true"/>
              </w:rPr>
              <w:t>د</w:t>
            </w:r>
            <w:r>
              <w:rPr>
                <w:rStyle w:val="IndexLink"/>
                <w:rtl w:val="true"/>
              </w:rPr>
              <w:t xml:space="preserve">) </w:t>
            </w:r>
            <w:r>
              <w:rPr>
                <w:rStyle w:val="IndexLink"/>
                <w:rtl w:val="true"/>
              </w:rPr>
              <w:t>دلیل چهارم</w:t>
            </w:r>
            <w:r>
              <w:rPr>
                <w:rStyle w:val="IndexLink"/>
                <w:rtl w:val="true"/>
              </w:rPr>
              <w:tab/>
            </w:r>
            <w:r>
              <w:rPr>
                <w:rStyle w:val="IndexLink"/>
              </w:rPr>
              <w:t>141</w:t>
            </w:r>
          </w:hyperlink>
        </w:p>
        <w:p>
          <w:pPr>
            <w:pStyle w:val="Contents6"/>
            <w:tabs>
              <w:tab w:val="clear" w:pos="7609"/>
              <w:tab w:val="right" w:pos="9026" w:leader="dot"/>
            </w:tabs>
            <w:rPr/>
          </w:pPr>
          <w:hyperlink w:anchor="__RefHeading___Toc2530961_1468164448">
            <w:r>
              <w:rPr>
                <w:webHidden/>
                <w:rStyle w:val="IndexLink"/>
                <w:rtl w:val="true"/>
              </w:rPr>
              <w:t>ه</w:t>
            </w:r>
            <w:r>
              <w:rPr>
                <w:rStyle w:val="IndexLink"/>
                <w:rtl w:val="true"/>
              </w:rPr>
              <w:t xml:space="preserve">) </w:t>
            </w:r>
            <w:r>
              <w:rPr>
                <w:rStyle w:val="IndexLink"/>
                <w:rtl w:val="true"/>
              </w:rPr>
              <w:t>دلیل پنجم</w:t>
            </w:r>
            <w:r>
              <w:rPr>
                <w:rStyle w:val="IndexLink"/>
                <w:rtl w:val="true"/>
              </w:rPr>
              <w:tab/>
            </w:r>
            <w:r>
              <w:rPr>
                <w:rStyle w:val="IndexLink"/>
              </w:rPr>
              <w:t>142</w:t>
            </w:r>
          </w:hyperlink>
        </w:p>
        <w:p>
          <w:pPr>
            <w:pStyle w:val="Contents5"/>
            <w:tabs>
              <w:tab w:val="clear" w:pos="7892"/>
              <w:tab w:val="right" w:pos="9026" w:leader="dot"/>
            </w:tabs>
            <w:rPr/>
          </w:pPr>
          <w:hyperlink w:anchor="__RefHeading___Toc2530963_1468164448">
            <w:r>
              <w:rPr>
                <w:webHidden/>
                <w:rStyle w:val="IndexLink"/>
                <w:rtl w:val="true"/>
              </w:rPr>
              <w:t>بند دوم</w:t>
            </w:r>
            <w:r>
              <w:rPr>
                <w:rStyle w:val="IndexLink"/>
                <w:rtl w:val="true"/>
              </w:rPr>
              <w:t xml:space="preserve">: </w:t>
            </w:r>
            <w:r>
              <w:rPr>
                <w:rStyle w:val="IndexLink"/>
                <w:rtl w:val="true"/>
              </w:rPr>
              <w:t>نقد دیدگاه امام خمینی</w:t>
            </w:r>
            <w:r>
              <w:rPr>
                <w:rStyle w:val="IndexLink"/>
                <w:rtl w:val="true"/>
              </w:rPr>
              <w:tab/>
            </w:r>
            <w:r>
              <w:rPr>
                <w:rStyle w:val="IndexLink"/>
              </w:rPr>
              <w:t>143</w:t>
            </w:r>
          </w:hyperlink>
        </w:p>
        <w:p>
          <w:pPr>
            <w:pStyle w:val="Contents4"/>
            <w:tabs>
              <w:tab w:val="clear" w:pos="8176"/>
              <w:tab w:val="right" w:pos="9026" w:leader="dot"/>
            </w:tabs>
            <w:rPr/>
          </w:pPr>
          <w:hyperlink w:anchor="__RefHeading___Toc2530965_1468164448">
            <w:r>
              <w:rPr>
                <w:webHidden/>
                <w:rStyle w:val="IndexLink"/>
                <w:rtl w:val="true"/>
              </w:rPr>
              <w:t>گفتار سوم</w:t>
            </w:r>
            <w:r>
              <w:rPr>
                <w:rStyle w:val="IndexLink"/>
                <w:rtl w:val="true"/>
              </w:rPr>
              <w:t xml:space="preserve">: </w:t>
            </w:r>
            <w:r>
              <w:rPr>
                <w:rStyle w:val="IndexLink"/>
                <w:rtl w:val="true"/>
              </w:rPr>
              <w:t>حکم وضعی معاملۀ اعیان نجس</w:t>
            </w:r>
            <w:r>
              <w:rPr>
                <w:rStyle w:val="IndexLink"/>
                <w:rtl w:val="true"/>
              </w:rPr>
              <w:tab/>
            </w:r>
            <w:r>
              <w:rPr>
                <w:rStyle w:val="IndexLink"/>
              </w:rPr>
              <w:t>143</w:t>
            </w:r>
          </w:hyperlink>
        </w:p>
        <w:p>
          <w:pPr>
            <w:pStyle w:val="Contents3"/>
            <w:tabs>
              <w:tab w:val="clear" w:pos="8459"/>
              <w:tab w:val="right" w:pos="9026" w:leader="dot"/>
            </w:tabs>
            <w:rPr/>
          </w:pPr>
          <w:hyperlink w:anchor="__RefHeading___Toc2530967_1468164448">
            <w:r>
              <w:rPr>
                <w:webHidden/>
                <w:rStyle w:val="IndexLink"/>
                <w:rtl w:val="true"/>
              </w:rPr>
              <w:t>فصل دوم</w:t>
            </w:r>
            <w:r>
              <w:rPr>
                <w:rStyle w:val="IndexLink"/>
                <w:rtl w:val="true"/>
              </w:rPr>
              <w:t xml:space="preserve">: </w:t>
            </w:r>
            <w:r>
              <w:rPr>
                <w:rStyle w:val="IndexLink"/>
                <w:rtl w:val="true"/>
              </w:rPr>
              <w:t>معاملۀ بول</w:t>
            </w:r>
            <w:r>
              <w:rPr>
                <w:rStyle w:val="IndexLink"/>
                <w:rtl w:val="true"/>
              </w:rPr>
              <w:tab/>
            </w:r>
            <w:r>
              <w:rPr>
                <w:rStyle w:val="IndexLink"/>
              </w:rPr>
              <w:t>145</w:t>
            </w:r>
          </w:hyperlink>
        </w:p>
        <w:p>
          <w:pPr>
            <w:pStyle w:val="Contents4"/>
            <w:tabs>
              <w:tab w:val="clear" w:pos="8176"/>
              <w:tab w:val="right" w:pos="9026" w:leader="dot"/>
            </w:tabs>
            <w:rPr/>
          </w:pPr>
          <w:hyperlink w:anchor="__RefHeading___Toc2530969_1468164448">
            <w:r>
              <w:rPr>
                <w:webHidden/>
                <w:rStyle w:val="IndexLink"/>
                <w:rtl w:val="true"/>
              </w:rPr>
              <w:t>اشارة</w:t>
            </w:r>
            <w:r>
              <w:rPr>
                <w:rStyle w:val="IndexLink"/>
                <w:rtl w:val="true"/>
              </w:rPr>
              <w:tab/>
            </w:r>
            <w:r>
              <w:rPr>
                <w:rStyle w:val="IndexLink"/>
              </w:rPr>
              <w:t>145</w:t>
            </w:r>
          </w:hyperlink>
        </w:p>
        <w:p>
          <w:pPr>
            <w:pStyle w:val="Contents4"/>
            <w:tabs>
              <w:tab w:val="clear" w:pos="8176"/>
              <w:tab w:val="right" w:pos="9026" w:leader="dot"/>
            </w:tabs>
            <w:rPr/>
          </w:pPr>
          <w:hyperlink w:anchor="__RefHeading___Toc2530971_1468164448">
            <w:r>
              <w:rPr>
                <w:webHidden/>
                <w:rStyle w:val="IndexLink"/>
                <w:rtl w:val="true"/>
              </w:rPr>
              <w:t>گفتار اوّل</w:t>
            </w:r>
            <w:r>
              <w:rPr>
                <w:rStyle w:val="IndexLink"/>
                <w:rtl w:val="true"/>
              </w:rPr>
              <w:t xml:space="preserve">: </w:t>
            </w:r>
            <w:r>
              <w:rPr>
                <w:rStyle w:val="IndexLink"/>
                <w:rtl w:val="true"/>
              </w:rPr>
              <w:t>معاملۀ بول حیوان حرام گوشت</w:t>
            </w:r>
            <w:r>
              <w:rPr>
                <w:rStyle w:val="IndexLink"/>
                <w:rtl w:val="true"/>
              </w:rPr>
              <w:tab/>
            </w:r>
            <w:r>
              <w:rPr>
                <w:rStyle w:val="IndexLink"/>
              </w:rPr>
              <w:t>146</w:t>
            </w:r>
          </w:hyperlink>
        </w:p>
        <w:p>
          <w:pPr>
            <w:pStyle w:val="Contents5"/>
            <w:tabs>
              <w:tab w:val="clear" w:pos="7892"/>
              <w:tab w:val="right" w:pos="9026" w:leader="dot"/>
            </w:tabs>
            <w:rPr/>
          </w:pPr>
          <w:hyperlink w:anchor="__RefHeading___Toc2530973_1468164448">
            <w:r>
              <w:rPr>
                <w:webHidden/>
                <w:rStyle w:val="IndexLink"/>
                <w:rtl w:val="true"/>
              </w:rPr>
              <w:t>اشارة</w:t>
            </w:r>
            <w:r>
              <w:rPr>
                <w:rStyle w:val="IndexLink"/>
                <w:rtl w:val="true"/>
              </w:rPr>
              <w:tab/>
            </w:r>
            <w:r>
              <w:rPr>
                <w:rStyle w:val="IndexLink"/>
              </w:rPr>
              <w:t>146</w:t>
            </w:r>
          </w:hyperlink>
        </w:p>
        <w:p>
          <w:pPr>
            <w:pStyle w:val="Contents5"/>
            <w:tabs>
              <w:tab w:val="clear" w:pos="7892"/>
              <w:tab w:val="right" w:pos="9026" w:leader="dot"/>
            </w:tabs>
            <w:rPr/>
          </w:pPr>
          <w:hyperlink w:anchor="__RefHeading___Toc2530975_1468164448">
            <w:r>
              <w:rPr>
                <w:webHidden/>
                <w:rStyle w:val="IndexLink"/>
                <w:rtl w:val="true"/>
              </w:rPr>
              <w:t>بند اوّل</w:t>
            </w:r>
            <w:r>
              <w:rPr>
                <w:rStyle w:val="IndexLink"/>
                <w:rtl w:val="true"/>
              </w:rPr>
              <w:t xml:space="preserve">: </w:t>
            </w:r>
            <w:r>
              <w:rPr>
                <w:rStyle w:val="IndexLink"/>
                <w:rtl w:val="true"/>
              </w:rPr>
              <w:t>دیدگاه شیخ انصاری</w:t>
            </w:r>
            <w:r>
              <w:rPr>
                <w:rStyle w:val="IndexLink"/>
                <w:rtl w:val="true"/>
              </w:rPr>
              <w:tab/>
            </w:r>
            <w:r>
              <w:rPr>
                <w:rStyle w:val="IndexLink"/>
              </w:rPr>
              <w:t>146</w:t>
            </w:r>
          </w:hyperlink>
        </w:p>
        <w:p>
          <w:pPr>
            <w:pStyle w:val="Contents5"/>
            <w:tabs>
              <w:tab w:val="clear" w:pos="7892"/>
              <w:tab w:val="right" w:pos="9026" w:leader="dot"/>
            </w:tabs>
            <w:rPr/>
          </w:pPr>
          <w:hyperlink w:anchor="__RefHeading___Toc2530977_1468164448">
            <w:r>
              <w:rPr>
                <w:webHidden/>
                <w:rStyle w:val="IndexLink"/>
                <w:rtl w:val="true"/>
              </w:rPr>
              <w:t>بند دوم</w:t>
            </w:r>
            <w:r>
              <w:rPr>
                <w:rStyle w:val="IndexLink"/>
                <w:rtl w:val="true"/>
              </w:rPr>
              <w:t xml:space="preserve">: </w:t>
            </w:r>
            <w:r>
              <w:rPr>
                <w:rStyle w:val="IndexLink"/>
                <w:rtl w:val="true"/>
              </w:rPr>
              <w:t>دیدگاه محقّق نائینی</w:t>
            </w:r>
            <w:r>
              <w:rPr>
                <w:rStyle w:val="IndexLink"/>
                <w:rtl w:val="true"/>
              </w:rPr>
              <w:tab/>
            </w:r>
            <w:r>
              <w:rPr>
                <w:rStyle w:val="IndexLink"/>
              </w:rPr>
              <w:t>147</w:t>
            </w:r>
          </w:hyperlink>
        </w:p>
        <w:p>
          <w:pPr>
            <w:pStyle w:val="Contents5"/>
            <w:tabs>
              <w:tab w:val="clear" w:pos="7892"/>
              <w:tab w:val="right" w:pos="9026" w:leader="dot"/>
            </w:tabs>
            <w:rPr/>
          </w:pPr>
          <w:hyperlink w:anchor="__RefHeading___Toc2530979_1468164448">
            <w:r>
              <w:rPr>
                <w:webHidden/>
                <w:rStyle w:val="IndexLink"/>
                <w:rtl w:val="true"/>
              </w:rPr>
              <w:t>بند سوم</w:t>
            </w:r>
            <w:r>
              <w:rPr>
                <w:rStyle w:val="IndexLink"/>
                <w:rtl w:val="true"/>
              </w:rPr>
              <w:t xml:space="preserve">: </w:t>
            </w:r>
            <w:r>
              <w:rPr>
                <w:rStyle w:val="IndexLink"/>
                <w:rtl w:val="true"/>
              </w:rPr>
              <w:t>دیدگاه محقّق حلّی</w:t>
            </w:r>
            <w:r>
              <w:rPr>
                <w:rStyle w:val="IndexLink"/>
                <w:rtl w:val="true"/>
              </w:rPr>
              <w:tab/>
            </w:r>
            <w:r>
              <w:rPr>
                <w:rStyle w:val="IndexLink"/>
              </w:rPr>
              <w:t>148</w:t>
            </w:r>
          </w:hyperlink>
        </w:p>
        <w:p>
          <w:pPr>
            <w:pStyle w:val="Contents5"/>
            <w:tabs>
              <w:tab w:val="clear" w:pos="7892"/>
              <w:tab w:val="right" w:pos="9026" w:leader="dot"/>
            </w:tabs>
            <w:rPr/>
          </w:pPr>
          <w:hyperlink w:anchor="__RefHeading___Toc2530981_1468164448">
            <w:r>
              <w:rPr>
                <w:webHidden/>
                <w:rStyle w:val="IndexLink"/>
                <w:rtl w:val="true"/>
              </w:rPr>
              <w:t>بند چهارم</w:t>
            </w:r>
            <w:r>
              <w:rPr>
                <w:rStyle w:val="IndexLink"/>
                <w:rtl w:val="true"/>
              </w:rPr>
              <w:t xml:space="preserve">: </w:t>
            </w:r>
            <w:r>
              <w:rPr>
                <w:rStyle w:val="IndexLink"/>
                <w:rtl w:val="true"/>
              </w:rPr>
              <w:t>دیدگاه صاحب جواهر</w:t>
            </w:r>
            <w:r>
              <w:rPr>
                <w:rStyle w:val="IndexLink"/>
                <w:rtl w:val="true"/>
              </w:rPr>
              <w:tab/>
            </w:r>
            <w:r>
              <w:rPr>
                <w:rStyle w:val="IndexLink"/>
              </w:rPr>
              <w:t>149</w:t>
            </w:r>
          </w:hyperlink>
        </w:p>
        <w:p>
          <w:pPr>
            <w:pStyle w:val="Contents5"/>
            <w:tabs>
              <w:tab w:val="clear" w:pos="7892"/>
              <w:tab w:val="right" w:pos="9026" w:leader="dot"/>
            </w:tabs>
            <w:rPr/>
          </w:pPr>
          <w:hyperlink w:anchor="__RefHeading___Toc2530983_1468164448">
            <w:r>
              <w:rPr>
                <w:webHidden/>
                <w:rStyle w:val="IndexLink"/>
                <w:rtl w:val="true"/>
              </w:rPr>
              <w:t>بند پنجم</w:t>
            </w:r>
            <w:r>
              <w:rPr>
                <w:rStyle w:val="IndexLink"/>
                <w:rtl w:val="true"/>
              </w:rPr>
              <w:t xml:space="preserve">: </w:t>
            </w:r>
            <w:r>
              <w:rPr>
                <w:rStyle w:val="IndexLink"/>
                <w:rtl w:val="true"/>
              </w:rPr>
              <w:t>دیدگاه محقّق خویی</w:t>
            </w:r>
            <w:r>
              <w:rPr>
                <w:rStyle w:val="IndexLink"/>
                <w:rtl w:val="true"/>
              </w:rPr>
              <w:tab/>
            </w:r>
            <w:r>
              <w:rPr>
                <w:rStyle w:val="IndexLink"/>
              </w:rPr>
              <w:t>150</w:t>
            </w:r>
          </w:hyperlink>
        </w:p>
        <w:p>
          <w:pPr>
            <w:pStyle w:val="Contents6"/>
            <w:tabs>
              <w:tab w:val="clear" w:pos="7609"/>
              <w:tab w:val="right" w:pos="9026" w:leader="dot"/>
            </w:tabs>
            <w:rPr/>
          </w:pPr>
          <w:hyperlink w:anchor="__RefHeading___Toc2530985_1468164448">
            <w:r>
              <w:rPr>
                <w:webHidden/>
                <w:rStyle w:val="IndexLink"/>
                <w:rtl w:val="true"/>
              </w:rPr>
              <w:t>اشارة</w:t>
            </w:r>
            <w:r>
              <w:rPr>
                <w:rStyle w:val="IndexLink"/>
                <w:rtl w:val="true"/>
              </w:rPr>
              <w:tab/>
            </w:r>
            <w:r>
              <w:rPr>
                <w:rStyle w:val="IndexLink"/>
              </w:rPr>
              <w:t>150</w:t>
            </w:r>
          </w:hyperlink>
        </w:p>
        <w:p>
          <w:pPr>
            <w:pStyle w:val="Contents6"/>
            <w:tabs>
              <w:tab w:val="clear" w:pos="7609"/>
              <w:tab w:val="right" w:pos="9026" w:leader="dot"/>
            </w:tabs>
            <w:rPr/>
          </w:pPr>
          <w:hyperlink w:anchor="__RefHeading___Toc2530987_1468164448">
            <w:r>
              <w:rPr>
                <w:webHidden/>
                <w:rStyle w:val="IndexLink"/>
              </w:rPr>
              <w:t>1</w:t>
            </w:r>
            <w:r>
              <w:rPr>
                <w:rStyle w:val="IndexLink"/>
                <w:rtl w:val="true"/>
              </w:rPr>
              <w:t xml:space="preserve">- </w:t>
            </w:r>
            <w:r>
              <w:rPr>
                <w:rStyle w:val="IndexLink"/>
                <w:rtl w:val="true"/>
              </w:rPr>
              <w:t>عدم اعتبار مالیّت در بیع</w:t>
            </w:r>
            <w:r>
              <w:rPr>
                <w:rStyle w:val="IndexLink"/>
                <w:rtl w:val="true"/>
              </w:rPr>
              <w:tab/>
            </w:r>
            <w:r>
              <w:rPr>
                <w:rStyle w:val="IndexLink"/>
              </w:rPr>
              <w:t>150</w:t>
            </w:r>
          </w:hyperlink>
        </w:p>
        <w:p>
          <w:pPr>
            <w:pStyle w:val="Contents6"/>
            <w:tabs>
              <w:tab w:val="clear" w:pos="7609"/>
              <w:tab w:val="right" w:pos="9026" w:leader="dot"/>
            </w:tabs>
            <w:rPr/>
          </w:pPr>
          <w:hyperlink w:anchor="__RefHeading___Toc2530989_1468164448">
            <w:r>
              <w:rPr>
                <w:webHidden/>
                <w:rStyle w:val="IndexLink"/>
              </w:rPr>
              <w:t>2</w:t>
            </w:r>
            <w:r>
              <w:rPr>
                <w:rStyle w:val="IndexLink"/>
                <w:rtl w:val="true"/>
              </w:rPr>
              <w:t xml:space="preserve">- </w:t>
            </w:r>
            <w:r>
              <w:rPr>
                <w:rStyle w:val="IndexLink"/>
                <w:rtl w:val="true"/>
              </w:rPr>
              <w:t>مالیّت داشتن بول حیوان حرام گوشت</w:t>
            </w:r>
            <w:r>
              <w:rPr>
                <w:rStyle w:val="IndexLink"/>
                <w:rtl w:val="true"/>
              </w:rPr>
              <w:tab/>
            </w:r>
            <w:r>
              <w:rPr>
                <w:rStyle w:val="IndexLink"/>
              </w:rPr>
              <w:t>151</w:t>
            </w:r>
          </w:hyperlink>
        </w:p>
        <w:p>
          <w:pPr>
            <w:pStyle w:val="Contents6"/>
            <w:tabs>
              <w:tab w:val="clear" w:pos="7609"/>
              <w:tab w:val="right" w:pos="9026" w:leader="dot"/>
            </w:tabs>
            <w:rPr/>
          </w:pPr>
          <w:hyperlink w:anchor="__RefHeading___Toc2530991_1468164448">
            <w:r>
              <w:rPr>
                <w:webHidden/>
                <w:rStyle w:val="IndexLink"/>
              </w:rPr>
              <w:t>3</w:t>
            </w:r>
            <w:r>
              <w:rPr>
                <w:rStyle w:val="IndexLink"/>
                <w:rtl w:val="true"/>
              </w:rPr>
              <w:t xml:space="preserve">- </w:t>
            </w:r>
            <w:r>
              <w:rPr>
                <w:rStyle w:val="IndexLink"/>
                <w:rtl w:val="true"/>
              </w:rPr>
              <w:t>مال بودن نزد متعاملین کافی است</w:t>
            </w:r>
            <w:r>
              <w:rPr>
                <w:rStyle w:val="IndexLink"/>
                <w:rtl w:val="true"/>
              </w:rPr>
              <w:tab/>
            </w:r>
            <w:r>
              <w:rPr>
                <w:rStyle w:val="IndexLink"/>
              </w:rPr>
              <w:t>151</w:t>
            </w:r>
          </w:hyperlink>
        </w:p>
        <w:p>
          <w:pPr>
            <w:pStyle w:val="Contents6"/>
            <w:tabs>
              <w:tab w:val="clear" w:pos="7609"/>
              <w:tab w:val="right" w:pos="9026" w:leader="dot"/>
            </w:tabs>
            <w:rPr/>
          </w:pPr>
          <w:hyperlink w:anchor="__RefHeading___Toc2530993_1468164448">
            <w:r>
              <w:rPr>
                <w:webHidden/>
                <w:rStyle w:val="IndexLink"/>
              </w:rPr>
              <w:t>4</w:t>
            </w:r>
            <w:r>
              <w:rPr>
                <w:rStyle w:val="IndexLink"/>
                <w:rtl w:val="true"/>
              </w:rPr>
              <w:t xml:space="preserve">- </w:t>
            </w:r>
            <w:r>
              <w:rPr>
                <w:rStyle w:val="IndexLink"/>
                <w:rtl w:val="true"/>
              </w:rPr>
              <w:t>عدم بطلان معاملۀ سفهی</w:t>
            </w:r>
            <w:r>
              <w:rPr>
                <w:rStyle w:val="IndexLink"/>
                <w:rtl w:val="true"/>
              </w:rPr>
              <w:tab/>
            </w:r>
            <w:r>
              <w:rPr>
                <w:rStyle w:val="IndexLink"/>
              </w:rPr>
              <w:t>152</w:t>
            </w:r>
          </w:hyperlink>
        </w:p>
        <w:p>
          <w:pPr>
            <w:pStyle w:val="Contents5"/>
            <w:tabs>
              <w:tab w:val="clear" w:pos="7892"/>
              <w:tab w:val="right" w:pos="9026" w:leader="dot"/>
            </w:tabs>
            <w:rPr/>
          </w:pPr>
          <w:hyperlink w:anchor="__RefHeading___Toc2530995_1468164448">
            <w:r>
              <w:rPr>
                <w:webHidden/>
                <w:rStyle w:val="IndexLink"/>
                <w:rtl w:val="true"/>
              </w:rPr>
              <w:t>بند ششم</w:t>
            </w:r>
            <w:r>
              <w:rPr>
                <w:rStyle w:val="IndexLink"/>
                <w:rtl w:val="true"/>
              </w:rPr>
              <w:t xml:space="preserve">: </w:t>
            </w:r>
            <w:r>
              <w:rPr>
                <w:rStyle w:val="IndexLink"/>
                <w:rtl w:val="true"/>
              </w:rPr>
              <w:t>دیدگاه محقّق ایروانی</w:t>
            </w:r>
            <w:r>
              <w:rPr>
                <w:rStyle w:val="IndexLink"/>
                <w:rtl w:val="true"/>
              </w:rPr>
              <w:tab/>
            </w:r>
            <w:r>
              <w:rPr>
                <w:rStyle w:val="IndexLink"/>
              </w:rPr>
              <w:t>152</w:t>
            </w:r>
          </w:hyperlink>
        </w:p>
        <w:p>
          <w:pPr>
            <w:pStyle w:val="Contents5"/>
            <w:tabs>
              <w:tab w:val="clear" w:pos="7892"/>
              <w:tab w:val="right" w:pos="9026" w:leader="dot"/>
            </w:tabs>
            <w:rPr/>
          </w:pPr>
          <w:hyperlink w:anchor="__RefHeading___Toc2530997_1468164448">
            <w:r>
              <w:rPr>
                <w:webHidden/>
                <w:rStyle w:val="IndexLink"/>
                <w:rtl w:val="true"/>
              </w:rPr>
              <w:t>بند هفتم</w:t>
            </w:r>
            <w:r>
              <w:rPr>
                <w:rStyle w:val="IndexLink"/>
                <w:rtl w:val="true"/>
              </w:rPr>
              <w:t xml:space="preserve">: </w:t>
            </w:r>
            <w:r>
              <w:rPr>
                <w:rStyle w:val="IndexLink"/>
                <w:rtl w:val="true"/>
              </w:rPr>
              <w:t>دیدگاه برگزیده</w:t>
            </w:r>
            <w:r>
              <w:rPr>
                <w:rStyle w:val="IndexLink"/>
                <w:rtl w:val="true"/>
              </w:rPr>
              <w:tab/>
            </w:r>
            <w:r>
              <w:rPr>
                <w:rStyle w:val="IndexLink"/>
              </w:rPr>
              <w:t>154</w:t>
            </w:r>
          </w:hyperlink>
        </w:p>
        <w:p>
          <w:pPr>
            <w:pStyle w:val="Contents4"/>
            <w:tabs>
              <w:tab w:val="clear" w:pos="8176"/>
              <w:tab w:val="right" w:pos="9026" w:leader="dot"/>
            </w:tabs>
            <w:rPr/>
          </w:pPr>
          <w:hyperlink w:anchor="__RefHeading___Toc2530999_1468164448">
            <w:r>
              <w:rPr>
                <w:webHidden/>
                <w:rStyle w:val="IndexLink"/>
                <w:rtl w:val="true"/>
              </w:rPr>
              <w:t>گفتار دوم</w:t>
            </w:r>
            <w:r>
              <w:rPr>
                <w:rStyle w:val="IndexLink"/>
                <w:rtl w:val="true"/>
              </w:rPr>
              <w:t xml:space="preserve">: </w:t>
            </w:r>
            <w:r>
              <w:rPr>
                <w:rStyle w:val="IndexLink"/>
                <w:rtl w:val="true"/>
              </w:rPr>
              <w:t>معاملۀ بول حیوان حلال گوشت</w:t>
            </w:r>
            <w:r>
              <w:rPr>
                <w:rStyle w:val="IndexLink"/>
                <w:rtl w:val="true"/>
              </w:rPr>
              <w:tab/>
            </w:r>
            <w:r>
              <w:rPr>
                <w:rStyle w:val="IndexLink"/>
              </w:rPr>
              <w:t>154</w:t>
            </w:r>
          </w:hyperlink>
        </w:p>
        <w:p>
          <w:pPr>
            <w:pStyle w:val="Contents5"/>
            <w:tabs>
              <w:tab w:val="clear" w:pos="7892"/>
              <w:tab w:val="right" w:pos="9026" w:leader="dot"/>
            </w:tabs>
            <w:rPr/>
          </w:pPr>
          <w:hyperlink w:anchor="__RefHeading___Toc2531001_1468164448">
            <w:r>
              <w:rPr>
                <w:webHidden/>
                <w:rStyle w:val="IndexLink"/>
                <w:rtl w:val="true"/>
              </w:rPr>
              <w:t>اشارة</w:t>
            </w:r>
            <w:r>
              <w:rPr>
                <w:rStyle w:val="IndexLink"/>
                <w:rtl w:val="true"/>
              </w:rPr>
              <w:tab/>
            </w:r>
            <w:r>
              <w:rPr>
                <w:rStyle w:val="IndexLink"/>
              </w:rPr>
              <w:t>154</w:t>
            </w:r>
          </w:hyperlink>
        </w:p>
        <w:p>
          <w:pPr>
            <w:pStyle w:val="Contents5"/>
            <w:tabs>
              <w:tab w:val="clear" w:pos="7892"/>
              <w:tab w:val="right" w:pos="9026" w:leader="dot"/>
            </w:tabs>
            <w:rPr/>
          </w:pPr>
          <w:hyperlink w:anchor="__RefHeading___Toc2531003_1468164448">
            <w:r>
              <w:rPr>
                <w:webHidden/>
                <w:rStyle w:val="IndexLink"/>
                <w:rtl w:val="true"/>
              </w:rPr>
              <w:t>بند اوّل</w:t>
            </w:r>
            <w:r>
              <w:rPr>
                <w:rStyle w:val="IndexLink"/>
                <w:rtl w:val="true"/>
              </w:rPr>
              <w:t xml:space="preserve">: </w:t>
            </w:r>
            <w:r>
              <w:rPr>
                <w:rStyle w:val="IndexLink"/>
                <w:rtl w:val="true"/>
              </w:rPr>
              <w:t>حکم شرب بول حیوان حلال گوشت</w:t>
            </w:r>
            <w:r>
              <w:rPr>
                <w:rStyle w:val="IndexLink"/>
                <w:rtl w:val="true"/>
              </w:rPr>
              <w:tab/>
            </w:r>
            <w:r>
              <w:rPr>
                <w:rStyle w:val="IndexLink"/>
              </w:rPr>
              <w:t>156</w:t>
            </w:r>
          </w:hyperlink>
        </w:p>
        <w:p>
          <w:pPr>
            <w:pStyle w:val="Contents6"/>
            <w:tabs>
              <w:tab w:val="clear" w:pos="7609"/>
              <w:tab w:val="right" w:pos="9026" w:leader="dot"/>
            </w:tabs>
            <w:rPr/>
          </w:pPr>
          <w:hyperlink w:anchor="__RefHeading___Toc2531005_1468164448">
            <w:r>
              <w:rPr>
                <w:webHidden/>
                <w:rStyle w:val="IndexLink"/>
                <w:rtl w:val="true"/>
              </w:rPr>
              <w:t>اشارة</w:t>
            </w:r>
            <w:r>
              <w:rPr>
                <w:rStyle w:val="IndexLink"/>
                <w:rtl w:val="true"/>
              </w:rPr>
              <w:tab/>
            </w:r>
            <w:r>
              <w:rPr>
                <w:rStyle w:val="IndexLink"/>
              </w:rPr>
              <w:t>156</w:t>
            </w:r>
          </w:hyperlink>
        </w:p>
        <w:p>
          <w:pPr>
            <w:pStyle w:val="Contents6"/>
            <w:tabs>
              <w:tab w:val="clear" w:pos="7609"/>
              <w:tab w:val="right" w:pos="9026" w:leader="dot"/>
            </w:tabs>
            <w:rPr/>
          </w:pPr>
          <w:hyperlink w:anchor="__RefHeading___Toc2531007_1468164448">
            <w:r>
              <w:rPr>
                <w:webHidden/>
                <w:rStyle w:val="IndexLink"/>
                <w:rtl w:val="true"/>
              </w:rPr>
              <w:t>الف</w:t>
            </w:r>
            <w:r>
              <w:rPr>
                <w:rStyle w:val="IndexLink"/>
                <w:rtl w:val="true"/>
              </w:rPr>
              <w:t xml:space="preserve">) </w:t>
            </w:r>
            <w:r>
              <w:rPr>
                <w:rStyle w:val="IndexLink"/>
                <w:rtl w:val="true"/>
              </w:rPr>
              <w:t>ادلّۀ قائلین به جواز شرب ابوال طاهر</w:t>
            </w:r>
            <w:r>
              <w:rPr>
                <w:rStyle w:val="IndexLink"/>
                <w:rtl w:val="true"/>
              </w:rPr>
              <w:tab/>
            </w:r>
            <w:r>
              <w:rPr>
                <w:rStyle w:val="IndexLink"/>
              </w:rPr>
              <w:t>156</w:t>
            </w:r>
          </w:hyperlink>
        </w:p>
        <w:p>
          <w:pPr>
            <w:pStyle w:val="Contents6"/>
            <w:tabs>
              <w:tab w:val="clear" w:pos="7609"/>
              <w:tab w:val="right" w:pos="9026" w:leader="dot"/>
            </w:tabs>
            <w:rPr/>
          </w:pPr>
          <w:hyperlink w:anchor="__RefHeading___Toc2531009_1468164448">
            <w:r>
              <w:rPr>
                <w:webHidden/>
                <w:rStyle w:val="IndexLink"/>
              </w:rPr>
              <w:t>1</w:t>
            </w:r>
            <w:r>
              <w:rPr>
                <w:rStyle w:val="IndexLink"/>
                <w:rtl w:val="true"/>
              </w:rPr>
              <w:t xml:space="preserve">- </w:t>
            </w:r>
            <w:r>
              <w:rPr>
                <w:rStyle w:val="IndexLink"/>
                <w:rtl w:val="true"/>
              </w:rPr>
              <w:t>دلیل اوّل</w:t>
            </w:r>
            <w:r>
              <w:rPr>
                <w:rStyle w:val="IndexLink"/>
                <w:rtl w:val="true"/>
              </w:rPr>
              <w:t xml:space="preserve">: </w:t>
            </w:r>
            <w:r>
              <w:rPr>
                <w:rStyle w:val="IndexLink"/>
                <w:rtl w:val="true"/>
              </w:rPr>
              <w:t>اصل حلّیت</w:t>
            </w:r>
            <w:r>
              <w:rPr>
                <w:rStyle w:val="IndexLink"/>
                <w:rtl w:val="true"/>
              </w:rPr>
              <w:tab/>
            </w:r>
            <w:r>
              <w:rPr>
                <w:rStyle w:val="IndexLink"/>
              </w:rPr>
              <w:t>156</w:t>
            </w:r>
          </w:hyperlink>
        </w:p>
        <w:p>
          <w:pPr>
            <w:pStyle w:val="Contents6"/>
            <w:tabs>
              <w:tab w:val="clear" w:pos="7609"/>
              <w:tab w:val="right" w:pos="9026" w:leader="dot"/>
            </w:tabs>
            <w:rPr/>
          </w:pPr>
          <w:hyperlink w:anchor="__RefHeading___Toc2531011_1468164448">
            <w:r>
              <w:rPr>
                <w:webHidden/>
                <w:rStyle w:val="IndexLink"/>
              </w:rPr>
              <w:t>2</w:t>
            </w:r>
            <w:r>
              <w:rPr>
                <w:rStyle w:val="IndexLink"/>
                <w:rtl w:val="true"/>
              </w:rPr>
              <w:t xml:space="preserve">- </w:t>
            </w:r>
            <w:r>
              <w:rPr>
                <w:rStyle w:val="IndexLink"/>
                <w:rtl w:val="true"/>
              </w:rPr>
              <w:t>دلیل دوم</w:t>
            </w:r>
            <w:r>
              <w:rPr>
                <w:rStyle w:val="IndexLink"/>
                <w:rtl w:val="true"/>
              </w:rPr>
              <w:t xml:space="preserve">: </w:t>
            </w:r>
            <w:r>
              <w:rPr>
                <w:rStyle w:val="IndexLink"/>
                <w:rtl w:val="true"/>
              </w:rPr>
              <w:t>اجماع</w:t>
            </w:r>
            <w:r>
              <w:rPr>
                <w:rStyle w:val="IndexLink"/>
                <w:rtl w:val="true"/>
              </w:rPr>
              <w:tab/>
            </w:r>
            <w:r>
              <w:rPr>
                <w:rStyle w:val="IndexLink"/>
              </w:rPr>
              <w:t>156</w:t>
            </w:r>
          </w:hyperlink>
        </w:p>
        <w:p>
          <w:pPr>
            <w:pStyle w:val="Contents6"/>
            <w:tabs>
              <w:tab w:val="clear" w:pos="7609"/>
              <w:tab w:val="right" w:pos="9026" w:leader="dot"/>
            </w:tabs>
            <w:rPr/>
          </w:pPr>
          <w:hyperlink w:anchor="__RefHeading___Toc2531013_1468164448">
            <w:r>
              <w:rPr>
                <w:webHidden/>
                <w:rStyle w:val="IndexLink"/>
              </w:rPr>
              <w:t>3</w:t>
            </w:r>
            <w:r>
              <w:rPr>
                <w:rStyle w:val="IndexLink"/>
                <w:rtl w:val="true"/>
              </w:rPr>
              <w:t xml:space="preserve">- </w:t>
            </w:r>
            <w:r>
              <w:rPr>
                <w:rStyle w:val="IndexLink"/>
                <w:rtl w:val="true"/>
              </w:rPr>
              <w:t>دلیل سوم</w:t>
            </w:r>
            <w:r>
              <w:rPr>
                <w:rStyle w:val="IndexLink"/>
                <w:rtl w:val="true"/>
              </w:rPr>
              <w:t xml:space="preserve">: </w:t>
            </w:r>
            <w:r>
              <w:rPr>
                <w:rStyle w:val="IndexLink"/>
                <w:rtl w:val="true"/>
              </w:rPr>
              <w:t>روایات</w:t>
            </w:r>
            <w:r>
              <w:rPr>
                <w:rStyle w:val="IndexLink"/>
                <w:rtl w:val="true"/>
              </w:rPr>
              <w:tab/>
            </w:r>
            <w:r>
              <w:rPr>
                <w:rStyle w:val="IndexLink"/>
              </w:rPr>
              <w:t>157</w:t>
            </w:r>
          </w:hyperlink>
        </w:p>
        <w:p>
          <w:pPr>
            <w:pStyle w:val="Contents6"/>
            <w:tabs>
              <w:tab w:val="clear" w:pos="7609"/>
              <w:tab w:val="right" w:pos="9026" w:leader="dot"/>
            </w:tabs>
            <w:rPr/>
          </w:pPr>
          <w:hyperlink w:anchor="__RefHeading___Toc2531015_1468164448">
            <w:r>
              <w:rPr>
                <w:webHidden/>
                <w:rStyle w:val="IndexLink"/>
                <w:rtl w:val="true"/>
              </w:rPr>
              <w:t>الف</w:t>
            </w:r>
            <w:r>
              <w:rPr>
                <w:rStyle w:val="IndexLink"/>
                <w:rtl w:val="true"/>
              </w:rPr>
              <w:t xml:space="preserve">) </w:t>
            </w:r>
            <w:r>
              <w:rPr>
                <w:rStyle w:val="IndexLink"/>
                <w:rtl w:val="true"/>
              </w:rPr>
              <w:t>روایات مطلق</w:t>
            </w:r>
            <w:r>
              <w:rPr>
                <w:rStyle w:val="IndexLink"/>
                <w:rtl w:val="true"/>
              </w:rPr>
              <w:tab/>
            </w:r>
            <w:r>
              <w:rPr>
                <w:rStyle w:val="IndexLink"/>
              </w:rPr>
              <w:t>157</w:t>
            </w:r>
          </w:hyperlink>
        </w:p>
        <w:p>
          <w:pPr>
            <w:pStyle w:val="Contents6"/>
            <w:tabs>
              <w:tab w:val="clear" w:pos="7609"/>
              <w:tab w:val="right" w:pos="9026" w:leader="dot"/>
            </w:tabs>
            <w:rPr/>
          </w:pPr>
          <w:hyperlink w:anchor="__RefHeading___Toc2531017_1468164448">
            <w:r>
              <w:rPr>
                <w:webHidden/>
                <w:rStyle w:val="IndexLink"/>
                <w:rtl w:val="true"/>
              </w:rPr>
              <w:t>ب</w:t>
            </w:r>
            <w:r>
              <w:rPr>
                <w:rStyle w:val="IndexLink"/>
                <w:rtl w:val="true"/>
              </w:rPr>
              <w:t xml:space="preserve">) </w:t>
            </w:r>
            <w:r>
              <w:rPr>
                <w:rStyle w:val="IndexLink"/>
                <w:rtl w:val="true"/>
              </w:rPr>
              <w:t>روایات مقیّد</w:t>
            </w:r>
            <w:r>
              <w:rPr>
                <w:rStyle w:val="IndexLink"/>
                <w:rtl w:val="true"/>
              </w:rPr>
              <w:tab/>
            </w:r>
            <w:r>
              <w:rPr>
                <w:rStyle w:val="IndexLink"/>
              </w:rPr>
              <w:t>158</w:t>
            </w:r>
          </w:hyperlink>
        </w:p>
        <w:p>
          <w:pPr>
            <w:pStyle w:val="Contents6"/>
            <w:tabs>
              <w:tab w:val="clear" w:pos="7609"/>
              <w:tab w:val="right" w:pos="9026" w:leader="dot"/>
            </w:tabs>
            <w:rPr/>
          </w:pPr>
          <w:hyperlink w:anchor="__RefHeading___Toc2531019_1468164448">
            <w:r>
              <w:rPr>
                <w:webHidden/>
                <w:rStyle w:val="IndexLink"/>
                <w:rtl w:val="true"/>
              </w:rPr>
              <w:t>نتیجه‌گیری از روایات</w:t>
            </w:r>
            <w:r>
              <w:rPr>
                <w:rStyle w:val="IndexLink"/>
                <w:rtl w:val="true"/>
              </w:rPr>
              <w:tab/>
            </w:r>
            <w:r>
              <w:rPr>
                <w:rStyle w:val="IndexLink"/>
              </w:rPr>
              <w:t>161</w:t>
            </w:r>
          </w:hyperlink>
        </w:p>
        <w:p>
          <w:pPr>
            <w:pStyle w:val="Contents6"/>
            <w:tabs>
              <w:tab w:val="clear" w:pos="7609"/>
              <w:tab w:val="right" w:pos="9026" w:leader="dot"/>
            </w:tabs>
            <w:rPr/>
          </w:pPr>
          <w:hyperlink w:anchor="__RefHeading___Toc2531021_1468164448">
            <w:r>
              <w:rPr>
                <w:webHidden/>
                <w:rStyle w:val="IndexLink"/>
                <w:rtl w:val="true"/>
              </w:rPr>
              <w:t>ب</w:t>
            </w:r>
            <w:r>
              <w:rPr>
                <w:rStyle w:val="IndexLink"/>
                <w:rtl w:val="true"/>
              </w:rPr>
              <w:t xml:space="preserve">) </w:t>
            </w:r>
            <w:r>
              <w:rPr>
                <w:rStyle w:val="IndexLink"/>
                <w:rtl w:val="true"/>
              </w:rPr>
              <w:t>دلیل قائلین به عدم جواز شرب ابوال طاهر</w:t>
            </w:r>
            <w:r>
              <w:rPr>
                <w:rStyle w:val="IndexLink"/>
                <w:rtl w:val="true"/>
              </w:rPr>
              <w:tab/>
            </w:r>
            <w:r>
              <w:rPr>
                <w:rStyle w:val="IndexLink"/>
              </w:rPr>
              <w:t>161</w:t>
            </w:r>
          </w:hyperlink>
        </w:p>
        <w:p>
          <w:pPr>
            <w:pStyle w:val="Contents6"/>
            <w:tabs>
              <w:tab w:val="clear" w:pos="7609"/>
              <w:tab w:val="right" w:pos="9026" w:leader="dot"/>
            </w:tabs>
            <w:rPr/>
          </w:pPr>
          <w:hyperlink w:anchor="__RefHeading___Toc2531023_1468164448">
            <w:r>
              <w:rPr>
                <w:webHidden/>
                <w:rStyle w:val="IndexLink"/>
                <w:rtl w:val="true"/>
              </w:rPr>
              <w:t>ج</w:t>
            </w:r>
            <w:r>
              <w:rPr>
                <w:rStyle w:val="IndexLink"/>
                <w:rtl w:val="true"/>
              </w:rPr>
              <w:t xml:space="preserve">) </w:t>
            </w:r>
            <w:r>
              <w:rPr>
                <w:rStyle w:val="IndexLink"/>
                <w:rtl w:val="true"/>
              </w:rPr>
              <w:t>نتیجۀ بررسی ادلّۀ شرب ابوال طاهر</w:t>
            </w:r>
            <w:r>
              <w:rPr>
                <w:rStyle w:val="IndexLink"/>
                <w:rtl w:val="true"/>
              </w:rPr>
              <w:tab/>
            </w:r>
            <w:r>
              <w:rPr>
                <w:rStyle w:val="IndexLink"/>
              </w:rPr>
              <w:t>166</w:t>
            </w:r>
          </w:hyperlink>
        </w:p>
        <w:p>
          <w:pPr>
            <w:pStyle w:val="Contents5"/>
            <w:tabs>
              <w:tab w:val="clear" w:pos="7892"/>
              <w:tab w:val="right" w:pos="9026" w:leader="dot"/>
            </w:tabs>
            <w:rPr/>
          </w:pPr>
          <w:hyperlink w:anchor="__RefHeading___Toc2531025_1468164448">
            <w:r>
              <w:rPr>
                <w:webHidden/>
                <w:rStyle w:val="IndexLink"/>
                <w:rtl w:val="true"/>
              </w:rPr>
              <w:t>بند دوم</w:t>
            </w:r>
            <w:r>
              <w:rPr>
                <w:rStyle w:val="IndexLink"/>
                <w:rtl w:val="true"/>
              </w:rPr>
              <w:t xml:space="preserve">: </w:t>
            </w:r>
            <w:r>
              <w:rPr>
                <w:rStyle w:val="IndexLink"/>
                <w:rtl w:val="true"/>
              </w:rPr>
              <w:t>حکم معاملۀ بول حیوان حلال گوشت</w:t>
            </w:r>
            <w:r>
              <w:rPr>
                <w:rStyle w:val="IndexLink"/>
                <w:rtl w:val="true"/>
              </w:rPr>
              <w:tab/>
            </w:r>
            <w:r>
              <w:rPr>
                <w:rStyle w:val="IndexLink"/>
              </w:rPr>
              <w:t>167</w:t>
            </w:r>
          </w:hyperlink>
        </w:p>
        <w:p>
          <w:pPr>
            <w:pStyle w:val="Contents6"/>
            <w:tabs>
              <w:tab w:val="clear" w:pos="7609"/>
              <w:tab w:val="right" w:pos="9026" w:leader="dot"/>
            </w:tabs>
            <w:rPr/>
          </w:pPr>
          <w:hyperlink w:anchor="__RefHeading___Toc2531027_1468164448">
            <w:r>
              <w:rPr>
                <w:webHidden/>
                <w:rStyle w:val="IndexLink"/>
                <w:rtl w:val="true"/>
              </w:rPr>
              <w:t>اشارة</w:t>
            </w:r>
            <w:r>
              <w:rPr>
                <w:rStyle w:val="IndexLink"/>
                <w:rtl w:val="true"/>
              </w:rPr>
              <w:tab/>
            </w:r>
            <w:r>
              <w:rPr>
                <w:rStyle w:val="IndexLink"/>
              </w:rPr>
              <w:t>167</w:t>
            </w:r>
          </w:hyperlink>
        </w:p>
        <w:p>
          <w:pPr>
            <w:pStyle w:val="Contents6"/>
            <w:tabs>
              <w:tab w:val="clear" w:pos="7609"/>
              <w:tab w:val="right" w:pos="9026" w:leader="dot"/>
            </w:tabs>
            <w:rPr/>
          </w:pPr>
          <w:hyperlink w:anchor="__RefHeading___Toc2531029_1468164448">
            <w:r>
              <w:rPr>
                <w:webHidden/>
                <w:rStyle w:val="IndexLink"/>
                <w:rtl w:val="true"/>
              </w:rPr>
              <w:t>الف</w:t>
            </w:r>
            <w:r>
              <w:rPr>
                <w:rStyle w:val="IndexLink"/>
                <w:rtl w:val="true"/>
              </w:rPr>
              <w:t xml:space="preserve">) </w:t>
            </w:r>
            <w:r>
              <w:rPr>
                <w:rStyle w:val="IndexLink"/>
                <w:rtl w:val="true"/>
              </w:rPr>
              <w:t>ملاک صحّت یا بطلان معاملۀ بول طاهر</w:t>
            </w:r>
            <w:r>
              <w:rPr>
                <w:rStyle w:val="IndexLink"/>
                <w:rtl w:val="true"/>
              </w:rPr>
              <w:tab/>
            </w:r>
            <w:r>
              <w:rPr>
                <w:rStyle w:val="IndexLink"/>
              </w:rPr>
              <w:t>169</w:t>
            </w:r>
          </w:hyperlink>
        </w:p>
        <w:p>
          <w:pPr>
            <w:pStyle w:val="Contents6"/>
            <w:tabs>
              <w:tab w:val="clear" w:pos="7609"/>
              <w:tab w:val="right" w:pos="9026" w:leader="dot"/>
            </w:tabs>
            <w:rPr/>
          </w:pPr>
          <w:hyperlink w:anchor="__RefHeading___Toc2531031_1468164448">
            <w:r>
              <w:rPr>
                <w:webHidden/>
                <w:rStyle w:val="IndexLink"/>
                <w:rtl w:val="true"/>
              </w:rPr>
              <w:t>ب</w:t>
            </w:r>
            <w:r>
              <w:rPr>
                <w:rStyle w:val="IndexLink"/>
                <w:rtl w:val="true"/>
              </w:rPr>
              <w:t xml:space="preserve">) </w:t>
            </w:r>
            <w:r>
              <w:rPr>
                <w:rStyle w:val="IndexLink"/>
                <w:rtl w:val="true"/>
              </w:rPr>
              <w:t>تفاوت ابوال طاهر و داروها</w:t>
            </w:r>
            <w:r>
              <w:rPr>
                <w:rStyle w:val="IndexLink"/>
                <w:rtl w:val="true"/>
              </w:rPr>
              <w:tab/>
            </w:r>
            <w:r>
              <w:rPr>
                <w:rStyle w:val="IndexLink"/>
              </w:rPr>
              <w:t>172</w:t>
            </w:r>
          </w:hyperlink>
        </w:p>
        <w:p>
          <w:pPr>
            <w:pStyle w:val="Contents6"/>
            <w:tabs>
              <w:tab w:val="clear" w:pos="7609"/>
              <w:tab w:val="right" w:pos="9026" w:leader="dot"/>
            </w:tabs>
            <w:rPr/>
          </w:pPr>
          <w:hyperlink w:anchor="__RefHeading___Toc2531033_1468164448">
            <w:r>
              <w:rPr>
                <w:webHidden/>
                <w:rStyle w:val="IndexLink"/>
                <w:rtl w:val="true"/>
              </w:rPr>
              <w:t>دیدگاه محقّق ایروانی و محقّق خویی</w:t>
            </w:r>
            <w:r>
              <w:rPr>
                <w:rStyle w:val="IndexLink"/>
                <w:rtl w:val="true"/>
              </w:rPr>
              <w:tab/>
            </w:r>
            <w:r>
              <w:rPr>
                <w:rStyle w:val="IndexLink"/>
              </w:rPr>
              <w:t>173</w:t>
            </w:r>
          </w:hyperlink>
        </w:p>
        <w:p>
          <w:pPr>
            <w:pStyle w:val="Contents6"/>
            <w:tabs>
              <w:tab w:val="clear" w:pos="7609"/>
              <w:tab w:val="right" w:pos="9026" w:leader="dot"/>
            </w:tabs>
            <w:rPr/>
          </w:pPr>
          <w:hyperlink w:anchor="__RefHeading___Toc2531035_1468164448">
            <w:r>
              <w:rPr>
                <w:webHidden/>
                <w:rStyle w:val="IndexLink"/>
                <w:rtl w:val="true"/>
              </w:rPr>
              <w:t>ج</w:t>
            </w:r>
            <w:r>
              <w:rPr>
                <w:rStyle w:val="IndexLink"/>
                <w:rtl w:val="true"/>
              </w:rPr>
              <w:t xml:space="preserve">) </w:t>
            </w:r>
            <w:r>
              <w:rPr>
                <w:rStyle w:val="IndexLink"/>
                <w:rtl w:val="true"/>
              </w:rPr>
              <w:t>تفاوت بول با گوشت و چربی حیوانات درنده</w:t>
            </w:r>
            <w:r>
              <w:rPr>
                <w:rStyle w:val="IndexLink"/>
                <w:rtl w:val="true"/>
              </w:rPr>
              <w:tab/>
            </w:r>
            <w:r>
              <w:rPr>
                <w:rStyle w:val="IndexLink"/>
              </w:rPr>
              <w:t>176</w:t>
            </w:r>
          </w:hyperlink>
        </w:p>
        <w:p>
          <w:pPr>
            <w:pStyle w:val="Contents3"/>
            <w:tabs>
              <w:tab w:val="clear" w:pos="8459"/>
              <w:tab w:val="right" w:pos="9026" w:leader="dot"/>
            </w:tabs>
            <w:rPr/>
          </w:pPr>
          <w:hyperlink w:anchor="__RefHeading___Toc2531037_1468164448">
            <w:r>
              <w:rPr>
                <w:webHidden/>
                <w:rStyle w:val="IndexLink"/>
                <w:rtl w:val="true"/>
              </w:rPr>
              <w:t>فصل سوم</w:t>
            </w:r>
            <w:r>
              <w:rPr>
                <w:rStyle w:val="IndexLink"/>
                <w:rtl w:val="true"/>
              </w:rPr>
              <w:t xml:space="preserve">: </w:t>
            </w:r>
            <w:r>
              <w:rPr>
                <w:rStyle w:val="IndexLink"/>
                <w:rtl w:val="true"/>
              </w:rPr>
              <w:t>معاملۀ عذره</w:t>
            </w:r>
            <w:r>
              <w:rPr>
                <w:rStyle w:val="IndexLink"/>
                <w:rtl w:val="true"/>
              </w:rPr>
              <w:tab/>
            </w:r>
            <w:r>
              <w:rPr>
                <w:rStyle w:val="IndexLink"/>
              </w:rPr>
              <w:t>177</w:t>
            </w:r>
          </w:hyperlink>
        </w:p>
        <w:p>
          <w:pPr>
            <w:pStyle w:val="Contents4"/>
            <w:tabs>
              <w:tab w:val="clear" w:pos="8176"/>
              <w:tab w:val="right" w:pos="9026" w:leader="dot"/>
            </w:tabs>
            <w:rPr/>
          </w:pPr>
          <w:hyperlink w:anchor="__RefHeading___Toc2531039_1468164448">
            <w:r>
              <w:rPr>
                <w:webHidden/>
                <w:rStyle w:val="IndexLink"/>
                <w:rtl w:val="true"/>
              </w:rPr>
              <w:t>اشارة</w:t>
            </w:r>
            <w:r>
              <w:rPr>
                <w:rStyle w:val="IndexLink"/>
                <w:rtl w:val="true"/>
              </w:rPr>
              <w:tab/>
            </w:r>
            <w:r>
              <w:rPr>
                <w:rStyle w:val="IndexLink"/>
              </w:rPr>
              <w:t>177</w:t>
            </w:r>
          </w:hyperlink>
        </w:p>
        <w:p>
          <w:pPr>
            <w:pStyle w:val="Contents4"/>
            <w:tabs>
              <w:tab w:val="clear" w:pos="8176"/>
              <w:tab w:val="right" w:pos="9026" w:leader="dot"/>
            </w:tabs>
            <w:rPr/>
          </w:pPr>
          <w:hyperlink w:anchor="__RefHeading___Toc2531041_1468164448">
            <w:r>
              <w:rPr>
                <w:webHidden/>
                <w:rStyle w:val="IndexLink"/>
                <w:rtl w:val="true"/>
              </w:rPr>
              <w:t>گفتار اوّل</w:t>
            </w:r>
            <w:r>
              <w:rPr>
                <w:rStyle w:val="IndexLink"/>
                <w:rtl w:val="true"/>
              </w:rPr>
              <w:t xml:space="preserve">: </w:t>
            </w:r>
            <w:r>
              <w:rPr>
                <w:rStyle w:val="IndexLink"/>
                <w:rtl w:val="true"/>
              </w:rPr>
              <w:t>دیدگاه فقها</w:t>
            </w:r>
            <w:r>
              <w:rPr>
                <w:rStyle w:val="IndexLink"/>
                <w:rtl w:val="true"/>
              </w:rPr>
              <w:tab/>
            </w:r>
            <w:r>
              <w:rPr>
                <w:rStyle w:val="IndexLink"/>
              </w:rPr>
              <w:t>177</w:t>
            </w:r>
          </w:hyperlink>
        </w:p>
        <w:p>
          <w:pPr>
            <w:pStyle w:val="Contents5"/>
            <w:tabs>
              <w:tab w:val="clear" w:pos="7892"/>
              <w:tab w:val="right" w:pos="9026" w:leader="dot"/>
            </w:tabs>
            <w:rPr/>
          </w:pPr>
          <w:hyperlink w:anchor="__RefHeading___Toc2531043_1468164448">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2531045_1468164448">
            <w:r>
              <w:rPr>
                <w:webHidden/>
                <w:rStyle w:val="IndexLink"/>
              </w:rPr>
              <w:t>1</w:t>
            </w:r>
            <w:r>
              <w:rPr>
                <w:rStyle w:val="IndexLink"/>
                <w:rtl w:val="true"/>
              </w:rPr>
              <w:t xml:space="preserve">- </w:t>
            </w:r>
            <w:r>
              <w:rPr>
                <w:rStyle w:val="IndexLink"/>
                <w:rtl w:val="true"/>
              </w:rPr>
              <w:t>سخن شیخ طوسی در الخلاف</w:t>
            </w:r>
            <w:r>
              <w:rPr>
                <w:rStyle w:val="IndexLink"/>
                <w:rtl w:val="true"/>
              </w:rPr>
              <w:tab/>
            </w:r>
            <w:r>
              <w:rPr>
                <w:rStyle w:val="IndexLink"/>
              </w:rPr>
              <w:t>178</w:t>
            </w:r>
          </w:hyperlink>
        </w:p>
        <w:p>
          <w:pPr>
            <w:pStyle w:val="Contents5"/>
            <w:tabs>
              <w:tab w:val="clear" w:pos="7892"/>
              <w:tab w:val="right" w:pos="9026" w:leader="dot"/>
            </w:tabs>
            <w:rPr/>
          </w:pPr>
          <w:hyperlink w:anchor="__RefHeading___Toc2531047_1468164448">
            <w:r>
              <w:rPr>
                <w:webHidden/>
                <w:rStyle w:val="IndexLink"/>
              </w:rPr>
              <w:t>2</w:t>
            </w:r>
            <w:r>
              <w:rPr>
                <w:rStyle w:val="IndexLink"/>
                <w:rtl w:val="true"/>
              </w:rPr>
              <w:t xml:space="preserve">- </w:t>
            </w:r>
            <w:r>
              <w:rPr>
                <w:rStyle w:val="IndexLink"/>
                <w:rtl w:val="true"/>
              </w:rPr>
              <w:t>سخن شیخ طوسی در النهایة</w:t>
            </w:r>
            <w:r>
              <w:rPr>
                <w:rStyle w:val="IndexLink"/>
                <w:rtl w:val="true"/>
              </w:rPr>
              <w:tab/>
            </w:r>
            <w:r>
              <w:rPr>
                <w:rStyle w:val="IndexLink"/>
              </w:rPr>
              <w:t>180</w:t>
            </w:r>
          </w:hyperlink>
        </w:p>
        <w:p>
          <w:pPr>
            <w:pStyle w:val="Contents5"/>
            <w:tabs>
              <w:tab w:val="clear" w:pos="7892"/>
              <w:tab w:val="right" w:pos="9026" w:leader="dot"/>
            </w:tabs>
            <w:rPr/>
          </w:pPr>
          <w:hyperlink w:anchor="__RefHeading___Toc2531049_1468164448">
            <w:r>
              <w:rPr>
                <w:webHidden/>
                <w:rStyle w:val="IndexLink"/>
              </w:rPr>
              <w:t>3</w:t>
            </w:r>
            <w:r>
              <w:rPr>
                <w:rStyle w:val="IndexLink"/>
                <w:rtl w:val="true"/>
              </w:rPr>
              <w:t xml:space="preserve">- </w:t>
            </w:r>
            <w:r>
              <w:rPr>
                <w:rStyle w:val="IndexLink"/>
                <w:rtl w:val="true"/>
              </w:rPr>
              <w:t>سخن شیخ طوسی در المبسوط‌</w:t>
            </w:r>
            <w:r>
              <w:rPr>
                <w:rStyle w:val="IndexLink"/>
                <w:rtl w:val="true"/>
              </w:rPr>
              <w:tab/>
            </w:r>
            <w:r>
              <w:rPr>
                <w:rStyle w:val="IndexLink"/>
              </w:rPr>
              <w:t>181</w:t>
            </w:r>
          </w:hyperlink>
        </w:p>
        <w:p>
          <w:pPr>
            <w:pStyle w:val="Contents5"/>
            <w:tabs>
              <w:tab w:val="clear" w:pos="7892"/>
              <w:tab w:val="right" w:pos="9026" w:leader="dot"/>
            </w:tabs>
            <w:rPr/>
          </w:pPr>
          <w:hyperlink w:anchor="__RefHeading___Toc2531051_1468164448">
            <w:r>
              <w:rPr>
                <w:webHidden/>
                <w:rStyle w:val="IndexLink"/>
              </w:rPr>
              <w:t>4</w:t>
            </w:r>
            <w:r>
              <w:rPr>
                <w:rStyle w:val="IndexLink"/>
                <w:rtl w:val="true"/>
              </w:rPr>
              <w:t xml:space="preserve">- </w:t>
            </w:r>
            <w:r>
              <w:rPr>
                <w:rStyle w:val="IndexLink"/>
                <w:rtl w:val="true"/>
              </w:rPr>
              <w:t>دیدگاه شیخ مفید</w:t>
            </w:r>
            <w:r>
              <w:rPr>
                <w:rStyle w:val="IndexLink"/>
                <w:rtl w:val="true"/>
              </w:rPr>
              <w:tab/>
            </w:r>
            <w:r>
              <w:rPr>
                <w:rStyle w:val="IndexLink"/>
              </w:rPr>
              <w:t>181</w:t>
            </w:r>
          </w:hyperlink>
        </w:p>
        <w:p>
          <w:pPr>
            <w:pStyle w:val="Contents5"/>
            <w:tabs>
              <w:tab w:val="clear" w:pos="7892"/>
              <w:tab w:val="right" w:pos="9026" w:leader="dot"/>
            </w:tabs>
            <w:rPr/>
          </w:pPr>
          <w:hyperlink w:anchor="__RefHeading___Toc2531053_1468164448">
            <w:r>
              <w:rPr>
                <w:webHidden/>
                <w:rStyle w:val="IndexLink"/>
              </w:rPr>
              <w:t>5</w:t>
            </w:r>
            <w:r>
              <w:rPr>
                <w:rStyle w:val="IndexLink"/>
                <w:rtl w:val="true"/>
              </w:rPr>
              <w:t xml:space="preserve">- </w:t>
            </w:r>
            <w:r>
              <w:rPr>
                <w:rStyle w:val="IndexLink"/>
                <w:rtl w:val="true"/>
              </w:rPr>
              <w:t>دیدگاه علاّمۀ حلّی</w:t>
            </w:r>
            <w:r>
              <w:rPr>
                <w:rStyle w:val="IndexLink"/>
                <w:rtl w:val="true"/>
              </w:rPr>
              <w:tab/>
            </w:r>
            <w:r>
              <w:rPr>
                <w:rStyle w:val="IndexLink"/>
              </w:rPr>
              <w:t>182</w:t>
            </w:r>
          </w:hyperlink>
        </w:p>
        <w:p>
          <w:pPr>
            <w:pStyle w:val="Contents5"/>
            <w:tabs>
              <w:tab w:val="clear" w:pos="7892"/>
              <w:tab w:val="right" w:pos="9026" w:leader="dot"/>
            </w:tabs>
            <w:rPr/>
          </w:pPr>
          <w:hyperlink w:anchor="__RefHeading___Toc2531055_1468164448">
            <w:r>
              <w:rPr>
                <w:webHidden/>
                <w:rStyle w:val="IndexLink"/>
              </w:rPr>
              <w:t>6</w:t>
            </w:r>
            <w:r>
              <w:rPr>
                <w:rStyle w:val="IndexLink"/>
                <w:rtl w:val="true"/>
              </w:rPr>
              <w:t xml:space="preserve">- </w:t>
            </w:r>
            <w:r>
              <w:rPr>
                <w:rStyle w:val="IndexLink"/>
                <w:rtl w:val="true"/>
              </w:rPr>
              <w:t>دیدگاه صاحب جواهر</w:t>
            </w:r>
            <w:r>
              <w:rPr>
                <w:rStyle w:val="IndexLink"/>
                <w:rtl w:val="true"/>
              </w:rPr>
              <w:tab/>
            </w:r>
            <w:r>
              <w:rPr>
                <w:rStyle w:val="IndexLink"/>
              </w:rPr>
              <w:t>182</w:t>
            </w:r>
          </w:hyperlink>
        </w:p>
        <w:p>
          <w:pPr>
            <w:pStyle w:val="Contents5"/>
            <w:tabs>
              <w:tab w:val="clear" w:pos="7892"/>
              <w:tab w:val="right" w:pos="9026" w:leader="dot"/>
            </w:tabs>
            <w:rPr/>
          </w:pPr>
          <w:hyperlink w:anchor="__RefHeading___Toc2531057_1468164448">
            <w:r>
              <w:rPr>
                <w:webHidden/>
                <w:rStyle w:val="IndexLink"/>
              </w:rPr>
              <w:t>7</w:t>
            </w:r>
            <w:r>
              <w:rPr>
                <w:rStyle w:val="IndexLink"/>
                <w:rtl w:val="true"/>
              </w:rPr>
              <w:t xml:space="preserve">- </w:t>
            </w:r>
            <w:r>
              <w:rPr>
                <w:rStyle w:val="IndexLink"/>
                <w:rtl w:val="true"/>
              </w:rPr>
              <w:t>دیدگاه علمای اهل‌سنّت</w:t>
            </w:r>
            <w:r>
              <w:rPr>
                <w:rStyle w:val="IndexLink"/>
                <w:rtl w:val="true"/>
              </w:rPr>
              <w:tab/>
            </w:r>
            <w:r>
              <w:rPr>
                <w:rStyle w:val="IndexLink"/>
              </w:rPr>
              <w:t>183</w:t>
            </w:r>
          </w:hyperlink>
        </w:p>
        <w:p>
          <w:pPr>
            <w:pStyle w:val="Contents5"/>
            <w:tabs>
              <w:tab w:val="clear" w:pos="7892"/>
              <w:tab w:val="right" w:pos="9026" w:leader="dot"/>
            </w:tabs>
            <w:rPr/>
          </w:pPr>
          <w:hyperlink w:anchor="__RefHeading___Toc2531059_1468164448">
            <w:r>
              <w:rPr>
                <w:webHidden/>
                <w:rStyle w:val="IndexLink"/>
              </w:rPr>
              <w:t>8</w:t>
            </w:r>
            <w:r>
              <w:rPr>
                <w:rStyle w:val="IndexLink"/>
                <w:rtl w:val="true"/>
              </w:rPr>
              <w:t xml:space="preserve">- </w:t>
            </w:r>
            <w:r>
              <w:rPr>
                <w:rStyle w:val="IndexLink"/>
                <w:rtl w:val="true"/>
              </w:rPr>
              <w:t>نتیجۀ بررسی اقوال فقها</w:t>
            </w:r>
            <w:r>
              <w:rPr>
                <w:rStyle w:val="IndexLink"/>
                <w:rtl w:val="true"/>
              </w:rPr>
              <w:tab/>
            </w:r>
            <w:r>
              <w:rPr>
                <w:rStyle w:val="IndexLink"/>
              </w:rPr>
              <w:t>183</w:t>
            </w:r>
          </w:hyperlink>
        </w:p>
        <w:p>
          <w:pPr>
            <w:pStyle w:val="Contents4"/>
            <w:tabs>
              <w:tab w:val="clear" w:pos="8176"/>
              <w:tab w:val="right" w:pos="9026" w:leader="dot"/>
            </w:tabs>
            <w:rPr/>
          </w:pPr>
          <w:hyperlink w:anchor="__RefHeading___Toc2531061_1468164448">
            <w:r>
              <w:rPr>
                <w:webHidden/>
                <w:rStyle w:val="IndexLink"/>
                <w:rtl w:val="true"/>
              </w:rPr>
              <w:t>گفتار دوم</w:t>
            </w:r>
            <w:r>
              <w:rPr>
                <w:rStyle w:val="IndexLink"/>
                <w:rtl w:val="true"/>
              </w:rPr>
              <w:t xml:space="preserve">: </w:t>
            </w:r>
            <w:r>
              <w:rPr>
                <w:rStyle w:val="IndexLink"/>
                <w:rtl w:val="true"/>
              </w:rPr>
              <w:t>معاملۀ عذرۀ حیوانات حلال گوشت</w:t>
            </w:r>
            <w:r>
              <w:rPr>
                <w:rStyle w:val="IndexLink"/>
                <w:rtl w:val="true"/>
              </w:rPr>
              <w:tab/>
            </w:r>
            <w:r>
              <w:rPr>
                <w:rStyle w:val="IndexLink"/>
              </w:rPr>
              <w:t>183</w:t>
            </w:r>
          </w:hyperlink>
        </w:p>
        <w:p>
          <w:pPr>
            <w:pStyle w:val="Contents4"/>
            <w:tabs>
              <w:tab w:val="clear" w:pos="8176"/>
              <w:tab w:val="right" w:pos="9026" w:leader="dot"/>
            </w:tabs>
            <w:rPr/>
          </w:pPr>
          <w:hyperlink w:anchor="__RefHeading___Toc2531063_1468164448">
            <w:r>
              <w:rPr>
                <w:webHidden/>
                <w:rStyle w:val="IndexLink"/>
                <w:rtl w:val="true"/>
              </w:rPr>
              <w:t>گفتار سوم</w:t>
            </w:r>
            <w:r>
              <w:rPr>
                <w:rStyle w:val="IndexLink"/>
                <w:rtl w:val="true"/>
              </w:rPr>
              <w:t xml:space="preserve">: </w:t>
            </w:r>
            <w:r>
              <w:rPr>
                <w:rStyle w:val="IndexLink"/>
                <w:rtl w:val="true"/>
              </w:rPr>
              <w:t>معاملۀ عذرۀ انسان</w:t>
            </w:r>
            <w:r>
              <w:rPr>
                <w:rStyle w:val="IndexLink"/>
                <w:rtl w:val="true"/>
              </w:rPr>
              <w:tab/>
            </w:r>
            <w:r>
              <w:rPr>
                <w:rStyle w:val="IndexLink"/>
              </w:rPr>
              <w:t>184</w:t>
            </w:r>
          </w:hyperlink>
        </w:p>
        <w:p>
          <w:pPr>
            <w:pStyle w:val="Contents5"/>
            <w:tabs>
              <w:tab w:val="clear" w:pos="7892"/>
              <w:tab w:val="right" w:pos="9026" w:leader="dot"/>
            </w:tabs>
            <w:rPr/>
          </w:pPr>
          <w:hyperlink w:anchor="__RefHeading___Toc2531065_1468164448">
            <w:r>
              <w:rPr>
                <w:webHidden/>
                <w:rStyle w:val="IndexLink"/>
                <w:rtl w:val="true"/>
              </w:rPr>
              <w:t>اشارة</w:t>
            </w:r>
            <w:r>
              <w:rPr>
                <w:rStyle w:val="IndexLink"/>
                <w:rtl w:val="true"/>
              </w:rPr>
              <w:tab/>
            </w:r>
            <w:r>
              <w:rPr>
                <w:rStyle w:val="IndexLink"/>
              </w:rPr>
              <w:t>184</w:t>
            </w:r>
          </w:hyperlink>
        </w:p>
        <w:p>
          <w:pPr>
            <w:pStyle w:val="Contents5"/>
            <w:tabs>
              <w:tab w:val="clear" w:pos="7892"/>
              <w:tab w:val="right" w:pos="9026" w:leader="dot"/>
            </w:tabs>
            <w:rPr/>
          </w:pPr>
          <w:hyperlink w:anchor="__RefHeading___Toc2531067_1468164448">
            <w:r>
              <w:rPr>
                <w:webHidden/>
                <w:rStyle w:val="IndexLink"/>
                <w:rtl w:val="true"/>
              </w:rPr>
              <w:t>چکیدۀ دیدگاه‌ها</w:t>
            </w:r>
            <w:r>
              <w:rPr>
                <w:rStyle w:val="IndexLink"/>
                <w:rtl w:val="true"/>
              </w:rPr>
              <w:tab/>
            </w:r>
            <w:r>
              <w:rPr>
                <w:rStyle w:val="IndexLink"/>
              </w:rPr>
              <w:t>188</w:t>
            </w:r>
          </w:hyperlink>
        </w:p>
        <w:p>
          <w:pPr>
            <w:pStyle w:val="Contents4"/>
            <w:tabs>
              <w:tab w:val="clear" w:pos="8176"/>
              <w:tab w:val="right" w:pos="9026" w:leader="dot"/>
            </w:tabs>
            <w:rPr/>
          </w:pPr>
          <w:hyperlink w:anchor="__RefHeading___Toc2531069_1468164448">
            <w:r>
              <w:rPr>
                <w:webHidden/>
                <w:rStyle w:val="IndexLink"/>
                <w:rtl w:val="true"/>
              </w:rPr>
              <w:t>گفتار چهارم</w:t>
            </w:r>
            <w:r>
              <w:rPr>
                <w:rStyle w:val="IndexLink"/>
                <w:rtl w:val="true"/>
              </w:rPr>
              <w:t xml:space="preserve">: </w:t>
            </w:r>
            <w:r>
              <w:rPr>
                <w:rStyle w:val="IndexLink"/>
                <w:rtl w:val="true"/>
              </w:rPr>
              <w:t>معاملۀ عذرۀ حیوانات حرام گوشت</w:t>
            </w:r>
            <w:r>
              <w:rPr>
                <w:rStyle w:val="IndexLink"/>
                <w:rtl w:val="true"/>
              </w:rPr>
              <w:tab/>
            </w:r>
            <w:r>
              <w:rPr>
                <w:rStyle w:val="IndexLink"/>
              </w:rPr>
              <w:t>188</w:t>
            </w:r>
          </w:hyperlink>
        </w:p>
        <w:p>
          <w:pPr>
            <w:pStyle w:val="Contents5"/>
            <w:tabs>
              <w:tab w:val="clear" w:pos="7892"/>
              <w:tab w:val="right" w:pos="9026" w:leader="dot"/>
            </w:tabs>
            <w:rPr/>
          </w:pPr>
          <w:hyperlink w:anchor="__RefHeading___Toc2531071_1468164448">
            <w:r>
              <w:rPr>
                <w:webHidden/>
                <w:rStyle w:val="IndexLink"/>
                <w:rtl w:val="true"/>
              </w:rPr>
              <w:t>اشارة</w:t>
            </w:r>
            <w:r>
              <w:rPr>
                <w:rStyle w:val="IndexLink"/>
                <w:rtl w:val="true"/>
              </w:rPr>
              <w:tab/>
            </w:r>
            <w:r>
              <w:rPr>
                <w:rStyle w:val="IndexLink"/>
              </w:rPr>
              <w:t>188</w:t>
            </w:r>
          </w:hyperlink>
        </w:p>
        <w:p>
          <w:pPr>
            <w:pStyle w:val="Contents5"/>
            <w:tabs>
              <w:tab w:val="clear" w:pos="7892"/>
              <w:tab w:val="right" w:pos="9026" w:leader="dot"/>
            </w:tabs>
            <w:rPr/>
          </w:pPr>
          <w:hyperlink w:anchor="__RefHeading___Toc2531073_1468164448">
            <w:r>
              <w:rPr>
                <w:webHidden/>
                <w:rStyle w:val="IndexLink"/>
                <w:rtl w:val="true"/>
              </w:rPr>
              <w:t>بند اوّل</w:t>
            </w:r>
            <w:r>
              <w:rPr>
                <w:rStyle w:val="IndexLink"/>
                <w:rtl w:val="true"/>
              </w:rPr>
              <w:t xml:space="preserve">: </w:t>
            </w:r>
            <w:r>
              <w:rPr>
                <w:rStyle w:val="IndexLink"/>
                <w:rtl w:val="true"/>
              </w:rPr>
              <w:t>روایات مانعه</w:t>
            </w:r>
            <w:r>
              <w:rPr>
                <w:rStyle w:val="IndexLink"/>
                <w:rtl w:val="true"/>
              </w:rPr>
              <w:tab/>
            </w:r>
            <w:r>
              <w:rPr>
                <w:rStyle w:val="IndexLink"/>
              </w:rPr>
              <w:t>189</w:t>
            </w:r>
          </w:hyperlink>
        </w:p>
        <w:p>
          <w:pPr>
            <w:pStyle w:val="Contents6"/>
            <w:tabs>
              <w:tab w:val="clear" w:pos="7609"/>
              <w:tab w:val="right" w:pos="9026" w:leader="dot"/>
            </w:tabs>
            <w:rPr/>
          </w:pPr>
          <w:hyperlink w:anchor="__RefHeading___Toc2531075_1468164448">
            <w:r>
              <w:rPr>
                <w:webHidden/>
                <w:rStyle w:val="IndexLink"/>
                <w:rtl w:val="true"/>
              </w:rPr>
              <w:t>اشارة</w:t>
            </w:r>
            <w:r>
              <w:rPr>
                <w:rStyle w:val="IndexLink"/>
                <w:rtl w:val="true"/>
              </w:rPr>
              <w:tab/>
            </w:r>
            <w:r>
              <w:rPr>
                <w:rStyle w:val="IndexLink"/>
              </w:rPr>
              <w:t>189</w:t>
            </w:r>
          </w:hyperlink>
        </w:p>
        <w:p>
          <w:pPr>
            <w:pStyle w:val="Contents6"/>
            <w:tabs>
              <w:tab w:val="clear" w:pos="7609"/>
              <w:tab w:val="right" w:pos="9026" w:leader="dot"/>
            </w:tabs>
            <w:rPr/>
          </w:pPr>
          <w:hyperlink w:anchor="__RefHeading___Toc2531077_1468164448">
            <w:r>
              <w:rPr>
                <w:webHidden/>
                <w:rStyle w:val="IndexLink"/>
                <w:rtl w:val="true"/>
              </w:rPr>
              <w:t>الف</w:t>
            </w:r>
            <w:r>
              <w:rPr>
                <w:rStyle w:val="IndexLink"/>
                <w:rtl w:val="true"/>
              </w:rPr>
              <w:t xml:space="preserve">) </w:t>
            </w:r>
            <w:r>
              <w:rPr>
                <w:rStyle w:val="IndexLink"/>
                <w:rtl w:val="true"/>
              </w:rPr>
              <w:t>مراد از عذره</w:t>
            </w:r>
            <w:r>
              <w:rPr>
                <w:rStyle w:val="IndexLink"/>
                <w:rtl w:val="true"/>
              </w:rPr>
              <w:tab/>
            </w:r>
            <w:r>
              <w:rPr>
                <w:rStyle w:val="IndexLink"/>
              </w:rPr>
              <w:t>190</w:t>
            </w:r>
          </w:hyperlink>
        </w:p>
        <w:p>
          <w:pPr>
            <w:pStyle w:val="Contents6"/>
            <w:tabs>
              <w:tab w:val="clear" w:pos="7609"/>
              <w:tab w:val="right" w:pos="9026" w:leader="dot"/>
            </w:tabs>
            <w:rPr/>
          </w:pPr>
          <w:hyperlink w:anchor="__RefHeading___Toc2531079_1468164448">
            <w:r>
              <w:rPr>
                <w:webHidden/>
                <w:rStyle w:val="IndexLink"/>
                <w:rtl w:val="true"/>
              </w:rPr>
              <w:t>ب</w:t>
            </w:r>
            <w:r>
              <w:rPr>
                <w:rStyle w:val="IndexLink"/>
                <w:rtl w:val="true"/>
              </w:rPr>
              <w:t xml:space="preserve">) </w:t>
            </w:r>
            <w:r>
              <w:rPr>
                <w:rStyle w:val="IndexLink"/>
                <w:rtl w:val="true"/>
              </w:rPr>
              <w:t>مراد از سحت</w:t>
            </w:r>
            <w:r>
              <w:rPr>
                <w:rStyle w:val="IndexLink"/>
                <w:rtl w:val="true"/>
              </w:rPr>
              <w:tab/>
            </w:r>
            <w:r>
              <w:rPr>
                <w:rStyle w:val="IndexLink"/>
              </w:rPr>
              <w:t>191</w:t>
            </w:r>
          </w:hyperlink>
        </w:p>
        <w:p>
          <w:pPr>
            <w:pStyle w:val="Contents5"/>
            <w:tabs>
              <w:tab w:val="clear" w:pos="7892"/>
              <w:tab w:val="right" w:pos="9026" w:leader="dot"/>
            </w:tabs>
            <w:rPr/>
          </w:pPr>
          <w:hyperlink w:anchor="__RefHeading___Toc2531081_1468164448">
            <w:r>
              <w:rPr>
                <w:webHidden/>
                <w:rStyle w:val="IndexLink"/>
                <w:rtl w:val="true"/>
              </w:rPr>
              <w:t>بند دوم</w:t>
            </w:r>
            <w:r>
              <w:rPr>
                <w:rStyle w:val="IndexLink"/>
                <w:rtl w:val="true"/>
              </w:rPr>
              <w:t xml:space="preserve">: </w:t>
            </w:r>
            <w:r>
              <w:rPr>
                <w:rStyle w:val="IndexLink"/>
                <w:rtl w:val="true"/>
              </w:rPr>
              <w:t>روایت مجوّزه</w:t>
            </w:r>
            <w:r>
              <w:rPr>
                <w:rStyle w:val="IndexLink"/>
                <w:rtl w:val="true"/>
              </w:rPr>
              <w:tab/>
            </w:r>
            <w:r>
              <w:rPr>
                <w:rStyle w:val="IndexLink"/>
              </w:rPr>
              <w:t>193</w:t>
            </w:r>
          </w:hyperlink>
        </w:p>
        <w:p>
          <w:pPr>
            <w:pStyle w:val="Contents5"/>
            <w:tabs>
              <w:tab w:val="clear" w:pos="7892"/>
              <w:tab w:val="right" w:pos="9026" w:leader="dot"/>
            </w:tabs>
            <w:rPr/>
          </w:pPr>
          <w:hyperlink w:anchor="__RefHeading___Toc2531083_1468164448">
            <w:r>
              <w:rPr>
                <w:webHidden/>
                <w:rStyle w:val="IndexLink"/>
                <w:rtl w:val="true"/>
              </w:rPr>
              <w:t>بند سوم</w:t>
            </w:r>
            <w:r>
              <w:rPr>
                <w:rStyle w:val="IndexLink"/>
                <w:rtl w:val="true"/>
              </w:rPr>
              <w:t xml:space="preserve">: </w:t>
            </w:r>
            <w:r>
              <w:rPr>
                <w:rStyle w:val="IndexLink"/>
                <w:rtl w:val="true"/>
              </w:rPr>
              <w:t>روایت جامع بین منع و جواز</w:t>
            </w:r>
            <w:r>
              <w:rPr>
                <w:rStyle w:val="IndexLink"/>
                <w:rtl w:val="true"/>
              </w:rPr>
              <w:tab/>
            </w:r>
            <w:r>
              <w:rPr>
                <w:rStyle w:val="IndexLink"/>
              </w:rPr>
              <w:t>193</w:t>
            </w:r>
          </w:hyperlink>
        </w:p>
        <w:p>
          <w:pPr>
            <w:pStyle w:val="Contents5"/>
            <w:tabs>
              <w:tab w:val="clear" w:pos="7892"/>
              <w:tab w:val="right" w:pos="9026" w:leader="dot"/>
            </w:tabs>
            <w:rPr/>
          </w:pPr>
          <w:hyperlink w:anchor="__RefHeading___Toc2531085_1468164448">
            <w:r>
              <w:rPr>
                <w:webHidden/>
                <w:rStyle w:val="IndexLink"/>
                <w:rtl w:val="true"/>
              </w:rPr>
              <w:t>بند چهارم</w:t>
            </w:r>
            <w:r>
              <w:rPr>
                <w:rStyle w:val="IndexLink"/>
                <w:rtl w:val="true"/>
              </w:rPr>
              <w:t xml:space="preserve">: </w:t>
            </w:r>
            <w:r>
              <w:rPr>
                <w:rStyle w:val="IndexLink"/>
                <w:rtl w:val="true"/>
              </w:rPr>
              <w:t>راه‌های جمع میان روایات مجوّزه و مانعه</w:t>
            </w:r>
            <w:r>
              <w:rPr>
                <w:rStyle w:val="IndexLink"/>
                <w:rtl w:val="true"/>
              </w:rPr>
              <w:tab/>
            </w:r>
            <w:r>
              <w:rPr>
                <w:rStyle w:val="IndexLink"/>
              </w:rPr>
              <w:t>193</w:t>
            </w:r>
          </w:hyperlink>
        </w:p>
        <w:p>
          <w:pPr>
            <w:pStyle w:val="Contents6"/>
            <w:tabs>
              <w:tab w:val="clear" w:pos="7609"/>
              <w:tab w:val="right" w:pos="9026" w:leader="dot"/>
            </w:tabs>
            <w:rPr/>
          </w:pPr>
          <w:hyperlink w:anchor="__RefHeading___Toc2531087_1468164448">
            <w:r>
              <w:rPr>
                <w:webHidden/>
                <w:rStyle w:val="IndexLink"/>
                <w:rtl w:val="true"/>
              </w:rPr>
              <w:t>اشارة</w:t>
            </w:r>
            <w:r>
              <w:rPr>
                <w:rStyle w:val="IndexLink"/>
                <w:rtl w:val="true"/>
              </w:rPr>
              <w:tab/>
            </w:r>
            <w:r>
              <w:rPr>
                <w:rStyle w:val="IndexLink"/>
              </w:rPr>
              <w:t>193</w:t>
            </w:r>
          </w:hyperlink>
        </w:p>
        <w:p>
          <w:pPr>
            <w:pStyle w:val="Contents6"/>
            <w:tabs>
              <w:tab w:val="clear" w:pos="7609"/>
              <w:tab w:val="right" w:pos="9026" w:leader="dot"/>
            </w:tabs>
            <w:rPr/>
          </w:pPr>
          <w:hyperlink w:anchor="__RefHeading___Toc2531089_1468164448">
            <w:r>
              <w:rPr>
                <w:webHidden/>
                <w:rStyle w:val="IndexLink"/>
                <w:rtl w:val="true"/>
              </w:rPr>
              <w:t>الف</w:t>
            </w:r>
            <w:r>
              <w:rPr>
                <w:rStyle w:val="IndexLink"/>
                <w:rtl w:val="true"/>
              </w:rPr>
              <w:t xml:space="preserve">) </w:t>
            </w:r>
            <w:r>
              <w:rPr>
                <w:rStyle w:val="IndexLink"/>
                <w:rtl w:val="true"/>
              </w:rPr>
              <w:t>دیدگاه شیخ طوسی</w:t>
            </w:r>
            <w:r>
              <w:rPr>
                <w:rStyle w:val="IndexLink"/>
                <w:rtl w:val="true"/>
              </w:rPr>
              <w:tab/>
            </w:r>
            <w:r>
              <w:rPr>
                <w:rStyle w:val="IndexLink"/>
              </w:rPr>
              <w:t>194</w:t>
            </w:r>
          </w:hyperlink>
        </w:p>
        <w:p>
          <w:pPr>
            <w:pStyle w:val="Contents6"/>
            <w:tabs>
              <w:tab w:val="clear" w:pos="7609"/>
              <w:tab w:val="right" w:pos="9026" w:leader="dot"/>
            </w:tabs>
            <w:rPr/>
          </w:pPr>
          <w:hyperlink w:anchor="__RefHeading___Toc2531091_1468164448">
            <w:r>
              <w:rPr>
                <w:webHidden/>
                <w:rStyle w:val="IndexLink"/>
              </w:rPr>
              <w:t>1</w:t>
            </w:r>
            <w:r>
              <w:rPr>
                <w:rStyle w:val="IndexLink"/>
                <w:rtl w:val="true"/>
              </w:rPr>
              <w:t xml:space="preserve">- </w:t>
            </w:r>
            <w:r>
              <w:rPr>
                <w:rStyle w:val="IndexLink"/>
                <w:rtl w:val="true"/>
              </w:rPr>
              <w:t>بررسی و نقد وجه جمع</w:t>
            </w:r>
            <w:r>
              <w:rPr>
                <w:rStyle w:val="IndexLink"/>
                <w:rtl w:val="true"/>
              </w:rPr>
              <w:tab/>
            </w:r>
            <w:r>
              <w:rPr>
                <w:rStyle w:val="IndexLink"/>
              </w:rPr>
              <w:t>194</w:t>
            </w:r>
          </w:hyperlink>
        </w:p>
        <w:p>
          <w:pPr>
            <w:pStyle w:val="Contents6"/>
            <w:tabs>
              <w:tab w:val="clear" w:pos="7609"/>
              <w:tab w:val="right" w:pos="9026" w:leader="dot"/>
            </w:tabs>
            <w:rPr/>
          </w:pPr>
          <w:hyperlink w:anchor="__RefHeading___Toc2531093_1468164448">
            <w:r>
              <w:rPr>
                <w:webHidden/>
                <w:rStyle w:val="IndexLink"/>
              </w:rPr>
              <w:t>2</w:t>
            </w:r>
            <w:r>
              <w:rPr>
                <w:rStyle w:val="IndexLink"/>
                <w:rtl w:val="true"/>
              </w:rPr>
              <w:t xml:space="preserve">- </w:t>
            </w:r>
            <w:r>
              <w:rPr>
                <w:rStyle w:val="IndexLink"/>
                <w:rtl w:val="true"/>
              </w:rPr>
              <w:t>بررسی و نقد شاهد جمع</w:t>
            </w:r>
            <w:r>
              <w:rPr>
                <w:rStyle w:val="IndexLink"/>
                <w:rtl w:val="true"/>
              </w:rPr>
              <w:tab/>
            </w:r>
            <w:r>
              <w:rPr>
                <w:rStyle w:val="IndexLink"/>
              </w:rPr>
              <w:t>196</w:t>
            </w:r>
          </w:hyperlink>
        </w:p>
        <w:p>
          <w:pPr>
            <w:pStyle w:val="Contents6"/>
            <w:tabs>
              <w:tab w:val="clear" w:pos="7609"/>
              <w:tab w:val="right" w:pos="9026" w:leader="dot"/>
            </w:tabs>
            <w:rPr/>
          </w:pPr>
          <w:hyperlink w:anchor="__RefHeading___Toc2531095_1468164448">
            <w:r>
              <w:rPr>
                <w:webHidden/>
                <w:rStyle w:val="IndexLink"/>
              </w:rPr>
              <w:t>2-1</w:t>
            </w:r>
            <w:r>
              <w:rPr>
                <w:rStyle w:val="IndexLink"/>
                <w:rtl w:val="true"/>
              </w:rPr>
              <w:t xml:space="preserve">- </w:t>
            </w:r>
            <w:r>
              <w:rPr>
                <w:rStyle w:val="IndexLink"/>
                <w:rtl w:val="true"/>
              </w:rPr>
              <w:t>اشکال اوّل</w:t>
            </w:r>
            <w:r>
              <w:rPr>
                <w:rStyle w:val="IndexLink"/>
                <w:rtl w:val="true"/>
              </w:rPr>
              <w:tab/>
            </w:r>
            <w:r>
              <w:rPr>
                <w:rStyle w:val="IndexLink"/>
              </w:rPr>
              <w:t>196</w:t>
            </w:r>
          </w:hyperlink>
        </w:p>
        <w:p>
          <w:pPr>
            <w:pStyle w:val="Contents6"/>
            <w:tabs>
              <w:tab w:val="clear" w:pos="7609"/>
              <w:tab w:val="right" w:pos="9026" w:leader="dot"/>
            </w:tabs>
            <w:rPr/>
          </w:pPr>
          <w:hyperlink w:anchor="__RefHeading___Toc2531097_1468164448">
            <w:r>
              <w:rPr>
                <w:webHidden/>
                <w:rStyle w:val="IndexLink"/>
              </w:rPr>
              <w:t>2-2</w:t>
            </w:r>
            <w:r>
              <w:rPr>
                <w:rStyle w:val="IndexLink"/>
                <w:rtl w:val="true"/>
              </w:rPr>
              <w:t xml:space="preserve">- </w:t>
            </w:r>
            <w:r>
              <w:rPr>
                <w:rStyle w:val="IndexLink"/>
                <w:rtl w:val="true"/>
              </w:rPr>
              <w:t>اشکال دوم</w:t>
            </w:r>
            <w:r>
              <w:rPr>
                <w:rStyle w:val="IndexLink"/>
                <w:rtl w:val="true"/>
              </w:rPr>
              <w:tab/>
            </w:r>
            <w:r>
              <w:rPr>
                <w:rStyle w:val="IndexLink"/>
              </w:rPr>
              <w:t>197</w:t>
            </w:r>
          </w:hyperlink>
        </w:p>
        <w:p>
          <w:pPr>
            <w:pStyle w:val="Contents6"/>
            <w:tabs>
              <w:tab w:val="clear" w:pos="7609"/>
              <w:tab w:val="right" w:pos="9026" w:leader="dot"/>
            </w:tabs>
            <w:rPr/>
          </w:pPr>
          <w:hyperlink w:anchor="__RefHeading___Toc2531099_1468164448">
            <w:r>
              <w:rPr>
                <w:webHidden/>
                <w:rStyle w:val="IndexLink"/>
                <w:rtl w:val="true"/>
              </w:rPr>
              <w:t>ب</w:t>
            </w:r>
            <w:r>
              <w:rPr>
                <w:rStyle w:val="IndexLink"/>
                <w:rtl w:val="true"/>
              </w:rPr>
              <w:t xml:space="preserve">) </w:t>
            </w:r>
            <w:r>
              <w:rPr>
                <w:rStyle w:val="IndexLink"/>
                <w:rtl w:val="true"/>
              </w:rPr>
              <w:t>دیدگاه محقّق سبزواری</w:t>
            </w:r>
            <w:r>
              <w:rPr>
                <w:rStyle w:val="IndexLink"/>
                <w:rtl w:val="true"/>
              </w:rPr>
              <w:tab/>
            </w:r>
            <w:r>
              <w:rPr>
                <w:rStyle w:val="IndexLink"/>
              </w:rPr>
              <w:t>199</w:t>
            </w:r>
          </w:hyperlink>
        </w:p>
        <w:p>
          <w:pPr>
            <w:pStyle w:val="Contents6"/>
            <w:tabs>
              <w:tab w:val="clear" w:pos="7609"/>
              <w:tab w:val="right" w:pos="9026" w:leader="dot"/>
            </w:tabs>
            <w:rPr/>
          </w:pPr>
          <w:hyperlink w:anchor="__RefHeading___Toc2531101_1468164448">
            <w:r>
              <w:rPr>
                <w:webHidden/>
                <w:rStyle w:val="IndexLink"/>
                <w:rtl w:val="true"/>
              </w:rPr>
              <w:t>ج</w:t>
            </w:r>
            <w:r>
              <w:rPr>
                <w:rStyle w:val="IndexLink"/>
                <w:rtl w:val="true"/>
              </w:rPr>
              <w:t xml:space="preserve">) </w:t>
            </w:r>
            <w:r>
              <w:rPr>
                <w:rStyle w:val="IndexLink"/>
                <w:rtl w:val="true"/>
              </w:rPr>
              <w:t>دیدگاه علّامۀ مجلسی</w:t>
            </w:r>
            <w:r>
              <w:rPr>
                <w:rStyle w:val="IndexLink"/>
                <w:rtl w:val="true"/>
              </w:rPr>
              <w:tab/>
            </w:r>
            <w:r>
              <w:rPr>
                <w:rStyle w:val="IndexLink"/>
              </w:rPr>
              <w:t>200</w:t>
            </w:r>
          </w:hyperlink>
        </w:p>
        <w:p>
          <w:pPr>
            <w:pStyle w:val="Contents6"/>
            <w:tabs>
              <w:tab w:val="clear" w:pos="7609"/>
              <w:tab w:val="right" w:pos="9026" w:leader="dot"/>
            </w:tabs>
            <w:rPr/>
          </w:pPr>
          <w:hyperlink w:anchor="__RefHeading___Toc2531103_1468164448">
            <w:r>
              <w:rPr>
                <w:webHidden/>
                <w:rStyle w:val="IndexLink"/>
                <w:rtl w:val="true"/>
              </w:rPr>
              <w:t>د</w:t>
            </w:r>
            <w:r>
              <w:rPr>
                <w:rStyle w:val="IndexLink"/>
                <w:rtl w:val="true"/>
              </w:rPr>
              <w:t xml:space="preserve">) </w:t>
            </w:r>
            <w:r>
              <w:rPr>
                <w:rStyle w:val="IndexLink"/>
                <w:rtl w:val="true"/>
              </w:rPr>
              <w:t>دیدگاه امام خمینی</w:t>
            </w:r>
            <w:r>
              <w:rPr>
                <w:rStyle w:val="IndexLink"/>
                <w:rtl w:val="true"/>
              </w:rPr>
              <w:tab/>
            </w:r>
            <w:r>
              <w:rPr>
                <w:rStyle w:val="IndexLink"/>
              </w:rPr>
              <w:t>204</w:t>
            </w:r>
          </w:hyperlink>
        </w:p>
        <w:p>
          <w:pPr>
            <w:pStyle w:val="Contents6"/>
            <w:tabs>
              <w:tab w:val="clear" w:pos="7609"/>
              <w:tab w:val="right" w:pos="9026" w:leader="dot"/>
            </w:tabs>
            <w:rPr/>
          </w:pPr>
          <w:hyperlink w:anchor="__RefHeading___Toc2531105_1468164448">
            <w:r>
              <w:rPr>
                <w:webHidden/>
                <w:rStyle w:val="IndexLink"/>
                <w:rtl w:val="true"/>
              </w:rPr>
              <w:t>ه</w:t>
            </w:r>
            <w:r>
              <w:rPr>
                <w:rStyle w:val="IndexLink"/>
                <w:rtl w:val="true"/>
              </w:rPr>
              <w:t xml:space="preserve">) </w:t>
            </w:r>
            <w:r>
              <w:rPr>
                <w:rStyle w:val="IndexLink"/>
                <w:rtl w:val="true"/>
              </w:rPr>
              <w:t>دیدگاه محقّق مامقانی</w:t>
            </w:r>
            <w:r>
              <w:rPr>
                <w:rStyle w:val="IndexLink"/>
                <w:rtl w:val="true"/>
              </w:rPr>
              <w:tab/>
            </w:r>
            <w:r>
              <w:rPr>
                <w:rStyle w:val="IndexLink"/>
              </w:rPr>
              <w:t>205</w:t>
            </w:r>
          </w:hyperlink>
        </w:p>
        <w:p>
          <w:pPr>
            <w:pStyle w:val="Contents6"/>
            <w:tabs>
              <w:tab w:val="clear" w:pos="7609"/>
              <w:tab w:val="right" w:pos="9026" w:leader="dot"/>
            </w:tabs>
            <w:rPr/>
          </w:pPr>
          <w:hyperlink w:anchor="__RefHeading___Toc2531107_1468164448">
            <w:r>
              <w:rPr>
                <w:webHidden/>
                <w:rStyle w:val="IndexLink"/>
                <w:rtl w:val="true"/>
              </w:rPr>
              <w:t>و</w:t>
            </w:r>
            <w:r>
              <w:rPr>
                <w:rStyle w:val="IndexLink"/>
                <w:rtl w:val="true"/>
              </w:rPr>
              <w:t xml:space="preserve">) </w:t>
            </w:r>
            <w:r>
              <w:rPr>
                <w:rStyle w:val="IndexLink"/>
                <w:rtl w:val="true"/>
              </w:rPr>
              <w:t>دیدگاه برگزیده</w:t>
            </w:r>
            <w:r>
              <w:rPr>
                <w:rStyle w:val="IndexLink"/>
                <w:rtl w:val="true"/>
              </w:rPr>
              <w:tab/>
            </w:r>
            <w:r>
              <w:rPr>
                <w:rStyle w:val="IndexLink"/>
              </w:rPr>
              <w:t>206</w:t>
            </w:r>
          </w:hyperlink>
        </w:p>
        <w:p>
          <w:pPr>
            <w:pStyle w:val="Contents3"/>
            <w:tabs>
              <w:tab w:val="clear" w:pos="8459"/>
              <w:tab w:val="right" w:pos="9026" w:leader="dot"/>
            </w:tabs>
            <w:rPr/>
          </w:pPr>
          <w:hyperlink w:anchor="__RefHeading___Toc2531109_1468164448">
            <w:r>
              <w:rPr>
                <w:webHidden/>
                <w:rStyle w:val="IndexLink"/>
                <w:rtl w:val="true"/>
              </w:rPr>
              <w:t>فصل چهارم</w:t>
            </w:r>
            <w:r>
              <w:rPr>
                <w:rStyle w:val="IndexLink"/>
                <w:rtl w:val="true"/>
              </w:rPr>
              <w:t xml:space="preserve">: </w:t>
            </w:r>
            <w:r>
              <w:rPr>
                <w:rStyle w:val="IndexLink"/>
                <w:rtl w:val="true"/>
              </w:rPr>
              <w:t>معاملۀ خون</w:t>
            </w:r>
            <w:r>
              <w:rPr>
                <w:rStyle w:val="IndexLink"/>
                <w:rtl w:val="true"/>
              </w:rPr>
              <w:tab/>
            </w:r>
            <w:r>
              <w:rPr>
                <w:rStyle w:val="IndexLink"/>
              </w:rPr>
              <w:t>210</w:t>
            </w:r>
          </w:hyperlink>
        </w:p>
        <w:p>
          <w:pPr>
            <w:pStyle w:val="Contents4"/>
            <w:tabs>
              <w:tab w:val="clear" w:pos="8176"/>
              <w:tab w:val="right" w:pos="9026" w:leader="dot"/>
            </w:tabs>
            <w:rPr/>
          </w:pPr>
          <w:hyperlink w:anchor="__RefHeading___Toc2531111_1468164448">
            <w:r>
              <w:rPr>
                <w:webHidden/>
                <w:rStyle w:val="IndexLink"/>
                <w:rtl w:val="true"/>
              </w:rPr>
              <w:t>اشارة</w:t>
            </w:r>
            <w:r>
              <w:rPr>
                <w:rStyle w:val="IndexLink"/>
                <w:rtl w:val="true"/>
              </w:rPr>
              <w:tab/>
            </w:r>
            <w:r>
              <w:rPr>
                <w:rStyle w:val="IndexLink"/>
              </w:rPr>
              <w:t>210</w:t>
            </w:r>
          </w:hyperlink>
        </w:p>
        <w:p>
          <w:pPr>
            <w:pStyle w:val="Contents4"/>
            <w:tabs>
              <w:tab w:val="clear" w:pos="8176"/>
              <w:tab w:val="right" w:pos="9026" w:leader="dot"/>
            </w:tabs>
            <w:rPr/>
          </w:pPr>
          <w:hyperlink w:anchor="__RefHeading___Toc2531113_1468164448">
            <w:r>
              <w:rPr>
                <w:webHidden/>
                <w:rStyle w:val="IndexLink"/>
                <w:rtl w:val="true"/>
              </w:rPr>
              <w:t>گفتار اوّل</w:t>
            </w:r>
            <w:r>
              <w:rPr>
                <w:rStyle w:val="IndexLink"/>
                <w:rtl w:val="true"/>
              </w:rPr>
              <w:t xml:space="preserve">: </w:t>
            </w:r>
            <w:r>
              <w:rPr>
                <w:rStyle w:val="IndexLink"/>
                <w:rtl w:val="true"/>
              </w:rPr>
              <w:t>بررسی ادلّۀ حرمت بیع خون</w:t>
            </w:r>
            <w:r>
              <w:rPr>
                <w:rStyle w:val="IndexLink"/>
                <w:rtl w:val="true"/>
              </w:rPr>
              <w:tab/>
            </w:r>
            <w:r>
              <w:rPr>
                <w:rStyle w:val="IndexLink"/>
              </w:rPr>
              <w:t>210</w:t>
            </w:r>
          </w:hyperlink>
        </w:p>
        <w:p>
          <w:pPr>
            <w:pStyle w:val="Contents5"/>
            <w:tabs>
              <w:tab w:val="clear" w:pos="7892"/>
              <w:tab w:val="right" w:pos="9026" w:leader="dot"/>
            </w:tabs>
            <w:rPr/>
          </w:pPr>
          <w:hyperlink w:anchor="__RefHeading___Toc2531115_1468164448">
            <w:r>
              <w:rPr>
                <w:webHidden/>
                <w:rStyle w:val="IndexLink"/>
                <w:rtl w:val="true"/>
              </w:rPr>
              <w:t>اشارة</w:t>
            </w:r>
            <w:r>
              <w:rPr>
                <w:rStyle w:val="IndexLink"/>
                <w:rtl w:val="true"/>
              </w:rPr>
              <w:tab/>
            </w:r>
            <w:r>
              <w:rPr>
                <w:rStyle w:val="IndexLink"/>
              </w:rPr>
              <w:t>210</w:t>
            </w:r>
          </w:hyperlink>
        </w:p>
        <w:p>
          <w:pPr>
            <w:pStyle w:val="Contents5"/>
            <w:tabs>
              <w:tab w:val="clear" w:pos="7892"/>
              <w:tab w:val="right" w:pos="9026" w:leader="dot"/>
            </w:tabs>
            <w:rPr/>
          </w:pPr>
          <w:hyperlink w:anchor="__RefHeading___Toc2531117_1468164448">
            <w:r>
              <w:rPr>
                <w:webHidden/>
                <w:rStyle w:val="IndexLink"/>
                <w:rtl w:val="true"/>
              </w:rPr>
              <w:t>بند اوّل</w:t>
            </w:r>
            <w:r>
              <w:rPr>
                <w:rStyle w:val="IndexLink"/>
                <w:rtl w:val="true"/>
              </w:rPr>
              <w:t xml:space="preserve">: </w:t>
            </w:r>
            <w:r>
              <w:rPr>
                <w:rStyle w:val="IndexLink"/>
                <w:rtl w:val="true"/>
              </w:rPr>
              <w:t>استدلال به آیۀ سوم سورۀ مائده</w:t>
            </w:r>
            <w:r>
              <w:rPr>
                <w:rStyle w:val="IndexLink"/>
                <w:rtl w:val="true"/>
              </w:rPr>
              <w:tab/>
            </w:r>
            <w:r>
              <w:rPr>
                <w:rStyle w:val="IndexLink"/>
              </w:rPr>
              <w:t>211</w:t>
            </w:r>
          </w:hyperlink>
        </w:p>
        <w:p>
          <w:pPr>
            <w:pStyle w:val="Contents5"/>
            <w:tabs>
              <w:tab w:val="clear" w:pos="7892"/>
              <w:tab w:val="right" w:pos="9026" w:leader="dot"/>
            </w:tabs>
            <w:rPr/>
          </w:pPr>
          <w:hyperlink w:anchor="__RefHeading___Toc2531119_1468164448">
            <w:r>
              <w:rPr>
                <w:webHidden/>
                <w:rStyle w:val="IndexLink"/>
                <w:rtl w:val="true"/>
              </w:rPr>
              <w:t>بند دوم</w:t>
            </w:r>
            <w:r>
              <w:rPr>
                <w:rStyle w:val="IndexLink"/>
                <w:rtl w:val="true"/>
              </w:rPr>
              <w:t xml:space="preserve">: </w:t>
            </w:r>
            <w:r>
              <w:rPr>
                <w:rStyle w:val="IndexLink"/>
                <w:rtl w:val="true"/>
              </w:rPr>
              <w:t xml:space="preserve">استدلال به آیات </w:t>
            </w:r>
            <w:r>
              <w:rPr>
                <w:rStyle w:val="IndexLink"/>
              </w:rPr>
              <w:t>172</w:t>
            </w:r>
            <w:r>
              <w:rPr>
                <w:rStyle w:val="IndexLink"/>
                <w:rtl w:val="true"/>
              </w:rPr>
              <w:t xml:space="preserve"> </w:t>
            </w:r>
            <w:r>
              <w:rPr>
                <w:rStyle w:val="IndexLink"/>
                <w:rtl w:val="true"/>
              </w:rPr>
              <w:t xml:space="preserve">و </w:t>
            </w:r>
            <w:r>
              <w:rPr>
                <w:rStyle w:val="IndexLink"/>
              </w:rPr>
              <w:t>173</w:t>
            </w:r>
            <w:r>
              <w:rPr>
                <w:rStyle w:val="IndexLink"/>
                <w:rtl w:val="true"/>
              </w:rPr>
              <w:t xml:space="preserve"> </w:t>
            </w:r>
            <w:r>
              <w:rPr>
                <w:rStyle w:val="IndexLink"/>
                <w:rtl w:val="true"/>
              </w:rPr>
              <w:t>سورۀ بقره</w:t>
            </w:r>
            <w:r>
              <w:rPr>
                <w:rStyle w:val="IndexLink"/>
                <w:rtl w:val="true"/>
              </w:rPr>
              <w:tab/>
            </w:r>
            <w:r>
              <w:rPr>
                <w:rStyle w:val="IndexLink"/>
              </w:rPr>
              <w:t>212</w:t>
            </w:r>
          </w:hyperlink>
        </w:p>
        <w:p>
          <w:pPr>
            <w:pStyle w:val="Contents5"/>
            <w:tabs>
              <w:tab w:val="clear" w:pos="7892"/>
              <w:tab w:val="right" w:pos="9026" w:leader="dot"/>
            </w:tabs>
            <w:rPr/>
          </w:pPr>
          <w:hyperlink w:anchor="__RefHeading___Toc2531121_1468164448">
            <w:r>
              <w:rPr>
                <w:webHidden/>
                <w:rStyle w:val="IndexLink"/>
                <w:rtl w:val="true"/>
              </w:rPr>
              <w:t>بند سوم</w:t>
            </w:r>
            <w:r>
              <w:rPr>
                <w:rStyle w:val="IndexLink"/>
                <w:rtl w:val="true"/>
              </w:rPr>
              <w:t xml:space="preserve">: </w:t>
            </w:r>
            <w:r>
              <w:rPr>
                <w:rStyle w:val="IndexLink"/>
                <w:rtl w:val="true"/>
              </w:rPr>
              <w:t>استدلال به مرفوعۀ ابویحیی واسطی</w:t>
            </w:r>
            <w:r>
              <w:rPr>
                <w:rStyle w:val="IndexLink"/>
                <w:rtl w:val="true"/>
              </w:rPr>
              <w:tab/>
            </w:r>
            <w:r>
              <w:rPr>
                <w:rStyle w:val="IndexLink"/>
              </w:rPr>
              <w:t>213</w:t>
            </w:r>
          </w:hyperlink>
        </w:p>
        <w:p>
          <w:pPr>
            <w:pStyle w:val="Contents4"/>
            <w:tabs>
              <w:tab w:val="clear" w:pos="8176"/>
              <w:tab w:val="right" w:pos="9026" w:leader="dot"/>
            </w:tabs>
            <w:rPr/>
          </w:pPr>
          <w:hyperlink w:anchor="__RefHeading___Toc2531123_1468164448">
            <w:r>
              <w:rPr>
                <w:webHidden/>
                <w:rStyle w:val="IndexLink"/>
                <w:rtl w:val="true"/>
              </w:rPr>
              <w:t>گفتار دوم</w:t>
            </w:r>
            <w:r>
              <w:rPr>
                <w:rStyle w:val="IndexLink"/>
                <w:rtl w:val="true"/>
              </w:rPr>
              <w:t xml:space="preserve">: </w:t>
            </w:r>
            <w:r>
              <w:rPr>
                <w:rStyle w:val="IndexLink"/>
                <w:rtl w:val="true"/>
              </w:rPr>
              <w:t>سخن محقّق ایروانی</w:t>
            </w:r>
            <w:r>
              <w:rPr>
                <w:rStyle w:val="IndexLink"/>
                <w:rtl w:val="true"/>
              </w:rPr>
              <w:tab/>
            </w:r>
            <w:r>
              <w:rPr>
                <w:rStyle w:val="IndexLink"/>
              </w:rPr>
              <w:t>214</w:t>
            </w:r>
          </w:hyperlink>
        </w:p>
        <w:p>
          <w:pPr>
            <w:pStyle w:val="Contents4"/>
            <w:tabs>
              <w:tab w:val="clear" w:pos="8176"/>
              <w:tab w:val="right" w:pos="9026" w:leader="dot"/>
            </w:tabs>
            <w:rPr/>
          </w:pPr>
          <w:hyperlink w:anchor="__RefHeading___Toc2531125_1468164448">
            <w:r>
              <w:rPr>
                <w:webHidden/>
                <w:rStyle w:val="IndexLink"/>
                <w:rtl w:val="true"/>
              </w:rPr>
              <w:t>گفتار سوم</w:t>
            </w:r>
            <w:r>
              <w:rPr>
                <w:rStyle w:val="IndexLink"/>
                <w:rtl w:val="true"/>
              </w:rPr>
              <w:t xml:space="preserve">: </w:t>
            </w:r>
            <w:r>
              <w:rPr>
                <w:rStyle w:val="IndexLink"/>
                <w:rtl w:val="true"/>
              </w:rPr>
              <w:t>سخن محقّق مامقانی</w:t>
            </w:r>
            <w:r>
              <w:rPr>
                <w:rStyle w:val="IndexLink"/>
                <w:rtl w:val="true"/>
              </w:rPr>
              <w:tab/>
            </w:r>
            <w:r>
              <w:rPr>
                <w:rStyle w:val="IndexLink"/>
              </w:rPr>
              <w:t>215</w:t>
            </w:r>
          </w:hyperlink>
        </w:p>
        <w:p>
          <w:pPr>
            <w:pStyle w:val="Contents3"/>
            <w:tabs>
              <w:tab w:val="clear" w:pos="8459"/>
              <w:tab w:val="right" w:pos="9026" w:leader="dot"/>
            </w:tabs>
            <w:rPr/>
          </w:pPr>
          <w:hyperlink w:anchor="__RefHeading___Toc2531127_1468164448">
            <w:r>
              <w:rPr>
                <w:webHidden/>
                <w:rStyle w:val="IndexLink"/>
                <w:rtl w:val="true"/>
              </w:rPr>
              <w:t>فصل پنجم</w:t>
            </w:r>
            <w:r>
              <w:rPr>
                <w:rStyle w:val="IndexLink"/>
                <w:rtl w:val="true"/>
              </w:rPr>
              <w:t xml:space="preserve">: </w:t>
            </w:r>
            <w:r>
              <w:rPr>
                <w:rStyle w:val="IndexLink"/>
                <w:rtl w:val="true"/>
              </w:rPr>
              <w:t>معاملۀ منی</w:t>
            </w:r>
            <w:r>
              <w:rPr>
                <w:rStyle w:val="IndexLink"/>
                <w:rtl w:val="true"/>
              </w:rPr>
              <w:tab/>
            </w:r>
            <w:r>
              <w:rPr>
                <w:rStyle w:val="IndexLink"/>
              </w:rPr>
              <w:t>217</w:t>
            </w:r>
          </w:hyperlink>
        </w:p>
        <w:p>
          <w:pPr>
            <w:pStyle w:val="Contents4"/>
            <w:tabs>
              <w:tab w:val="clear" w:pos="8176"/>
              <w:tab w:val="right" w:pos="9026" w:leader="dot"/>
            </w:tabs>
            <w:rPr/>
          </w:pPr>
          <w:hyperlink w:anchor="__RefHeading___Toc2531129_1468164448">
            <w:r>
              <w:rPr>
                <w:webHidden/>
                <w:rStyle w:val="IndexLink"/>
                <w:rtl w:val="true"/>
              </w:rPr>
              <w:t>اشارة</w:t>
            </w:r>
            <w:r>
              <w:rPr>
                <w:rStyle w:val="IndexLink"/>
                <w:rtl w:val="true"/>
              </w:rPr>
              <w:tab/>
            </w:r>
            <w:r>
              <w:rPr>
                <w:rStyle w:val="IndexLink"/>
              </w:rPr>
              <w:t>217</w:t>
            </w:r>
          </w:hyperlink>
        </w:p>
        <w:p>
          <w:pPr>
            <w:pStyle w:val="Contents4"/>
            <w:tabs>
              <w:tab w:val="clear" w:pos="8176"/>
              <w:tab w:val="right" w:pos="9026" w:leader="dot"/>
            </w:tabs>
            <w:rPr/>
          </w:pPr>
          <w:hyperlink w:anchor="__RefHeading___Toc2531131_1468164448">
            <w:r>
              <w:rPr>
                <w:webHidden/>
                <w:rStyle w:val="IndexLink"/>
                <w:rtl w:val="true"/>
              </w:rPr>
              <w:t>گفتار اوّل</w:t>
            </w:r>
            <w:r>
              <w:rPr>
                <w:rStyle w:val="IndexLink"/>
                <w:rtl w:val="true"/>
              </w:rPr>
              <w:t xml:space="preserve">: </w:t>
            </w:r>
            <w:r>
              <w:rPr>
                <w:rStyle w:val="IndexLink"/>
                <w:rtl w:val="true"/>
              </w:rPr>
              <w:t>صورت‌های گوناگون معاملۀ منی</w:t>
            </w:r>
            <w:r>
              <w:rPr>
                <w:rStyle w:val="IndexLink"/>
                <w:rtl w:val="true"/>
              </w:rPr>
              <w:tab/>
            </w:r>
            <w:r>
              <w:rPr>
                <w:rStyle w:val="IndexLink"/>
              </w:rPr>
              <w:t>218</w:t>
            </w:r>
          </w:hyperlink>
        </w:p>
        <w:p>
          <w:pPr>
            <w:pStyle w:val="Contents5"/>
            <w:tabs>
              <w:tab w:val="clear" w:pos="7892"/>
              <w:tab w:val="right" w:pos="9026" w:leader="dot"/>
            </w:tabs>
            <w:rPr/>
          </w:pPr>
          <w:hyperlink w:anchor="__RefHeading___Toc2531133_1468164448">
            <w:r>
              <w:rPr>
                <w:webHidden/>
                <w:rStyle w:val="IndexLink"/>
                <w:rtl w:val="true"/>
              </w:rPr>
              <w:t>اشارة</w:t>
            </w:r>
            <w:r>
              <w:rPr>
                <w:rStyle w:val="IndexLink"/>
                <w:rtl w:val="true"/>
              </w:rPr>
              <w:tab/>
            </w:r>
            <w:r>
              <w:rPr>
                <w:rStyle w:val="IndexLink"/>
              </w:rPr>
              <w:t>218</w:t>
            </w:r>
          </w:hyperlink>
        </w:p>
        <w:p>
          <w:pPr>
            <w:pStyle w:val="Contents5"/>
            <w:tabs>
              <w:tab w:val="clear" w:pos="7892"/>
              <w:tab w:val="right" w:pos="9026" w:leader="dot"/>
            </w:tabs>
            <w:rPr/>
          </w:pPr>
          <w:hyperlink w:anchor="__RefHeading___Toc2531135_1468164448">
            <w:r>
              <w:rPr>
                <w:webHidden/>
                <w:rStyle w:val="IndexLink"/>
                <w:rtl w:val="true"/>
              </w:rPr>
              <w:t>بند نخست</w:t>
            </w:r>
            <w:r>
              <w:rPr>
                <w:rStyle w:val="IndexLink"/>
                <w:rtl w:val="true"/>
              </w:rPr>
              <w:t xml:space="preserve">: </w:t>
            </w:r>
            <w:r>
              <w:rPr>
                <w:rStyle w:val="IndexLink"/>
                <w:rtl w:val="true"/>
              </w:rPr>
              <w:t>معاملۀ منی در خارج رحم</w:t>
            </w:r>
            <w:r>
              <w:rPr>
                <w:rStyle w:val="IndexLink"/>
                <w:rtl w:val="true"/>
              </w:rPr>
              <w:tab/>
            </w:r>
            <w:r>
              <w:rPr>
                <w:rStyle w:val="IndexLink"/>
              </w:rPr>
              <w:t>219</w:t>
            </w:r>
          </w:hyperlink>
        </w:p>
        <w:p>
          <w:pPr>
            <w:pStyle w:val="Contents5"/>
            <w:tabs>
              <w:tab w:val="clear" w:pos="7892"/>
              <w:tab w:val="right" w:pos="9026" w:leader="dot"/>
            </w:tabs>
            <w:rPr/>
          </w:pPr>
          <w:hyperlink w:anchor="__RefHeading___Toc2531137_1468164448">
            <w:r>
              <w:rPr>
                <w:webHidden/>
                <w:rStyle w:val="IndexLink"/>
                <w:rtl w:val="true"/>
              </w:rPr>
              <w:t>بند دوم</w:t>
            </w:r>
            <w:r>
              <w:rPr>
                <w:rStyle w:val="IndexLink"/>
                <w:rtl w:val="true"/>
              </w:rPr>
              <w:t xml:space="preserve">: </w:t>
            </w:r>
            <w:r>
              <w:rPr>
                <w:rStyle w:val="IndexLink"/>
                <w:rtl w:val="true"/>
              </w:rPr>
              <w:t>معاملۀ منی در داخل رحم</w:t>
            </w:r>
            <w:r>
              <w:rPr>
                <w:rStyle w:val="IndexLink"/>
                <w:rtl w:val="true"/>
              </w:rPr>
              <w:tab/>
            </w:r>
            <w:r>
              <w:rPr>
                <w:rStyle w:val="IndexLink"/>
              </w:rPr>
              <w:t>220</w:t>
            </w:r>
          </w:hyperlink>
        </w:p>
        <w:p>
          <w:pPr>
            <w:pStyle w:val="Contents5"/>
            <w:tabs>
              <w:tab w:val="clear" w:pos="7892"/>
              <w:tab w:val="right" w:pos="9026" w:leader="dot"/>
            </w:tabs>
            <w:rPr/>
          </w:pPr>
          <w:hyperlink w:anchor="__RefHeading___Toc2531139_1468164448">
            <w:r>
              <w:rPr>
                <w:webHidden/>
                <w:rStyle w:val="IndexLink"/>
                <w:rtl w:val="true"/>
              </w:rPr>
              <w:t>بند سوم</w:t>
            </w:r>
            <w:r>
              <w:rPr>
                <w:rStyle w:val="IndexLink"/>
                <w:rtl w:val="true"/>
              </w:rPr>
              <w:t xml:space="preserve">: </w:t>
            </w:r>
            <w:r>
              <w:rPr>
                <w:rStyle w:val="IndexLink"/>
                <w:rtl w:val="true"/>
              </w:rPr>
              <w:t>معاملۀ عسیب الفحل</w:t>
            </w:r>
            <w:r>
              <w:rPr>
                <w:rStyle w:val="IndexLink"/>
                <w:rtl w:val="true"/>
              </w:rPr>
              <w:tab/>
            </w:r>
            <w:r>
              <w:rPr>
                <w:rStyle w:val="IndexLink"/>
              </w:rPr>
              <w:t>221</w:t>
            </w:r>
          </w:hyperlink>
        </w:p>
        <w:p>
          <w:pPr>
            <w:pStyle w:val="Contents6"/>
            <w:tabs>
              <w:tab w:val="clear" w:pos="7609"/>
              <w:tab w:val="right" w:pos="9026" w:leader="dot"/>
            </w:tabs>
            <w:rPr/>
          </w:pPr>
          <w:hyperlink w:anchor="__RefHeading___Toc2531141_1468164448">
            <w:r>
              <w:rPr>
                <w:webHidden/>
                <w:rStyle w:val="IndexLink"/>
                <w:rtl w:val="true"/>
              </w:rPr>
              <w:t>اشارة</w:t>
            </w:r>
            <w:r>
              <w:rPr>
                <w:rStyle w:val="IndexLink"/>
                <w:rtl w:val="true"/>
              </w:rPr>
              <w:tab/>
            </w:r>
            <w:r>
              <w:rPr>
                <w:rStyle w:val="IndexLink"/>
              </w:rPr>
              <w:t>221</w:t>
            </w:r>
          </w:hyperlink>
        </w:p>
        <w:p>
          <w:pPr>
            <w:pStyle w:val="Contents6"/>
            <w:tabs>
              <w:tab w:val="clear" w:pos="7609"/>
              <w:tab w:val="right" w:pos="9026" w:leader="dot"/>
            </w:tabs>
            <w:rPr/>
          </w:pPr>
          <w:hyperlink w:anchor="__RefHeading___Toc2531143_1468164448">
            <w:r>
              <w:rPr>
                <w:webHidden/>
                <w:rStyle w:val="IndexLink"/>
                <w:rtl w:val="true"/>
              </w:rPr>
              <w:t>الف</w:t>
            </w:r>
            <w:r>
              <w:rPr>
                <w:rStyle w:val="IndexLink"/>
                <w:rtl w:val="true"/>
              </w:rPr>
              <w:t xml:space="preserve">) </w:t>
            </w:r>
            <w:r>
              <w:rPr>
                <w:rStyle w:val="IndexLink"/>
                <w:rtl w:val="true"/>
              </w:rPr>
              <w:t>حکم معاملۀ عسیب الفحل از نظر قواعد</w:t>
            </w:r>
            <w:r>
              <w:rPr>
                <w:rStyle w:val="IndexLink"/>
                <w:rtl w:val="true"/>
              </w:rPr>
              <w:tab/>
            </w:r>
            <w:r>
              <w:rPr>
                <w:rStyle w:val="IndexLink"/>
              </w:rPr>
              <w:t>223</w:t>
            </w:r>
          </w:hyperlink>
        </w:p>
        <w:p>
          <w:pPr>
            <w:pStyle w:val="Contents6"/>
            <w:tabs>
              <w:tab w:val="clear" w:pos="7609"/>
              <w:tab w:val="right" w:pos="9026" w:leader="dot"/>
            </w:tabs>
            <w:rPr/>
          </w:pPr>
          <w:hyperlink w:anchor="__RefHeading___Toc2531145_1468164448">
            <w:r>
              <w:rPr>
                <w:webHidden/>
                <w:rStyle w:val="IndexLink"/>
              </w:rPr>
              <w:t>1</w:t>
            </w:r>
            <w:r>
              <w:rPr>
                <w:rStyle w:val="IndexLink"/>
                <w:rtl w:val="true"/>
              </w:rPr>
              <w:t xml:space="preserve">- </w:t>
            </w:r>
            <w:r>
              <w:rPr>
                <w:rStyle w:val="IndexLink"/>
                <w:rtl w:val="true"/>
              </w:rPr>
              <w:t>جهالت و غرری بودن معامله</w:t>
            </w:r>
            <w:r>
              <w:rPr>
                <w:rStyle w:val="IndexLink"/>
                <w:rtl w:val="true"/>
              </w:rPr>
              <w:tab/>
            </w:r>
            <w:r>
              <w:rPr>
                <w:rStyle w:val="IndexLink"/>
              </w:rPr>
              <w:t>223</w:t>
            </w:r>
          </w:hyperlink>
        </w:p>
        <w:p>
          <w:pPr>
            <w:pStyle w:val="Contents6"/>
            <w:tabs>
              <w:tab w:val="clear" w:pos="7609"/>
              <w:tab w:val="right" w:pos="9026" w:leader="dot"/>
            </w:tabs>
            <w:rPr/>
          </w:pPr>
          <w:hyperlink w:anchor="__RefHeading___Toc2531147_1468164448">
            <w:r>
              <w:rPr>
                <w:webHidden/>
                <w:rStyle w:val="IndexLink"/>
              </w:rPr>
              <w:t>2</w:t>
            </w:r>
            <w:r>
              <w:rPr>
                <w:rStyle w:val="IndexLink"/>
                <w:rtl w:val="true"/>
              </w:rPr>
              <w:t xml:space="preserve">- </w:t>
            </w:r>
            <w:r>
              <w:rPr>
                <w:rStyle w:val="IndexLink"/>
                <w:rtl w:val="true"/>
              </w:rPr>
              <w:t>عدم قدرت بر تسلیم</w:t>
            </w:r>
            <w:r>
              <w:rPr>
                <w:rStyle w:val="IndexLink"/>
                <w:rtl w:val="true"/>
              </w:rPr>
              <w:tab/>
            </w:r>
            <w:r>
              <w:rPr>
                <w:rStyle w:val="IndexLink"/>
              </w:rPr>
              <w:t>223</w:t>
            </w:r>
          </w:hyperlink>
        </w:p>
        <w:p>
          <w:pPr>
            <w:pStyle w:val="Contents6"/>
            <w:tabs>
              <w:tab w:val="clear" w:pos="7609"/>
              <w:tab w:val="right" w:pos="9026" w:leader="dot"/>
            </w:tabs>
            <w:rPr/>
          </w:pPr>
          <w:hyperlink w:anchor="__RefHeading___Toc2531149_1468164448">
            <w:r>
              <w:rPr>
                <w:webHidden/>
                <w:rStyle w:val="IndexLink"/>
                <w:rtl w:val="true"/>
              </w:rPr>
              <w:t>ب</w:t>
            </w:r>
            <w:r>
              <w:rPr>
                <w:rStyle w:val="IndexLink"/>
                <w:rtl w:val="true"/>
              </w:rPr>
              <w:t xml:space="preserve">) </w:t>
            </w:r>
            <w:r>
              <w:rPr>
                <w:rStyle w:val="IndexLink"/>
                <w:rtl w:val="true"/>
              </w:rPr>
              <w:t>حکم معاملۀ عسیب الفحل از نظر روایات</w:t>
            </w:r>
            <w:r>
              <w:rPr>
                <w:rStyle w:val="IndexLink"/>
                <w:rtl w:val="true"/>
              </w:rPr>
              <w:tab/>
            </w:r>
            <w:r>
              <w:rPr>
                <w:rStyle w:val="IndexLink"/>
              </w:rPr>
              <w:t>224</w:t>
            </w:r>
          </w:hyperlink>
        </w:p>
        <w:p>
          <w:pPr>
            <w:pStyle w:val="Contents4"/>
            <w:tabs>
              <w:tab w:val="clear" w:pos="8176"/>
              <w:tab w:val="right" w:pos="9026" w:leader="dot"/>
            </w:tabs>
            <w:rPr/>
          </w:pPr>
          <w:hyperlink w:anchor="__RefHeading___Toc2531151_1468164448">
            <w:r>
              <w:rPr>
                <w:webHidden/>
                <w:rStyle w:val="IndexLink"/>
                <w:rtl w:val="true"/>
              </w:rPr>
              <w:t>گفتار دوم</w:t>
            </w:r>
            <w:r>
              <w:rPr>
                <w:rStyle w:val="IndexLink"/>
                <w:rtl w:val="true"/>
              </w:rPr>
              <w:t xml:space="preserve">: </w:t>
            </w:r>
            <w:r>
              <w:rPr>
                <w:rStyle w:val="IndexLink"/>
                <w:rtl w:val="true"/>
              </w:rPr>
              <w:t>تلقیح مصنوعی</w:t>
            </w:r>
            <w:r>
              <w:rPr>
                <w:rStyle w:val="IndexLink"/>
                <w:rtl w:val="true"/>
              </w:rPr>
              <w:tab/>
            </w:r>
            <w:r>
              <w:rPr>
                <w:rStyle w:val="IndexLink"/>
              </w:rPr>
              <w:t>234</w:t>
            </w:r>
          </w:hyperlink>
        </w:p>
        <w:p>
          <w:pPr>
            <w:pStyle w:val="Contents5"/>
            <w:tabs>
              <w:tab w:val="clear" w:pos="7892"/>
              <w:tab w:val="right" w:pos="9026" w:leader="dot"/>
            </w:tabs>
            <w:rPr/>
          </w:pPr>
          <w:hyperlink w:anchor="__RefHeading___Toc2531153_1468164448">
            <w:r>
              <w:rPr>
                <w:webHidden/>
                <w:rStyle w:val="IndexLink"/>
                <w:rtl w:val="true"/>
              </w:rPr>
              <w:t>اشارة</w:t>
            </w:r>
            <w:r>
              <w:rPr>
                <w:rStyle w:val="IndexLink"/>
                <w:rtl w:val="true"/>
              </w:rPr>
              <w:tab/>
            </w:r>
            <w:r>
              <w:rPr>
                <w:rStyle w:val="IndexLink"/>
              </w:rPr>
              <w:t>234</w:t>
            </w:r>
          </w:hyperlink>
        </w:p>
        <w:p>
          <w:pPr>
            <w:pStyle w:val="Contents5"/>
            <w:tabs>
              <w:tab w:val="clear" w:pos="7892"/>
              <w:tab w:val="right" w:pos="9026" w:leader="dot"/>
            </w:tabs>
            <w:rPr/>
          </w:pPr>
          <w:hyperlink w:anchor="__RefHeading___Toc2531155_1468164448">
            <w:r>
              <w:rPr>
                <w:webHidden/>
                <w:rStyle w:val="IndexLink"/>
                <w:rtl w:val="true"/>
              </w:rPr>
              <w:t>بند اوّل</w:t>
            </w:r>
            <w:r>
              <w:rPr>
                <w:rStyle w:val="IndexLink"/>
                <w:rtl w:val="true"/>
              </w:rPr>
              <w:t xml:space="preserve">: </w:t>
            </w:r>
            <w:r>
              <w:rPr>
                <w:rStyle w:val="IndexLink"/>
                <w:rtl w:val="true"/>
              </w:rPr>
              <w:t>حکم تکلیفی اقسام مختلف تلقیح مصنوعی</w:t>
            </w:r>
            <w:r>
              <w:rPr>
                <w:rStyle w:val="IndexLink"/>
                <w:rtl w:val="true"/>
              </w:rPr>
              <w:tab/>
            </w:r>
            <w:r>
              <w:rPr>
                <w:rStyle w:val="IndexLink"/>
              </w:rPr>
              <w:t>235</w:t>
            </w:r>
          </w:hyperlink>
        </w:p>
        <w:p>
          <w:pPr>
            <w:pStyle w:val="Contents6"/>
            <w:tabs>
              <w:tab w:val="clear" w:pos="7609"/>
              <w:tab w:val="right" w:pos="9026" w:leader="dot"/>
            </w:tabs>
            <w:rPr/>
          </w:pPr>
          <w:hyperlink w:anchor="__RefHeading___Toc2531157_1468164448">
            <w:r>
              <w:rPr>
                <w:webHidden/>
                <w:rStyle w:val="IndexLink"/>
                <w:rtl w:val="true"/>
              </w:rPr>
              <w:t>اشارة</w:t>
            </w:r>
            <w:r>
              <w:rPr>
                <w:rStyle w:val="IndexLink"/>
                <w:rtl w:val="true"/>
              </w:rPr>
              <w:tab/>
            </w:r>
            <w:r>
              <w:rPr>
                <w:rStyle w:val="IndexLink"/>
              </w:rPr>
              <w:t>235</w:t>
            </w:r>
          </w:hyperlink>
        </w:p>
        <w:p>
          <w:pPr>
            <w:pStyle w:val="Contents6"/>
            <w:tabs>
              <w:tab w:val="clear" w:pos="7609"/>
              <w:tab w:val="right" w:pos="9026" w:leader="dot"/>
            </w:tabs>
            <w:rPr/>
          </w:pPr>
          <w:hyperlink w:anchor="__RefHeading___Toc2531159_1468164448">
            <w:r>
              <w:rPr>
                <w:webHidden/>
                <w:rStyle w:val="IndexLink"/>
                <w:rtl w:val="true"/>
              </w:rPr>
              <w:t>مقدّمه‌ای دربارۀ اصل اوّلی</w:t>
            </w:r>
            <w:r>
              <w:rPr>
                <w:rStyle w:val="IndexLink"/>
                <w:rtl w:val="true"/>
              </w:rPr>
              <w:tab/>
            </w:r>
            <w:r>
              <w:rPr>
                <w:rStyle w:val="IndexLink"/>
              </w:rPr>
              <w:t>236</w:t>
            </w:r>
          </w:hyperlink>
        </w:p>
        <w:p>
          <w:pPr>
            <w:pStyle w:val="Contents6"/>
            <w:tabs>
              <w:tab w:val="clear" w:pos="7609"/>
              <w:tab w:val="right" w:pos="9026" w:leader="dot"/>
            </w:tabs>
            <w:rPr/>
          </w:pPr>
          <w:hyperlink w:anchor="__RefHeading___Toc2531161_1468164448">
            <w:r>
              <w:rPr>
                <w:webHidden/>
                <w:rStyle w:val="IndexLink"/>
              </w:rPr>
              <w:t>1</w:t>
            </w:r>
            <w:r>
              <w:rPr>
                <w:rStyle w:val="IndexLink"/>
                <w:rtl w:val="true"/>
              </w:rPr>
              <w:t xml:space="preserve">- </w:t>
            </w:r>
            <w:r>
              <w:rPr>
                <w:rStyle w:val="IndexLink"/>
                <w:rtl w:val="true"/>
              </w:rPr>
              <w:t>ادلّۀ اثبات اصل احتیاط‌</w:t>
            </w:r>
            <w:r>
              <w:rPr>
                <w:rStyle w:val="IndexLink"/>
                <w:rtl w:val="true"/>
              </w:rPr>
              <w:tab/>
            </w:r>
            <w:r>
              <w:rPr>
                <w:rStyle w:val="IndexLink"/>
              </w:rPr>
              <w:t>237</w:t>
            </w:r>
          </w:hyperlink>
        </w:p>
        <w:p>
          <w:pPr>
            <w:pStyle w:val="Contents6"/>
            <w:tabs>
              <w:tab w:val="clear" w:pos="7609"/>
              <w:tab w:val="right" w:pos="9026" w:leader="dot"/>
            </w:tabs>
            <w:rPr/>
          </w:pPr>
          <w:hyperlink w:anchor="__RefHeading___Toc2531163_1468164448">
            <w:r>
              <w:rPr>
                <w:webHidden/>
                <w:rStyle w:val="IndexLink"/>
              </w:rPr>
              <w:t>2</w:t>
            </w:r>
            <w:r>
              <w:rPr>
                <w:rStyle w:val="IndexLink"/>
                <w:rtl w:val="true"/>
              </w:rPr>
              <w:t xml:space="preserve">- </w:t>
            </w:r>
            <w:r>
              <w:rPr>
                <w:rStyle w:val="IndexLink"/>
                <w:rtl w:val="true"/>
              </w:rPr>
              <w:t>نتیجه‌گیری و دیدگاه برگزیده</w:t>
            </w:r>
            <w:r>
              <w:rPr>
                <w:rStyle w:val="IndexLink"/>
                <w:rtl w:val="true"/>
              </w:rPr>
              <w:tab/>
            </w:r>
            <w:r>
              <w:rPr>
                <w:rStyle w:val="IndexLink"/>
              </w:rPr>
              <w:t>246</w:t>
            </w:r>
          </w:hyperlink>
        </w:p>
        <w:p>
          <w:pPr>
            <w:pStyle w:val="Contents6"/>
            <w:tabs>
              <w:tab w:val="clear" w:pos="7609"/>
              <w:tab w:val="right" w:pos="9026" w:leader="dot"/>
            </w:tabs>
            <w:rPr/>
          </w:pPr>
          <w:hyperlink w:anchor="__RefHeading___Toc2531165_1468164448">
            <w:r>
              <w:rPr>
                <w:webHidden/>
                <w:rStyle w:val="IndexLink"/>
                <w:rtl w:val="true"/>
              </w:rPr>
              <w:t>الف</w:t>
            </w:r>
            <w:r>
              <w:rPr>
                <w:rStyle w:val="IndexLink"/>
                <w:rtl w:val="true"/>
              </w:rPr>
              <w:t xml:space="preserve">) </w:t>
            </w:r>
            <w:r>
              <w:rPr>
                <w:rStyle w:val="IndexLink"/>
                <w:rtl w:val="true"/>
              </w:rPr>
              <w:t>صورت اوّل تلقیح مصنوعی</w:t>
            </w:r>
            <w:r>
              <w:rPr>
                <w:rStyle w:val="IndexLink"/>
                <w:rtl w:val="true"/>
              </w:rPr>
              <w:tab/>
            </w:r>
            <w:r>
              <w:rPr>
                <w:rStyle w:val="IndexLink"/>
              </w:rPr>
              <w:t>246</w:t>
            </w:r>
          </w:hyperlink>
        </w:p>
        <w:p>
          <w:pPr>
            <w:pStyle w:val="Contents6"/>
            <w:tabs>
              <w:tab w:val="clear" w:pos="7609"/>
              <w:tab w:val="right" w:pos="9026" w:leader="dot"/>
            </w:tabs>
            <w:rPr/>
          </w:pPr>
          <w:hyperlink w:anchor="__RefHeading___Toc2531167_1468164448">
            <w:r>
              <w:rPr>
                <w:webHidden/>
                <w:rStyle w:val="IndexLink"/>
                <w:rtl w:val="true"/>
              </w:rPr>
              <w:t>ب</w:t>
            </w:r>
            <w:r>
              <w:rPr>
                <w:rStyle w:val="IndexLink"/>
                <w:rtl w:val="true"/>
              </w:rPr>
              <w:t xml:space="preserve">) </w:t>
            </w:r>
            <w:r>
              <w:rPr>
                <w:rStyle w:val="IndexLink"/>
                <w:rtl w:val="true"/>
              </w:rPr>
              <w:t>صورت دوم تلقیح مصنوعی</w:t>
            </w:r>
            <w:r>
              <w:rPr>
                <w:rStyle w:val="IndexLink"/>
                <w:rtl w:val="true"/>
              </w:rPr>
              <w:tab/>
            </w:r>
            <w:r>
              <w:rPr>
                <w:rStyle w:val="IndexLink"/>
              </w:rPr>
              <w:t>250</w:t>
            </w:r>
          </w:hyperlink>
        </w:p>
        <w:p>
          <w:pPr>
            <w:pStyle w:val="Contents6"/>
            <w:tabs>
              <w:tab w:val="clear" w:pos="7609"/>
              <w:tab w:val="right" w:pos="9026" w:leader="dot"/>
            </w:tabs>
            <w:rPr/>
          </w:pPr>
          <w:hyperlink w:anchor="__RefHeading___Toc2531169_1468164448">
            <w:r>
              <w:rPr>
                <w:webHidden/>
                <w:rStyle w:val="IndexLink"/>
              </w:rPr>
              <w:t>1</w:t>
            </w:r>
            <w:r>
              <w:rPr>
                <w:rStyle w:val="IndexLink"/>
                <w:rtl w:val="true"/>
              </w:rPr>
              <w:t xml:space="preserve">- </w:t>
            </w:r>
            <w:r>
              <w:rPr>
                <w:rStyle w:val="IndexLink"/>
                <w:rtl w:val="true"/>
              </w:rPr>
              <w:t>ادلّۀ حرمت صورت دوم</w:t>
            </w:r>
            <w:r>
              <w:rPr>
                <w:rStyle w:val="IndexLink"/>
                <w:rtl w:val="true"/>
              </w:rPr>
              <w:tab/>
            </w:r>
            <w:r>
              <w:rPr>
                <w:rStyle w:val="IndexLink"/>
              </w:rPr>
              <w:t>250</w:t>
            </w:r>
          </w:hyperlink>
        </w:p>
        <w:p>
          <w:pPr>
            <w:pStyle w:val="Contents6"/>
            <w:tabs>
              <w:tab w:val="clear" w:pos="7609"/>
              <w:tab w:val="right" w:pos="9026" w:leader="dot"/>
            </w:tabs>
            <w:rPr/>
          </w:pPr>
          <w:hyperlink w:anchor="__RefHeading___Toc2531171_1468164448">
            <w:r>
              <w:rPr>
                <w:webHidden/>
                <w:rStyle w:val="IndexLink"/>
              </w:rPr>
              <w:t>1-1</w:t>
            </w:r>
            <w:r>
              <w:rPr>
                <w:rStyle w:val="IndexLink"/>
                <w:rtl w:val="true"/>
              </w:rPr>
              <w:t xml:space="preserve">- </w:t>
            </w:r>
            <w:r>
              <w:rPr>
                <w:rStyle w:val="IndexLink"/>
                <w:rtl w:val="true"/>
              </w:rPr>
              <w:t>روایات</w:t>
            </w:r>
            <w:r>
              <w:rPr>
                <w:rStyle w:val="IndexLink"/>
                <w:rtl w:val="true"/>
              </w:rPr>
              <w:tab/>
            </w:r>
            <w:r>
              <w:rPr>
                <w:rStyle w:val="IndexLink"/>
              </w:rPr>
              <w:t>251</w:t>
            </w:r>
          </w:hyperlink>
        </w:p>
        <w:p>
          <w:pPr>
            <w:pStyle w:val="Contents6"/>
            <w:tabs>
              <w:tab w:val="clear" w:pos="7609"/>
              <w:tab w:val="right" w:pos="9026" w:leader="dot"/>
            </w:tabs>
            <w:rPr/>
          </w:pPr>
          <w:hyperlink w:anchor="__RefHeading___Toc2531173_1468164448">
            <w:r>
              <w:rPr>
                <w:webHidden/>
                <w:rStyle w:val="IndexLink"/>
              </w:rPr>
              <w:t>1-2</w:t>
            </w:r>
            <w:r>
              <w:rPr>
                <w:rStyle w:val="IndexLink"/>
                <w:rtl w:val="true"/>
              </w:rPr>
              <w:t xml:space="preserve">- </w:t>
            </w:r>
            <w:r>
              <w:rPr>
                <w:rStyle w:val="IndexLink"/>
                <w:rtl w:val="true"/>
              </w:rPr>
              <w:t>آیات قرآن کریم</w:t>
            </w:r>
            <w:r>
              <w:rPr>
                <w:rStyle w:val="IndexLink"/>
                <w:rtl w:val="true"/>
              </w:rPr>
              <w:tab/>
            </w:r>
            <w:r>
              <w:rPr>
                <w:rStyle w:val="IndexLink"/>
              </w:rPr>
              <w:t>262</w:t>
            </w:r>
          </w:hyperlink>
        </w:p>
        <w:p>
          <w:pPr>
            <w:pStyle w:val="Contents6"/>
            <w:tabs>
              <w:tab w:val="clear" w:pos="7609"/>
              <w:tab w:val="right" w:pos="9026" w:leader="dot"/>
            </w:tabs>
            <w:rPr/>
          </w:pPr>
          <w:hyperlink w:anchor="__RefHeading___Toc2531175_1468164448">
            <w:r>
              <w:rPr>
                <w:webHidden/>
                <w:rStyle w:val="IndexLink"/>
              </w:rPr>
              <w:t>1-3</w:t>
            </w:r>
            <w:r>
              <w:rPr>
                <w:rStyle w:val="IndexLink"/>
                <w:rtl w:val="true"/>
              </w:rPr>
              <w:t xml:space="preserve">- </w:t>
            </w:r>
            <w:r>
              <w:rPr>
                <w:rStyle w:val="IndexLink"/>
                <w:rtl w:val="true"/>
              </w:rPr>
              <w:t>تعلیل موجود در برخی از روایات</w:t>
            </w:r>
            <w:r>
              <w:rPr>
                <w:rStyle w:val="IndexLink"/>
                <w:rtl w:val="true"/>
              </w:rPr>
              <w:tab/>
            </w:r>
            <w:r>
              <w:rPr>
                <w:rStyle w:val="IndexLink"/>
              </w:rPr>
              <w:t>275</w:t>
            </w:r>
          </w:hyperlink>
        </w:p>
        <w:p>
          <w:pPr>
            <w:pStyle w:val="Contents6"/>
            <w:tabs>
              <w:tab w:val="clear" w:pos="7609"/>
              <w:tab w:val="right" w:pos="9026" w:leader="dot"/>
            </w:tabs>
            <w:rPr/>
          </w:pPr>
          <w:hyperlink w:anchor="__RefHeading___Toc2531177_1468164448">
            <w:r>
              <w:rPr>
                <w:webHidden/>
                <w:rStyle w:val="IndexLink"/>
                <w:rtl w:val="true"/>
              </w:rPr>
              <w:t>پاسخ به اشکالات</w:t>
            </w:r>
            <w:r>
              <w:rPr>
                <w:rStyle w:val="IndexLink"/>
                <w:rtl w:val="true"/>
              </w:rPr>
              <w:tab/>
            </w:r>
            <w:r>
              <w:rPr>
                <w:rStyle w:val="IndexLink"/>
              </w:rPr>
              <w:t>280</w:t>
            </w:r>
          </w:hyperlink>
        </w:p>
        <w:p>
          <w:pPr>
            <w:pStyle w:val="Contents6"/>
            <w:tabs>
              <w:tab w:val="clear" w:pos="7609"/>
              <w:tab w:val="right" w:pos="9026" w:leader="dot"/>
            </w:tabs>
            <w:rPr/>
          </w:pPr>
          <w:hyperlink w:anchor="__RefHeading___Toc2531179_1468164448">
            <w:r>
              <w:rPr>
                <w:webHidden/>
                <w:rStyle w:val="IndexLink"/>
                <w:rtl w:val="true"/>
              </w:rPr>
              <w:t>نتیجۀ بررسی ادلّۀ حرمت</w:t>
            </w:r>
            <w:r>
              <w:rPr>
                <w:rStyle w:val="IndexLink"/>
                <w:rtl w:val="true"/>
              </w:rPr>
              <w:tab/>
            </w:r>
            <w:r>
              <w:rPr>
                <w:rStyle w:val="IndexLink"/>
              </w:rPr>
              <w:t>281</w:t>
            </w:r>
          </w:hyperlink>
        </w:p>
        <w:p>
          <w:pPr>
            <w:pStyle w:val="Contents6"/>
            <w:tabs>
              <w:tab w:val="clear" w:pos="7609"/>
              <w:tab w:val="right" w:pos="9026" w:leader="dot"/>
            </w:tabs>
            <w:rPr/>
          </w:pPr>
          <w:hyperlink w:anchor="__RefHeading___Toc2531181_1468164448">
            <w:r>
              <w:rPr>
                <w:webHidden/>
                <w:rStyle w:val="IndexLink"/>
              </w:rPr>
              <w:t>2</w:t>
            </w:r>
            <w:r>
              <w:rPr>
                <w:rStyle w:val="IndexLink"/>
                <w:rtl w:val="true"/>
              </w:rPr>
              <w:t xml:space="preserve">- </w:t>
            </w:r>
            <w:r>
              <w:rPr>
                <w:rStyle w:val="IndexLink"/>
                <w:rtl w:val="true"/>
              </w:rPr>
              <w:t>ادلّۀ جواز صورت دوم</w:t>
            </w:r>
            <w:r>
              <w:rPr>
                <w:rStyle w:val="IndexLink"/>
                <w:rtl w:val="true"/>
              </w:rPr>
              <w:tab/>
            </w:r>
            <w:r>
              <w:rPr>
                <w:rStyle w:val="IndexLink"/>
              </w:rPr>
              <w:t>281</w:t>
            </w:r>
          </w:hyperlink>
        </w:p>
        <w:p>
          <w:pPr>
            <w:pStyle w:val="Contents6"/>
            <w:tabs>
              <w:tab w:val="clear" w:pos="7609"/>
              <w:tab w:val="right" w:pos="9026" w:leader="dot"/>
            </w:tabs>
            <w:rPr/>
          </w:pPr>
          <w:hyperlink w:anchor="__RefHeading___Toc2531183_1468164448">
            <w:r>
              <w:rPr>
                <w:webHidden/>
                <w:rStyle w:val="IndexLink"/>
              </w:rPr>
              <w:t>3</w:t>
            </w:r>
            <w:r>
              <w:rPr>
                <w:rStyle w:val="IndexLink"/>
                <w:rtl w:val="true"/>
              </w:rPr>
              <w:t xml:space="preserve">- </w:t>
            </w:r>
            <w:r>
              <w:rPr>
                <w:rStyle w:val="IndexLink"/>
                <w:rtl w:val="true"/>
              </w:rPr>
              <w:t>دیدگاه برگزیده</w:t>
            </w:r>
            <w:r>
              <w:rPr>
                <w:rStyle w:val="IndexLink"/>
                <w:rtl w:val="true"/>
              </w:rPr>
              <w:tab/>
            </w:r>
            <w:r>
              <w:rPr>
                <w:rStyle w:val="IndexLink"/>
              </w:rPr>
              <w:t>284</w:t>
            </w:r>
          </w:hyperlink>
        </w:p>
        <w:p>
          <w:pPr>
            <w:pStyle w:val="Contents6"/>
            <w:tabs>
              <w:tab w:val="clear" w:pos="7609"/>
              <w:tab w:val="right" w:pos="9026" w:leader="dot"/>
            </w:tabs>
            <w:rPr/>
          </w:pPr>
          <w:hyperlink w:anchor="__RefHeading___Toc2531185_1468164448">
            <w:r>
              <w:rPr>
                <w:webHidden/>
                <w:rStyle w:val="IndexLink"/>
                <w:rtl w:val="true"/>
              </w:rPr>
              <w:t>ج</w:t>
            </w:r>
            <w:r>
              <w:rPr>
                <w:rStyle w:val="IndexLink"/>
                <w:rtl w:val="true"/>
              </w:rPr>
              <w:t xml:space="preserve">) </w:t>
            </w:r>
            <w:r>
              <w:rPr>
                <w:rStyle w:val="IndexLink"/>
                <w:rtl w:val="true"/>
              </w:rPr>
              <w:t>صورت سوم تلقیح مصنوعی</w:t>
            </w:r>
            <w:r>
              <w:rPr>
                <w:rStyle w:val="IndexLink"/>
                <w:rtl w:val="true"/>
              </w:rPr>
              <w:tab/>
            </w:r>
            <w:r>
              <w:rPr>
                <w:rStyle w:val="IndexLink"/>
              </w:rPr>
              <w:t>284</w:t>
            </w:r>
          </w:hyperlink>
        </w:p>
        <w:p>
          <w:pPr>
            <w:pStyle w:val="Contents6"/>
            <w:tabs>
              <w:tab w:val="clear" w:pos="7609"/>
              <w:tab w:val="right" w:pos="9026" w:leader="dot"/>
            </w:tabs>
            <w:rPr/>
          </w:pPr>
          <w:hyperlink w:anchor="__RefHeading___Toc2531187_1468164448">
            <w:r>
              <w:rPr>
                <w:webHidden/>
                <w:rStyle w:val="IndexLink"/>
                <w:rtl w:val="true"/>
              </w:rPr>
              <w:t>د</w:t>
            </w:r>
            <w:r>
              <w:rPr>
                <w:rStyle w:val="IndexLink"/>
                <w:rtl w:val="true"/>
              </w:rPr>
              <w:t xml:space="preserve">) </w:t>
            </w:r>
            <w:r>
              <w:rPr>
                <w:rStyle w:val="IndexLink"/>
                <w:rtl w:val="true"/>
              </w:rPr>
              <w:t>صورت چهارم تلقیح مصنوعی</w:t>
            </w:r>
            <w:r>
              <w:rPr>
                <w:rStyle w:val="IndexLink"/>
                <w:rtl w:val="true"/>
              </w:rPr>
              <w:tab/>
            </w:r>
            <w:r>
              <w:rPr>
                <w:rStyle w:val="IndexLink"/>
              </w:rPr>
              <w:t>286</w:t>
            </w:r>
          </w:hyperlink>
        </w:p>
        <w:p>
          <w:pPr>
            <w:pStyle w:val="Contents6"/>
            <w:tabs>
              <w:tab w:val="clear" w:pos="7609"/>
              <w:tab w:val="right" w:pos="9026" w:leader="dot"/>
            </w:tabs>
            <w:rPr/>
          </w:pPr>
          <w:hyperlink w:anchor="__RefHeading___Toc2531189_1468164448">
            <w:r>
              <w:rPr>
                <w:webHidden/>
                <w:rStyle w:val="IndexLink"/>
                <w:rtl w:val="true"/>
              </w:rPr>
              <w:t>ه</w:t>
            </w:r>
            <w:r>
              <w:rPr>
                <w:rStyle w:val="IndexLink"/>
                <w:rtl w:val="true"/>
              </w:rPr>
              <w:t xml:space="preserve">) </w:t>
            </w:r>
            <w:r>
              <w:rPr>
                <w:rStyle w:val="IndexLink"/>
                <w:rtl w:val="true"/>
              </w:rPr>
              <w:t>صورت پنجمِ تلقیح مصنوعی</w:t>
            </w:r>
            <w:r>
              <w:rPr>
                <w:rStyle w:val="IndexLink"/>
                <w:rtl w:val="true"/>
              </w:rPr>
              <w:tab/>
            </w:r>
            <w:r>
              <w:rPr>
                <w:rStyle w:val="IndexLink"/>
              </w:rPr>
              <w:t>291</w:t>
            </w:r>
          </w:hyperlink>
        </w:p>
        <w:p>
          <w:pPr>
            <w:pStyle w:val="Contents6"/>
            <w:tabs>
              <w:tab w:val="clear" w:pos="7609"/>
              <w:tab w:val="right" w:pos="9026" w:leader="dot"/>
            </w:tabs>
            <w:rPr/>
          </w:pPr>
          <w:hyperlink w:anchor="__RefHeading___Toc2531191_1468164448">
            <w:r>
              <w:rPr>
                <w:webHidden/>
                <w:rStyle w:val="IndexLink"/>
                <w:rtl w:val="true"/>
              </w:rPr>
              <w:t>و</w:t>
            </w:r>
            <w:r>
              <w:rPr>
                <w:rStyle w:val="IndexLink"/>
                <w:rtl w:val="true"/>
              </w:rPr>
              <w:t xml:space="preserve">) </w:t>
            </w:r>
            <w:r>
              <w:rPr>
                <w:rStyle w:val="IndexLink"/>
                <w:rtl w:val="true"/>
              </w:rPr>
              <w:t>صورت ششم تلقیح مصنوعی</w:t>
            </w:r>
            <w:r>
              <w:rPr>
                <w:rStyle w:val="IndexLink"/>
                <w:rtl w:val="true"/>
              </w:rPr>
              <w:tab/>
            </w:r>
            <w:r>
              <w:rPr>
                <w:rStyle w:val="IndexLink"/>
              </w:rPr>
              <w:t>292</w:t>
            </w:r>
          </w:hyperlink>
        </w:p>
        <w:p>
          <w:pPr>
            <w:pStyle w:val="Contents6"/>
            <w:tabs>
              <w:tab w:val="clear" w:pos="7609"/>
              <w:tab w:val="right" w:pos="9026" w:leader="dot"/>
            </w:tabs>
            <w:rPr/>
          </w:pPr>
          <w:hyperlink w:anchor="__RefHeading___Toc2531193_1468164448">
            <w:r>
              <w:rPr>
                <w:webHidden/>
                <w:rStyle w:val="IndexLink"/>
                <w:rtl w:val="true"/>
              </w:rPr>
              <w:t>اشاره‌ای به بحث مقاصد الشریعة</w:t>
            </w:r>
            <w:r>
              <w:rPr>
                <w:rStyle w:val="IndexLink"/>
                <w:rtl w:val="true"/>
              </w:rPr>
              <w:tab/>
            </w:r>
            <w:r>
              <w:rPr>
                <w:rStyle w:val="IndexLink"/>
              </w:rPr>
              <w:t>294</w:t>
            </w:r>
          </w:hyperlink>
        </w:p>
        <w:p>
          <w:pPr>
            <w:pStyle w:val="Contents5"/>
            <w:tabs>
              <w:tab w:val="clear" w:pos="7892"/>
              <w:tab w:val="right" w:pos="9026" w:leader="dot"/>
            </w:tabs>
            <w:rPr/>
          </w:pPr>
          <w:hyperlink w:anchor="__RefHeading___Toc2531195_1468164448">
            <w:r>
              <w:rPr>
                <w:webHidden/>
                <w:rStyle w:val="IndexLink"/>
                <w:rtl w:val="true"/>
              </w:rPr>
              <w:t>بند دوم</w:t>
            </w:r>
            <w:r>
              <w:rPr>
                <w:rStyle w:val="IndexLink"/>
                <w:rtl w:val="true"/>
              </w:rPr>
              <w:t xml:space="preserve">: </w:t>
            </w:r>
            <w:r>
              <w:rPr>
                <w:rStyle w:val="IndexLink"/>
                <w:rtl w:val="true"/>
              </w:rPr>
              <w:t>تعیین نسب فرزند متولّد شده از تلقیح مصنوعی</w:t>
            </w:r>
            <w:r>
              <w:rPr>
                <w:rStyle w:val="IndexLink"/>
                <w:rtl w:val="true"/>
              </w:rPr>
              <w:tab/>
            </w:r>
            <w:r>
              <w:rPr>
                <w:rStyle w:val="IndexLink"/>
              </w:rPr>
              <w:t>295</w:t>
            </w:r>
          </w:hyperlink>
        </w:p>
        <w:p>
          <w:pPr>
            <w:pStyle w:val="Contents6"/>
            <w:tabs>
              <w:tab w:val="clear" w:pos="7609"/>
              <w:tab w:val="right" w:pos="9026" w:leader="dot"/>
            </w:tabs>
            <w:rPr/>
          </w:pPr>
          <w:hyperlink w:anchor="__RefHeading___Toc2531197_1468164448">
            <w:r>
              <w:rPr>
                <w:webHidden/>
                <w:rStyle w:val="IndexLink"/>
                <w:rtl w:val="true"/>
              </w:rPr>
              <w:t>اشارة</w:t>
            </w:r>
            <w:r>
              <w:rPr>
                <w:rStyle w:val="IndexLink"/>
                <w:rtl w:val="true"/>
              </w:rPr>
              <w:tab/>
            </w:r>
            <w:r>
              <w:rPr>
                <w:rStyle w:val="IndexLink"/>
              </w:rPr>
              <w:t>295</w:t>
            </w:r>
          </w:hyperlink>
        </w:p>
        <w:p>
          <w:pPr>
            <w:pStyle w:val="Contents6"/>
            <w:tabs>
              <w:tab w:val="clear" w:pos="7609"/>
              <w:tab w:val="right" w:pos="9026" w:leader="dot"/>
            </w:tabs>
            <w:rPr/>
          </w:pPr>
          <w:hyperlink w:anchor="__RefHeading___Toc2531199_1468164448">
            <w:r>
              <w:rPr>
                <w:webHidden/>
                <w:rStyle w:val="IndexLink"/>
                <w:rtl w:val="true"/>
              </w:rPr>
              <w:t>الف</w:t>
            </w:r>
            <w:r>
              <w:rPr>
                <w:rStyle w:val="IndexLink"/>
                <w:rtl w:val="true"/>
              </w:rPr>
              <w:t xml:space="preserve">) </w:t>
            </w:r>
            <w:r>
              <w:rPr>
                <w:rStyle w:val="IndexLink"/>
                <w:rtl w:val="true"/>
              </w:rPr>
              <w:t>مفهوم نسب</w:t>
            </w:r>
            <w:r>
              <w:rPr>
                <w:rStyle w:val="IndexLink"/>
                <w:rtl w:val="true"/>
              </w:rPr>
              <w:tab/>
            </w:r>
            <w:r>
              <w:rPr>
                <w:rStyle w:val="IndexLink"/>
              </w:rPr>
              <w:t>295</w:t>
            </w:r>
          </w:hyperlink>
        </w:p>
        <w:p>
          <w:pPr>
            <w:pStyle w:val="Contents6"/>
            <w:tabs>
              <w:tab w:val="clear" w:pos="7609"/>
              <w:tab w:val="right" w:pos="9026" w:leader="dot"/>
            </w:tabs>
            <w:rPr/>
          </w:pPr>
          <w:hyperlink w:anchor="__RefHeading___Toc2531201_1468164448">
            <w:r>
              <w:rPr>
                <w:webHidden/>
                <w:rStyle w:val="IndexLink"/>
                <w:rtl w:val="true"/>
              </w:rPr>
              <w:t>ب</w:t>
            </w:r>
            <w:r>
              <w:rPr>
                <w:rStyle w:val="IndexLink"/>
                <w:rtl w:val="true"/>
              </w:rPr>
              <w:t xml:space="preserve">) </w:t>
            </w:r>
            <w:r>
              <w:rPr>
                <w:rStyle w:val="IndexLink"/>
                <w:rtl w:val="true"/>
              </w:rPr>
              <w:t>نسب فرزند در شکل‌های مختلف تلقیح مصنوعی</w:t>
            </w:r>
            <w:r>
              <w:rPr>
                <w:rStyle w:val="IndexLink"/>
                <w:rtl w:val="true"/>
              </w:rPr>
              <w:tab/>
            </w:r>
            <w:r>
              <w:rPr>
                <w:rStyle w:val="IndexLink"/>
              </w:rPr>
              <w:t>305</w:t>
            </w:r>
          </w:hyperlink>
        </w:p>
        <w:p>
          <w:pPr>
            <w:pStyle w:val="Contents6"/>
            <w:tabs>
              <w:tab w:val="clear" w:pos="7609"/>
              <w:tab w:val="right" w:pos="9026" w:leader="dot"/>
            </w:tabs>
            <w:rPr/>
          </w:pPr>
          <w:hyperlink w:anchor="__RefHeading___Toc2531203_1468164448">
            <w:r>
              <w:rPr>
                <w:webHidden/>
                <w:rStyle w:val="IndexLink"/>
              </w:rPr>
              <w:t>1</w:t>
            </w:r>
            <w:r>
              <w:rPr>
                <w:rStyle w:val="IndexLink"/>
                <w:rtl w:val="true"/>
              </w:rPr>
              <w:t xml:space="preserve">- </w:t>
            </w:r>
            <w:r>
              <w:rPr>
                <w:rStyle w:val="IndexLink"/>
                <w:rtl w:val="true"/>
              </w:rPr>
              <w:t>دیدگاه محقّق خویی</w:t>
            </w:r>
            <w:r>
              <w:rPr>
                <w:rStyle w:val="IndexLink"/>
                <w:rtl w:val="true"/>
              </w:rPr>
              <w:tab/>
            </w:r>
            <w:r>
              <w:rPr>
                <w:rStyle w:val="IndexLink"/>
              </w:rPr>
              <w:t>306</w:t>
            </w:r>
          </w:hyperlink>
        </w:p>
        <w:p>
          <w:pPr>
            <w:pStyle w:val="Contents6"/>
            <w:tabs>
              <w:tab w:val="clear" w:pos="7609"/>
              <w:tab w:val="right" w:pos="9026" w:leader="dot"/>
            </w:tabs>
            <w:rPr/>
          </w:pPr>
          <w:hyperlink w:anchor="__RefHeading___Toc2531205_1468164448">
            <w:r>
              <w:rPr>
                <w:webHidden/>
                <w:rStyle w:val="IndexLink"/>
              </w:rPr>
              <w:t>2</w:t>
            </w:r>
            <w:r>
              <w:rPr>
                <w:rStyle w:val="IndexLink"/>
                <w:rtl w:val="true"/>
              </w:rPr>
              <w:t xml:space="preserve">- </w:t>
            </w:r>
            <w:r>
              <w:rPr>
                <w:rStyle w:val="IndexLink"/>
                <w:rtl w:val="true"/>
              </w:rPr>
              <w:t>نقد دیدگاه محقّق خویی</w:t>
            </w:r>
            <w:r>
              <w:rPr>
                <w:rStyle w:val="IndexLink"/>
                <w:rtl w:val="true"/>
              </w:rPr>
              <w:tab/>
            </w:r>
            <w:r>
              <w:rPr>
                <w:rStyle w:val="IndexLink"/>
              </w:rPr>
              <w:t>306</w:t>
            </w:r>
          </w:hyperlink>
        </w:p>
        <w:p>
          <w:pPr>
            <w:pStyle w:val="Contents6"/>
            <w:tabs>
              <w:tab w:val="clear" w:pos="7609"/>
              <w:tab w:val="right" w:pos="9026" w:leader="dot"/>
            </w:tabs>
            <w:rPr/>
          </w:pPr>
          <w:hyperlink w:anchor="__RefHeading___Toc2531207_1468164448">
            <w:r>
              <w:rPr>
                <w:webHidden/>
                <w:rStyle w:val="IndexLink"/>
              </w:rPr>
              <w:t>3</w:t>
            </w:r>
            <w:r>
              <w:rPr>
                <w:rStyle w:val="IndexLink"/>
                <w:rtl w:val="true"/>
              </w:rPr>
              <w:t xml:space="preserve">- </w:t>
            </w:r>
            <w:r>
              <w:rPr>
                <w:rStyle w:val="IndexLink"/>
                <w:rtl w:val="true"/>
              </w:rPr>
              <w:t>احتمال وجود مادر دوم</w:t>
            </w:r>
            <w:r>
              <w:rPr>
                <w:rStyle w:val="IndexLink"/>
                <w:rtl w:val="true"/>
              </w:rPr>
              <w:tab/>
            </w:r>
            <w:r>
              <w:rPr>
                <w:rStyle w:val="IndexLink"/>
              </w:rPr>
              <w:t>307</w:t>
            </w:r>
          </w:hyperlink>
        </w:p>
        <w:p>
          <w:pPr>
            <w:pStyle w:val="Contents3"/>
            <w:tabs>
              <w:tab w:val="clear" w:pos="8459"/>
              <w:tab w:val="right" w:pos="9026" w:leader="dot"/>
            </w:tabs>
            <w:rPr/>
          </w:pPr>
          <w:hyperlink w:anchor="__RefHeading___Toc2531209_1468164448">
            <w:r>
              <w:rPr>
                <w:webHidden/>
                <w:rStyle w:val="IndexLink"/>
                <w:rtl w:val="true"/>
              </w:rPr>
              <w:t>فصل ششم</w:t>
            </w:r>
            <w:r>
              <w:rPr>
                <w:rStyle w:val="IndexLink"/>
                <w:rtl w:val="true"/>
              </w:rPr>
              <w:t xml:space="preserve">: </w:t>
            </w:r>
            <w:r>
              <w:rPr>
                <w:rStyle w:val="IndexLink"/>
                <w:rtl w:val="true"/>
              </w:rPr>
              <w:t>معاملۀ مردار</w:t>
            </w:r>
            <w:r>
              <w:rPr>
                <w:rStyle w:val="IndexLink"/>
                <w:rtl w:val="true"/>
              </w:rPr>
              <w:tab/>
            </w:r>
            <w:r>
              <w:rPr>
                <w:rStyle w:val="IndexLink"/>
              </w:rPr>
              <w:t>308</w:t>
            </w:r>
          </w:hyperlink>
        </w:p>
        <w:p>
          <w:pPr>
            <w:pStyle w:val="Contents4"/>
            <w:tabs>
              <w:tab w:val="clear" w:pos="8176"/>
              <w:tab w:val="right" w:pos="9026" w:leader="dot"/>
            </w:tabs>
            <w:rPr/>
          </w:pPr>
          <w:hyperlink w:anchor="__RefHeading___Toc2531211_1468164448">
            <w:r>
              <w:rPr>
                <w:webHidden/>
                <w:rStyle w:val="IndexLink"/>
                <w:rtl w:val="true"/>
              </w:rPr>
              <w:t>اشارة</w:t>
            </w:r>
            <w:r>
              <w:rPr>
                <w:rStyle w:val="IndexLink"/>
                <w:rtl w:val="true"/>
              </w:rPr>
              <w:tab/>
            </w:r>
            <w:r>
              <w:rPr>
                <w:rStyle w:val="IndexLink"/>
              </w:rPr>
              <w:t>308</w:t>
            </w:r>
          </w:hyperlink>
        </w:p>
        <w:p>
          <w:pPr>
            <w:pStyle w:val="Contents4"/>
            <w:tabs>
              <w:tab w:val="clear" w:pos="8176"/>
              <w:tab w:val="right" w:pos="9026" w:leader="dot"/>
            </w:tabs>
            <w:rPr/>
          </w:pPr>
          <w:hyperlink w:anchor="__RefHeading___Toc2531213_1468164448">
            <w:r>
              <w:rPr>
                <w:webHidden/>
                <w:rStyle w:val="IndexLink"/>
                <w:rtl w:val="true"/>
              </w:rPr>
              <w:t>گفتار اوّل</w:t>
            </w:r>
            <w:r>
              <w:rPr>
                <w:rStyle w:val="IndexLink"/>
                <w:rtl w:val="true"/>
              </w:rPr>
              <w:t xml:space="preserve">: </w:t>
            </w:r>
            <w:r>
              <w:rPr>
                <w:rStyle w:val="IndexLink"/>
                <w:rtl w:val="true"/>
              </w:rPr>
              <w:t>حکم انتفاع از مردار و اجزای آن</w:t>
            </w:r>
            <w:r>
              <w:rPr>
                <w:rStyle w:val="IndexLink"/>
                <w:rtl w:val="true"/>
              </w:rPr>
              <w:tab/>
            </w:r>
            <w:r>
              <w:rPr>
                <w:rStyle w:val="IndexLink"/>
              </w:rPr>
              <w:t>309</w:t>
            </w:r>
          </w:hyperlink>
        </w:p>
        <w:p>
          <w:pPr>
            <w:pStyle w:val="Contents5"/>
            <w:tabs>
              <w:tab w:val="clear" w:pos="7892"/>
              <w:tab w:val="right" w:pos="9026" w:leader="dot"/>
            </w:tabs>
            <w:rPr/>
          </w:pPr>
          <w:hyperlink w:anchor="__RefHeading___Toc2531215_1468164448">
            <w:r>
              <w:rPr>
                <w:webHidden/>
                <w:rStyle w:val="IndexLink"/>
                <w:rtl w:val="true"/>
              </w:rPr>
              <w:t>اشارة</w:t>
            </w:r>
            <w:r>
              <w:rPr>
                <w:rStyle w:val="IndexLink"/>
                <w:rtl w:val="true"/>
              </w:rPr>
              <w:tab/>
            </w:r>
            <w:r>
              <w:rPr>
                <w:rStyle w:val="IndexLink"/>
              </w:rPr>
              <w:t>309</w:t>
            </w:r>
          </w:hyperlink>
        </w:p>
        <w:p>
          <w:pPr>
            <w:pStyle w:val="Contents5"/>
            <w:tabs>
              <w:tab w:val="clear" w:pos="7892"/>
              <w:tab w:val="right" w:pos="9026" w:leader="dot"/>
            </w:tabs>
            <w:rPr/>
          </w:pPr>
          <w:hyperlink w:anchor="__RefHeading___Toc2531217_1468164448">
            <w:r>
              <w:rPr>
                <w:webHidden/>
                <w:rStyle w:val="IndexLink"/>
                <w:rtl w:val="true"/>
              </w:rPr>
              <w:t>بند اوّل</w:t>
            </w:r>
            <w:r>
              <w:rPr>
                <w:rStyle w:val="IndexLink"/>
                <w:rtl w:val="true"/>
              </w:rPr>
              <w:t xml:space="preserve">: </w:t>
            </w:r>
            <w:r>
              <w:rPr>
                <w:rStyle w:val="IndexLink"/>
                <w:rtl w:val="true"/>
              </w:rPr>
              <w:t>ادلّۀ حرمت انتفاع از مردار</w:t>
            </w:r>
            <w:r>
              <w:rPr>
                <w:rStyle w:val="IndexLink"/>
                <w:rtl w:val="true"/>
              </w:rPr>
              <w:tab/>
            </w:r>
            <w:r>
              <w:rPr>
                <w:rStyle w:val="IndexLink"/>
              </w:rPr>
              <w:t>310</w:t>
            </w:r>
          </w:hyperlink>
        </w:p>
        <w:p>
          <w:pPr>
            <w:pStyle w:val="Contents6"/>
            <w:tabs>
              <w:tab w:val="clear" w:pos="7609"/>
              <w:tab w:val="right" w:pos="9026" w:leader="dot"/>
            </w:tabs>
            <w:rPr/>
          </w:pPr>
          <w:hyperlink w:anchor="__RefHeading___Toc2531219_1468164448">
            <w:r>
              <w:rPr>
                <w:webHidden/>
                <w:rStyle w:val="IndexLink"/>
                <w:rtl w:val="true"/>
              </w:rPr>
              <w:t>الف</w:t>
            </w:r>
            <w:r>
              <w:rPr>
                <w:rStyle w:val="IndexLink"/>
                <w:rtl w:val="true"/>
              </w:rPr>
              <w:t xml:space="preserve">) </w:t>
            </w:r>
            <w:r>
              <w:rPr>
                <w:rStyle w:val="IndexLink"/>
                <w:rtl w:val="true"/>
              </w:rPr>
              <w:t>آیۀ سوم سورۀ مائده</w:t>
            </w:r>
            <w:r>
              <w:rPr>
                <w:rStyle w:val="IndexLink"/>
                <w:rtl w:val="true"/>
              </w:rPr>
              <w:tab/>
            </w:r>
            <w:r>
              <w:rPr>
                <w:rStyle w:val="IndexLink"/>
              </w:rPr>
              <w:t>310</w:t>
            </w:r>
          </w:hyperlink>
        </w:p>
        <w:p>
          <w:pPr>
            <w:pStyle w:val="Contents6"/>
            <w:tabs>
              <w:tab w:val="clear" w:pos="7609"/>
              <w:tab w:val="right" w:pos="9026" w:leader="dot"/>
            </w:tabs>
            <w:rPr/>
          </w:pPr>
          <w:hyperlink w:anchor="__RefHeading___Toc2531221_1468164448">
            <w:r>
              <w:rPr>
                <w:webHidden/>
                <w:rStyle w:val="IndexLink"/>
                <w:rtl w:val="true"/>
              </w:rPr>
              <w:t>ب</w:t>
            </w:r>
            <w:r>
              <w:rPr>
                <w:rStyle w:val="IndexLink"/>
                <w:rtl w:val="true"/>
              </w:rPr>
              <w:t xml:space="preserve">) </w:t>
            </w:r>
            <w:r>
              <w:rPr>
                <w:rStyle w:val="IndexLink"/>
                <w:rtl w:val="true"/>
              </w:rPr>
              <w:t>روایات</w:t>
            </w:r>
            <w:r>
              <w:rPr>
                <w:rStyle w:val="IndexLink"/>
                <w:rtl w:val="true"/>
              </w:rPr>
              <w:tab/>
            </w:r>
            <w:r>
              <w:rPr>
                <w:rStyle w:val="IndexLink"/>
              </w:rPr>
              <w:t>311</w:t>
            </w:r>
          </w:hyperlink>
        </w:p>
        <w:p>
          <w:pPr>
            <w:pStyle w:val="Contents6"/>
            <w:tabs>
              <w:tab w:val="clear" w:pos="7609"/>
              <w:tab w:val="right" w:pos="9026" w:leader="dot"/>
            </w:tabs>
            <w:rPr/>
          </w:pPr>
          <w:hyperlink w:anchor="__RefHeading___Toc2531223_1468164448">
            <w:r>
              <w:rPr>
                <w:webHidden/>
                <w:rStyle w:val="IndexLink"/>
                <w:rtl w:val="true"/>
              </w:rPr>
              <w:t>ج</w:t>
            </w:r>
            <w:r>
              <w:rPr>
                <w:rStyle w:val="IndexLink"/>
                <w:rtl w:val="true"/>
              </w:rPr>
              <w:t xml:space="preserve">) </w:t>
            </w:r>
            <w:r>
              <w:rPr>
                <w:rStyle w:val="IndexLink"/>
                <w:rtl w:val="true"/>
              </w:rPr>
              <w:t>نتیجۀ بررسی روایات حرمت</w:t>
            </w:r>
            <w:r>
              <w:rPr>
                <w:rStyle w:val="IndexLink"/>
                <w:rtl w:val="true"/>
              </w:rPr>
              <w:tab/>
            </w:r>
            <w:r>
              <w:rPr>
                <w:rStyle w:val="IndexLink"/>
              </w:rPr>
              <w:t>331</w:t>
            </w:r>
          </w:hyperlink>
        </w:p>
        <w:p>
          <w:pPr>
            <w:pStyle w:val="Contents5"/>
            <w:tabs>
              <w:tab w:val="clear" w:pos="7892"/>
              <w:tab w:val="right" w:pos="9026" w:leader="dot"/>
            </w:tabs>
            <w:rPr/>
          </w:pPr>
          <w:hyperlink w:anchor="__RefHeading___Toc2531225_1468164448">
            <w:r>
              <w:rPr>
                <w:webHidden/>
                <w:rStyle w:val="IndexLink"/>
                <w:rtl w:val="true"/>
              </w:rPr>
              <w:t>بند دوم</w:t>
            </w:r>
            <w:r>
              <w:rPr>
                <w:rStyle w:val="IndexLink"/>
                <w:rtl w:val="true"/>
              </w:rPr>
              <w:t xml:space="preserve">: </w:t>
            </w:r>
            <w:r>
              <w:rPr>
                <w:rStyle w:val="IndexLink"/>
                <w:rtl w:val="true"/>
              </w:rPr>
              <w:t>ادلّۀ جواز انتفاع از مردار</w:t>
            </w:r>
            <w:r>
              <w:rPr>
                <w:rStyle w:val="IndexLink"/>
                <w:rtl w:val="true"/>
              </w:rPr>
              <w:tab/>
            </w:r>
            <w:r>
              <w:rPr>
                <w:rStyle w:val="IndexLink"/>
              </w:rPr>
              <w:t>332</w:t>
            </w:r>
          </w:hyperlink>
        </w:p>
        <w:p>
          <w:pPr>
            <w:pStyle w:val="Contents6"/>
            <w:tabs>
              <w:tab w:val="clear" w:pos="7609"/>
              <w:tab w:val="right" w:pos="9026" w:leader="dot"/>
            </w:tabs>
            <w:rPr/>
          </w:pPr>
          <w:hyperlink w:anchor="__RefHeading___Toc2531227_1468164448">
            <w:r>
              <w:rPr>
                <w:webHidden/>
                <w:rStyle w:val="IndexLink"/>
                <w:rtl w:val="true"/>
              </w:rPr>
              <w:t>الف</w:t>
            </w:r>
            <w:r>
              <w:rPr>
                <w:rStyle w:val="IndexLink"/>
                <w:rtl w:val="true"/>
              </w:rPr>
              <w:t xml:space="preserve">) </w:t>
            </w:r>
            <w:r>
              <w:rPr>
                <w:rStyle w:val="IndexLink"/>
                <w:rtl w:val="true"/>
              </w:rPr>
              <w:t>روایت نخست</w:t>
            </w:r>
            <w:r>
              <w:rPr>
                <w:rStyle w:val="IndexLink"/>
                <w:rtl w:val="true"/>
              </w:rPr>
              <w:t>:</w:t>
              <w:tab/>
            </w:r>
            <w:r>
              <w:rPr>
                <w:rStyle w:val="IndexLink"/>
              </w:rPr>
              <w:t>332</w:t>
            </w:r>
          </w:hyperlink>
        </w:p>
        <w:p>
          <w:pPr>
            <w:pStyle w:val="Contents6"/>
            <w:tabs>
              <w:tab w:val="clear" w:pos="7609"/>
              <w:tab w:val="right" w:pos="9026" w:leader="dot"/>
            </w:tabs>
            <w:rPr/>
          </w:pPr>
          <w:hyperlink w:anchor="__RefHeading___Toc2531229_1468164448">
            <w:r>
              <w:rPr>
                <w:webHidden/>
                <w:rStyle w:val="IndexLink"/>
              </w:rPr>
              <w:t>1</w:t>
            </w:r>
            <w:r>
              <w:rPr>
                <w:rStyle w:val="IndexLink"/>
                <w:rtl w:val="true"/>
              </w:rPr>
              <w:t xml:space="preserve">- </w:t>
            </w:r>
            <w:r>
              <w:rPr>
                <w:rStyle w:val="IndexLink"/>
                <w:rtl w:val="true"/>
              </w:rPr>
              <w:t>تقریب استدلال</w:t>
            </w:r>
            <w:r>
              <w:rPr>
                <w:rStyle w:val="IndexLink"/>
                <w:rtl w:val="true"/>
              </w:rPr>
              <w:tab/>
            </w:r>
            <w:r>
              <w:rPr>
                <w:rStyle w:val="IndexLink"/>
              </w:rPr>
              <w:t>335</w:t>
            </w:r>
          </w:hyperlink>
        </w:p>
        <w:p>
          <w:pPr>
            <w:pStyle w:val="Contents6"/>
            <w:tabs>
              <w:tab w:val="clear" w:pos="7609"/>
              <w:tab w:val="right" w:pos="9026" w:leader="dot"/>
            </w:tabs>
            <w:rPr/>
          </w:pPr>
          <w:hyperlink w:anchor="__RefHeading___Toc2531231_1468164448">
            <w:r>
              <w:rPr>
                <w:webHidden/>
                <w:rStyle w:val="IndexLink"/>
              </w:rPr>
              <w:t>2</w:t>
            </w:r>
            <w:r>
              <w:rPr>
                <w:rStyle w:val="IndexLink"/>
                <w:rtl w:val="true"/>
              </w:rPr>
              <w:t xml:space="preserve">- </w:t>
            </w:r>
            <w:r>
              <w:rPr>
                <w:rStyle w:val="IndexLink"/>
                <w:rtl w:val="true"/>
              </w:rPr>
              <w:t>معنای انتفاع</w:t>
            </w:r>
            <w:r>
              <w:rPr>
                <w:rStyle w:val="IndexLink"/>
                <w:rtl w:val="true"/>
              </w:rPr>
              <w:tab/>
            </w:r>
            <w:r>
              <w:rPr>
                <w:rStyle w:val="IndexLink"/>
              </w:rPr>
              <w:t>336</w:t>
            </w:r>
          </w:hyperlink>
        </w:p>
        <w:p>
          <w:pPr>
            <w:pStyle w:val="Contents6"/>
            <w:tabs>
              <w:tab w:val="clear" w:pos="7609"/>
              <w:tab w:val="right" w:pos="9026" w:leader="dot"/>
            </w:tabs>
            <w:rPr/>
          </w:pPr>
          <w:hyperlink w:anchor="__RefHeading___Toc2531233_1468164448">
            <w:r>
              <w:rPr>
                <w:webHidden/>
                <w:rStyle w:val="IndexLink"/>
              </w:rPr>
              <w:t>3</w:t>
            </w:r>
            <w:r>
              <w:rPr>
                <w:rStyle w:val="IndexLink"/>
                <w:rtl w:val="true"/>
              </w:rPr>
              <w:t xml:space="preserve">- </w:t>
            </w:r>
            <w:r>
              <w:rPr>
                <w:rStyle w:val="IndexLink"/>
                <w:rtl w:val="true"/>
              </w:rPr>
              <w:t>بررسی کلمات امام خمینی</w:t>
            </w:r>
            <w:r>
              <w:rPr>
                <w:rStyle w:val="IndexLink"/>
                <w:rtl w:val="true"/>
              </w:rPr>
              <w:tab/>
            </w:r>
            <w:r>
              <w:rPr>
                <w:rStyle w:val="IndexLink"/>
              </w:rPr>
              <w:t>336</w:t>
            </w:r>
          </w:hyperlink>
        </w:p>
        <w:p>
          <w:pPr>
            <w:pStyle w:val="Contents6"/>
            <w:tabs>
              <w:tab w:val="clear" w:pos="7609"/>
              <w:tab w:val="right" w:pos="9026" w:leader="dot"/>
            </w:tabs>
            <w:rPr/>
          </w:pPr>
          <w:hyperlink w:anchor="__RefHeading___Toc2531235_1468164448">
            <w:r>
              <w:rPr>
                <w:webHidden/>
                <w:rStyle w:val="IndexLink"/>
                <w:rtl w:val="true"/>
              </w:rPr>
              <w:t>ب</w:t>
            </w:r>
            <w:r>
              <w:rPr>
                <w:rStyle w:val="IndexLink"/>
                <w:rtl w:val="true"/>
              </w:rPr>
              <w:t xml:space="preserve">) </w:t>
            </w:r>
            <w:r>
              <w:rPr>
                <w:rStyle w:val="IndexLink"/>
                <w:rtl w:val="true"/>
              </w:rPr>
              <w:t>روایت دوم</w:t>
            </w:r>
            <w:r>
              <w:rPr>
                <w:rStyle w:val="IndexLink"/>
                <w:rtl w:val="true"/>
              </w:rPr>
              <w:t>:</w:t>
              <w:tab/>
            </w:r>
            <w:r>
              <w:rPr>
                <w:rStyle w:val="IndexLink"/>
              </w:rPr>
              <w:t>341</w:t>
            </w:r>
          </w:hyperlink>
        </w:p>
        <w:p>
          <w:pPr>
            <w:pStyle w:val="Contents6"/>
            <w:tabs>
              <w:tab w:val="clear" w:pos="7609"/>
              <w:tab w:val="right" w:pos="9026" w:leader="dot"/>
            </w:tabs>
            <w:rPr/>
          </w:pPr>
          <w:hyperlink w:anchor="__RefHeading___Toc2531237_1468164448">
            <w:r>
              <w:rPr>
                <w:webHidden/>
                <w:rStyle w:val="IndexLink"/>
                <w:rtl w:val="true"/>
              </w:rPr>
              <w:t>ج</w:t>
            </w:r>
            <w:r>
              <w:rPr>
                <w:rStyle w:val="IndexLink"/>
                <w:rtl w:val="true"/>
              </w:rPr>
              <w:t xml:space="preserve">) </w:t>
            </w:r>
            <w:r>
              <w:rPr>
                <w:rStyle w:val="IndexLink"/>
                <w:rtl w:val="true"/>
              </w:rPr>
              <w:t>روایت سوم</w:t>
            </w:r>
            <w:r>
              <w:rPr>
                <w:rStyle w:val="IndexLink"/>
                <w:rtl w:val="true"/>
              </w:rPr>
              <w:t>:</w:t>
              <w:tab/>
            </w:r>
            <w:r>
              <w:rPr>
                <w:rStyle w:val="IndexLink"/>
              </w:rPr>
              <w:t>342</w:t>
            </w:r>
          </w:hyperlink>
        </w:p>
        <w:p>
          <w:pPr>
            <w:pStyle w:val="Contents6"/>
            <w:tabs>
              <w:tab w:val="clear" w:pos="7609"/>
              <w:tab w:val="right" w:pos="9026" w:leader="dot"/>
            </w:tabs>
            <w:rPr/>
          </w:pPr>
          <w:hyperlink w:anchor="__RefHeading___Toc2531239_1468164448">
            <w:r>
              <w:rPr>
                <w:webHidden/>
                <w:rStyle w:val="IndexLink"/>
                <w:rtl w:val="true"/>
              </w:rPr>
              <w:t>د</w:t>
            </w:r>
            <w:r>
              <w:rPr>
                <w:rStyle w:val="IndexLink"/>
                <w:rtl w:val="true"/>
              </w:rPr>
              <w:t xml:space="preserve">) </w:t>
            </w:r>
            <w:r>
              <w:rPr>
                <w:rStyle w:val="IndexLink"/>
                <w:rtl w:val="true"/>
              </w:rPr>
              <w:t>روایت چهارم</w:t>
            </w:r>
            <w:r>
              <w:rPr>
                <w:rStyle w:val="IndexLink"/>
                <w:rtl w:val="true"/>
              </w:rPr>
              <w:t>:</w:t>
              <w:tab/>
            </w:r>
            <w:r>
              <w:rPr>
                <w:rStyle w:val="IndexLink"/>
              </w:rPr>
              <w:t>344</w:t>
            </w:r>
          </w:hyperlink>
        </w:p>
        <w:p>
          <w:pPr>
            <w:pStyle w:val="Contents6"/>
            <w:tabs>
              <w:tab w:val="clear" w:pos="7609"/>
              <w:tab w:val="right" w:pos="9026" w:leader="dot"/>
            </w:tabs>
            <w:rPr/>
          </w:pPr>
          <w:hyperlink w:anchor="__RefHeading___Toc2531241_1468164448">
            <w:r>
              <w:rPr>
                <w:webHidden/>
                <w:rStyle w:val="IndexLink"/>
                <w:rtl w:val="true"/>
              </w:rPr>
              <w:t>ه</w:t>
            </w:r>
            <w:r>
              <w:rPr>
                <w:rStyle w:val="IndexLink"/>
                <w:rtl w:val="true"/>
              </w:rPr>
              <w:t xml:space="preserve">) </w:t>
            </w:r>
            <w:r>
              <w:rPr>
                <w:rStyle w:val="IndexLink"/>
                <w:rtl w:val="true"/>
              </w:rPr>
              <w:t>روایت پنجم</w:t>
            </w:r>
            <w:r>
              <w:rPr>
                <w:rStyle w:val="IndexLink"/>
                <w:rtl w:val="true"/>
              </w:rPr>
              <w:t>:</w:t>
              <w:tab/>
            </w:r>
            <w:r>
              <w:rPr>
                <w:rStyle w:val="IndexLink"/>
              </w:rPr>
              <w:t>345</w:t>
            </w:r>
          </w:hyperlink>
        </w:p>
        <w:p>
          <w:pPr>
            <w:pStyle w:val="Contents6"/>
            <w:tabs>
              <w:tab w:val="clear" w:pos="7609"/>
              <w:tab w:val="right" w:pos="9026" w:leader="dot"/>
            </w:tabs>
            <w:rPr/>
          </w:pPr>
          <w:hyperlink w:anchor="__RefHeading___Toc2531243_1468164448">
            <w:r>
              <w:rPr>
                <w:webHidden/>
                <w:rStyle w:val="IndexLink"/>
                <w:rtl w:val="true"/>
              </w:rPr>
              <w:t>و</w:t>
            </w:r>
            <w:r>
              <w:rPr>
                <w:rStyle w:val="IndexLink"/>
                <w:rtl w:val="true"/>
              </w:rPr>
              <w:t xml:space="preserve">) </w:t>
            </w:r>
            <w:r>
              <w:rPr>
                <w:rStyle w:val="IndexLink"/>
                <w:rtl w:val="true"/>
              </w:rPr>
              <w:t>روایت ششم</w:t>
            </w:r>
            <w:r>
              <w:rPr>
                <w:rStyle w:val="IndexLink"/>
                <w:rtl w:val="true"/>
              </w:rPr>
              <w:t>:</w:t>
              <w:tab/>
            </w:r>
            <w:r>
              <w:rPr>
                <w:rStyle w:val="IndexLink"/>
              </w:rPr>
              <w:t>347</w:t>
            </w:r>
          </w:hyperlink>
        </w:p>
        <w:p>
          <w:pPr>
            <w:pStyle w:val="Contents6"/>
            <w:tabs>
              <w:tab w:val="clear" w:pos="7609"/>
              <w:tab w:val="right" w:pos="9026" w:leader="dot"/>
            </w:tabs>
            <w:rPr/>
          </w:pPr>
          <w:hyperlink w:anchor="__RefHeading___Toc2531245_1468164448">
            <w:r>
              <w:rPr>
                <w:webHidden/>
                <w:rStyle w:val="IndexLink"/>
                <w:rtl w:val="true"/>
              </w:rPr>
              <w:t>ز</w:t>
            </w:r>
            <w:r>
              <w:rPr>
                <w:rStyle w:val="IndexLink"/>
                <w:rtl w:val="true"/>
              </w:rPr>
              <w:t xml:space="preserve">) </w:t>
            </w:r>
            <w:r>
              <w:rPr>
                <w:rStyle w:val="IndexLink"/>
                <w:rtl w:val="true"/>
              </w:rPr>
              <w:t>روایت هفتم</w:t>
            </w:r>
            <w:r>
              <w:rPr>
                <w:rStyle w:val="IndexLink"/>
                <w:rtl w:val="true"/>
              </w:rPr>
              <w:t>:</w:t>
              <w:tab/>
            </w:r>
            <w:r>
              <w:rPr>
                <w:rStyle w:val="IndexLink"/>
              </w:rPr>
              <w:t>347</w:t>
            </w:r>
          </w:hyperlink>
        </w:p>
        <w:p>
          <w:pPr>
            <w:pStyle w:val="Contents5"/>
            <w:tabs>
              <w:tab w:val="clear" w:pos="7892"/>
              <w:tab w:val="right" w:pos="9026" w:leader="dot"/>
            </w:tabs>
            <w:rPr/>
          </w:pPr>
          <w:hyperlink w:anchor="__RefHeading___Toc2531247_1468164448">
            <w:r>
              <w:rPr>
                <w:webHidden/>
                <w:rStyle w:val="IndexLink"/>
                <w:rtl w:val="true"/>
              </w:rPr>
              <w:t>بند سوم</w:t>
            </w:r>
            <w:r>
              <w:rPr>
                <w:rStyle w:val="IndexLink"/>
                <w:rtl w:val="true"/>
              </w:rPr>
              <w:t xml:space="preserve">: </w:t>
            </w:r>
            <w:r>
              <w:rPr>
                <w:rStyle w:val="IndexLink"/>
                <w:rtl w:val="true"/>
              </w:rPr>
              <w:t>جمع میان روایات مانعه و مجوّزه</w:t>
            </w:r>
            <w:r>
              <w:rPr>
                <w:rStyle w:val="IndexLink"/>
                <w:rtl w:val="true"/>
              </w:rPr>
              <w:tab/>
            </w:r>
            <w:r>
              <w:rPr>
                <w:rStyle w:val="IndexLink"/>
              </w:rPr>
              <w:t>348</w:t>
            </w:r>
          </w:hyperlink>
        </w:p>
        <w:p>
          <w:pPr>
            <w:pStyle w:val="Contents6"/>
            <w:tabs>
              <w:tab w:val="clear" w:pos="7609"/>
              <w:tab w:val="right" w:pos="9026" w:leader="dot"/>
            </w:tabs>
            <w:rPr/>
          </w:pPr>
          <w:hyperlink w:anchor="__RefHeading___Toc2531249_1468164448">
            <w:r>
              <w:rPr>
                <w:webHidden/>
                <w:rStyle w:val="IndexLink"/>
                <w:rtl w:val="true"/>
              </w:rPr>
              <w:t>اشارة</w:t>
            </w:r>
            <w:r>
              <w:rPr>
                <w:rStyle w:val="IndexLink"/>
                <w:rtl w:val="true"/>
              </w:rPr>
              <w:tab/>
            </w:r>
            <w:r>
              <w:rPr>
                <w:rStyle w:val="IndexLink"/>
              </w:rPr>
              <w:t>348</w:t>
            </w:r>
          </w:hyperlink>
        </w:p>
        <w:p>
          <w:pPr>
            <w:pStyle w:val="Contents6"/>
            <w:tabs>
              <w:tab w:val="clear" w:pos="7609"/>
              <w:tab w:val="right" w:pos="9026" w:leader="dot"/>
            </w:tabs>
            <w:rPr/>
          </w:pPr>
          <w:hyperlink w:anchor="__RefHeading___Toc2531251_1468164448">
            <w:r>
              <w:rPr>
                <w:webHidden/>
                <w:rStyle w:val="IndexLink"/>
                <w:rtl w:val="true"/>
              </w:rPr>
              <w:t>الف</w:t>
            </w:r>
            <w:r>
              <w:rPr>
                <w:rStyle w:val="IndexLink"/>
                <w:rtl w:val="true"/>
              </w:rPr>
              <w:t xml:space="preserve">) </w:t>
            </w:r>
            <w:r>
              <w:rPr>
                <w:rStyle w:val="IndexLink"/>
                <w:rtl w:val="true"/>
              </w:rPr>
              <w:t>روش نخست</w:t>
            </w:r>
            <w:r>
              <w:rPr>
                <w:rStyle w:val="IndexLink"/>
                <w:rtl w:val="true"/>
              </w:rPr>
              <w:t>:</w:t>
              <w:tab/>
            </w:r>
            <w:r>
              <w:rPr>
                <w:rStyle w:val="IndexLink"/>
              </w:rPr>
              <w:t>348</w:t>
            </w:r>
          </w:hyperlink>
        </w:p>
        <w:p>
          <w:pPr>
            <w:pStyle w:val="Contents6"/>
            <w:tabs>
              <w:tab w:val="clear" w:pos="7609"/>
              <w:tab w:val="right" w:pos="9026" w:leader="dot"/>
            </w:tabs>
            <w:rPr/>
          </w:pPr>
          <w:hyperlink w:anchor="__RefHeading___Toc2531253_1468164448">
            <w:r>
              <w:rPr>
                <w:webHidden/>
                <w:rStyle w:val="IndexLink"/>
                <w:rtl w:val="true"/>
              </w:rPr>
              <w:t>ب</w:t>
            </w:r>
            <w:r>
              <w:rPr>
                <w:rStyle w:val="IndexLink"/>
                <w:rtl w:val="true"/>
              </w:rPr>
              <w:t xml:space="preserve">) </w:t>
            </w:r>
            <w:r>
              <w:rPr>
                <w:rStyle w:val="IndexLink"/>
                <w:rtl w:val="true"/>
              </w:rPr>
              <w:t>روش دوم</w:t>
            </w:r>
            <w:r>
              <w:rPr>
                <w:rStyle w:val="IndexLink"/>
                <w:rtl w:val="true"/>
              </w:rPr>
              <w:t>:</w:t>
              <w:tab/>
            </w:r>
            <w:r>
              <w:rPr>
                <w:rStyle w:val="IndexLink"/>
              </w:rPr>
              <w:t>349</w:t>
            </w:r>
          </w:hyperlink>
        </w:p>
        <w:p>
          <w:pPr>
            <w:pStyle w:val="Contents6"/>
            <w:tabs>
              <w:tab w:val="clear" w:pos="7609"/>
              <w:tab w:val="right" w:pos="9026" w:leader="dot"/>
            </w:tabs>
            <w:rPr/>
          </w:pPr>
          <w:hyperlink w:anchor="__RefHeading___Toc2531255_1468164448">
            <w:r>
              <w:rPr>
                <w:webHidden/>
                <w:rStyle w:val="IndexLink"/>
                <w:rtl w:val="true"/>
              </w:rPr>
              <w:t>ج</w:t>
            </w:r>
            <w:r>
              <w:rPr>
                <w:rStyle w:val="IndexLink"/>
                <w:rtl w:val="true"/>
              </w:rPr>
              <w:t xml:space="preserve">) </w:t>
            </w:r>
            <w:r>
              <w:rPr>
                <w:rStyle w:val="IndexLink"/>
                <w:rtl w:val="true"/>
              </w:rPr>
              <w:t>روش سوم</w:t>
            </w:r>
            <w:r>
              <w:rPr>
                <w:rStyle w:val="IndexLink"/>
                <w:rtl w:val="true"/>
              </w:rPr>
              <w:t>:</w:t>
              <w:tab/>
            </w:r>
            <w:r>
              <w:rPr>
                <w:rStyle w:val="IndexLink"/>
              </w:rPr>
              <w:t>350</w:t>
            </w:r>
          </w:hyperlink>
        </w:p>
        <w:p>
          <w:pPr>
            <w:pStyle w:val="Contents6"/>
            <w:tabs>
              <w:tab w:val="clear" w:pos="7609"/>
              <w:tab w:val="right" w:pos="9026" w:leader="dot"/>
            </w:tabs>
            <w:rPr/>
          </w:pPr>
          <w:hyperlink w:anchor="__RefHeading___Toc2531257_1468164448">
            <w:r>
              <w:rPr>
                <w:webHidden/>
                <w:rStyle w:val="IndexLink"/>
                <w:rtl w:val="true"/>
              </w:rPr>
              <w:t>د</w:t>
            </w:r>
            <w:r>
              <w:rPr>
                <w:rStyle w:val="IndexLink"/>
                <w:rtl w:val="true"/>
              </w:rPr>
              <w:t xml:space="preserve">) </w:t>
            </w:r>
            <w:r>
              <w:rPr>
                <w:rStyle w:val="IndexLink"/>
                <w:rtl w:val="true"/>
              </w:rPr>
              <w:t>روش چهارم</w:t>
            </w:r>
            <w:r>
              <w:rPr>
                <w:rStyle w:val="IndexLink"/>
                <w:rtl w:val="true"/>
              </w:rPr>
              <w:t>:</w:t>
              <w:tab/>
            </w:r>
            <w:r>
              <w:rPr>
                <w:rStyle w:val="IndexLink"/>
              </w:rPr>
              <w:t>350</w:t>
            </w:r>
          </w:hyperlink>
        </w:p>
        <w:p>
          <w:pPr>
            <w:pStyle w:val="Contents6"/>
            <w:tabs>
              <w:tab w:val="clear" w:pos="7609"/>
              <w:tab w:val="right" w:pos="9026" w:leader="dot"/>
            </w:tabs>
            <w:rPr/>
          </w:pPr>
          <w:hyperlink w:anchor="__RefHeading___Toc2531259_1468164448">
            <w:r>
              <w:rPr>
                <w:webHidden/>
                <w:rStyle w:val="IndexLink"/>
                <w:rtl w:val="true"/>
              </w:rPr>
              <w:t>ه</w:t>
            </w:r>
            <w:r>
              <w:rPr>
                <w:rStyle w:val="IndexLink"/>
                <w:rtl w:val="true"/>
              </w:rPr>
              <w:t xml:space="preserve">) </w:t>
            </w:r>
            <w:r>
              <w:rPr>
                <w:rStyle w:val="IndexLink"/>
                <w:rtl w:val="true"/>
              </w:rPr>
              <w:t>روش پنجم</w:t>
            </w:r>
            <w:r>
              <w:rPr>
                <w:rStyle w:val="IndexLink"/>
                <w:rtl w:val="true"/>
              </w:rPr>
              <w:tab/>
            </w:r>
            <w:r>
              <w:rPr>
                <w:rStyle w:val="IndexLink"/>
              </w:rPr>
              <w:t>351</w:t>
            </w:r>
          </w:hyperlink>
        </w:p>
        <w:p>
          <w:pPr>
            <w:pStyle w:val="Contents6"/>
            <w:tabs>
              <w:tab w:val="clear" w:pos="7609"/>
              <w:tab w:val="right" w:pos="9026" w:leader="dot"/>
            </w:tabs>
            <w:rPr/>
          </w:pPr>
          <w:hyperlink w:anchor="__RefHeading___Toc2531261_1468164448">
            <w:r>
              <w:rPr>
                <w:webHidden/>
                <w:rStyle w:val="IndexLink"/>
                <w:rtl w:val="true"/>
              </w:rPr>
              <w:t>و</w:t>
            </w:r>
            <w:r>
              <w:rPr>
                <w:rStyle w:val="IndexLink"/>
                <w:rtl w:val="true"/>
              </w:rPr>
              <w:t xml:space="preserve">) </w:t>
            </w:r>
            <w:r>
              <w:rPr>
                <w:rStyle w:val="IndexLink"/>
                <w:rtl w:val="true"/>
              </w:rPr>
              <w:t>روش ششم</w:t>
            </w:r>
            <w:r>
              <w:rPr>
                <w:rStyle w:val="IndexLink"/>
                <w:rtl w:val="true"/>
              </w:rPr>
              <w:t>:</w:t>
              <w:tab/>
            </w:r>
            <w:r>
              <w:rPr>
                <w:rStyle w:val="IndexLink"/>
              </w:rPr>
              <w:t>351</w:t>
            </w:r>
          </w:hyperlink>
        </w:p>
        <w:p>
          <w:pPr>
            <w:pStyle w:val="Contents5"/>
            <w:tabs>
              <w:tab w:val="clear" w:pos="7892"/>
              <w:tab w:val="right" w:pos="9026" w:leader="dot"/>
            </w:tabs>
            <w:rPr/>
          </w:pPr>
          <w:hyperlink w:anchor="__RefHeading___Toc2531263_1468164448">
            <w:r>
              <w:rPr>
                <w:webHidden/>
                <w:rStyle w:val="IndexLink"/>
                <w:rtl w:val="true"/>
              </w:rPr>
              <w:t>بند چهارم</w:t>
            </w:r>
            <w:r>
              <w:rPr>
                <w:rStyle w:val="IndexLink"/>
                <w:rtl w:val="true"/>
              </w:rPr>
              <w:t xml:space="preserve">: </w:t>
            </w:r>
            <w:r>
              <w:rPr>
                <w:rStyle w:val="IndexLink"/>
                <w:rtl w:val="true"/>
              </w:rPr>
              <w:t>بررسی اجماع در مسئله</w:t>
            </w:r>
            <w:r>
              <w:rPr>
                <w:rStyle w:val="IndexLink"/>
                <w:rtl w:val="true"/>
              </w:rPr>
              <w:tab/>
            </w:r>
            <w:r>
              <w:rPr>
                <w:rStyle w:val="IndexLink"/>
              </w:rPr>
              <w:t>352</w:t>
            </w:r>
          </w:hyperlink>
        </w:p>
        <w:p>
          <w:pPr>
            <w:pStyle w:val="Contents6"/>
            <w:tabs>
              <w:tab w:val="clear" w:pos="7609"/>
              <w:tab w:val="right" w:pos="9026" w:leader="dot"/>
            </w:tabs>
            <w:rPr/>
          </w:pPr>
          <w:hyperlink w:anchor="__RefHeading___Toc2531265_1468164448">
            <w:r>
              <w:rPr>
                <w:webHidden/>
                <w:rStyle w:val="IndexLink"/>
                <w:rtl w:val="true"/>
              </w:rPr>
              <w:t>اشارة</w:t>
            </w:r>
            <w:r>
              <w:rPr>
                <w:rStyle w:val="IndexLink"/>
                <w:rtl w:val="true"/>
              </w:rPr>
              <w:tab/>
            </w:r>
            <w:r>
              <w:rPr>
                <w:rStyle w:val="IndexLink"/>
              </w:rPr>
              <w:t>352</w:t>
            </w:r>
          </w:hyperlink>
        </w:p>
        <w:p>
          <w:pPr>
            <w:pStyle w:val="Contents6"/>
            <w:tabs>
              <w:tab w:val="clear" w:pos="7609"/>
              <w:tab w:val="right" w:pos="9026" w:leader="dot"/>
            </w:tabs>
            <w:rPr/>
          </w:pPr>
          <w:hyperlink w:anchor="__RefHeading___Toc2531267_1468164448">
            <w:r>
              <w:rPr>
                <w:webHidden/>
                <w:rStyle w:val="IndexLink"/>
                <w:rtl w:val="true"/>
              </w:rPr>
              <w:t>الف</w:t>
            </w:r>
            <w:r>
              <w:rPr>
                <w:rStyle w:val="IndexLink"/>
                <w:rtl w:val="true"/>
              </w:rPr>
              <w:t xml:space="preserve">) </w:t>
            </w:r>
            <w:r>
              <w:rPr>
                <w:rStyle w:val="IndexLink"/>
                <w:rtl w:val="true"/>
              </w:rPr>
              <w:t>فقیهانی که ادّعای اجماع کرده‌اند</w:t>
            </w:r>
            <w:r>
              <w:rPr>
                <w:rStyle w:val="IndexLink"/>
                <w:rtl w:val="true"/>
              </w:rPr>
              <w:tab/>
            </w:r>
            <w:r>
              <w:rPr>
                <w:rStyle w:val="IndexLink"/>
              </w:rPr>
              <w:t>352</w:t>
            </w:r>
          </w:hyperlink>
        </w:p>
        <w:p>
          <w:pPr>
            <w:pStyle w:val="Contents6"/>
            <w:tabs>
              <w:tab w:val="clear" w:pos="7609"/>
              <w:tab w:val="right" w:pos="9026" w:leader="dot"/>
            </w:tabs>
            <w:rPr/>
          </w:pPr>
          <w:hyperlink w:anchor="__RefHeading___Toc2531269_1468164448">
            <w:r>
              <w:rPr>
                <w:webHidden/>
                <w:rStyle w:val="IndexLink"/>
                <w:rtl w:val="true"/>
              </w:rPr>
              <w:t>ب</w:t>
            </w:r>
            <w:r>
              <w:rPr>
                <w:rStyle w:val="IndexLink"/>
                <w:rtl w:val="true"/>
              </w:rPr>
              <w:t xml:space="preserve">) </w:t>
            </w:r>
            <w:r>
              <w:rPr>
                <w:rStyle w:val="IndexLink"/>
                <w:rtl w:val="true"/>
              </w:rPr>
              <w:t>شهرت در مسئله</w:t>
            </w:r>
            <w:r>
              <w:rPr>
                <w:rStyle w:val="IndexLink"/>
                <w:rtl w:val="true"/>
              </w:rPr>
              <w:tab/>
            </w:r>
            <w:r>
              <w:rPr>
                <w:rStyle w:val="IndexLink"/>
              </w:rPr>
              <w:t>355</w:t>
            </w:r>
          </w:hyperlink>
        </w:p>
        <w:p>
          <w:pPr>
            <w:pStyle w:val="Contents5"/>
            <w:tabs>
              <w:tab w:val="clear" w:pos="7892"/>
              <w:tab w:val="right" w:pos="9026" w:leader="dot"/>
            </w:tabs>
            <w:rPr/>
          </w:pPr>
          <w:hyperlink w:anchor="__RefHeading___Toc2531271_1468164448">
            <w:r>
              <w:rPr>
                <w:webHidden/>
                <w:rStyle w:val="IndexLink"/>
                <w:rtl w:val="true"/>
              </w:rPr>
              <w:t>بند پنجم</w:t>
            </w:r>
            <w:r>
              <w:rPr>
                <w:rStyle w:val="IndexLink"/>
                <w:rtl w:val="true"/>
              </w:rPr>
              <w:t xml:space="preserve">: </w:t>
            </w:r>
            <w:r>
              <w:rPr>
                <w:rStyle w:val="IndexLink"/>
                <w:rtl w:val="true"/>
              </w:rPr>
              <w:t>دیدگاه برگزیده</w:t>
            </w:r>
            <w:r>
              <w:rPr>
                <w:rStyle w:val="IndexLink"/>
                <w:rtl w:val="true"/>
              </w:rPr>
              <w:tab/>
            </w:r>
            <w:r>
              <w:rPr>
                <w:rStyle w:val="IndexLink"/>
              </w:rPr>
              <w:t>356</w:t>
            </w:r>
          </w:hyperlink>
        </w:p>
        <w:p>
          <w:pPr>
            <w:pStyle w:val="Contents6"/>
            <w:tabs>
              <w:tab w:val="clear" w:pos="7609"/>
              <w:tab w:val="right" w:pos="9026" w:leader="dot"/>
            </w:tabs>
            <w:rPr/>
          </w:pPr>
          <w:hyperlink w:anchor="__RefHeading___Toc2531273_1468164448">
            <w:r>
              <w:rPr>
                <w:webHidden/>
                <w:rStyle w:val="IndexLink"/>
                <w:rtl w:val="true"/>
              </w:rPr>
              <w:t>اشارة</w:t>
            </w:r>
            <w:r>
              <w:rPr>
                <w:rStyle w:val="IndexLink"/>
                <w:rtl w:val="true"/>
              </w:rPr>
              <w:tab/>
            </w:r>
            <w:r>
              <w:rPr>
                <w:rStyle w:val="IndexLink"/>
              </w:rPr>
              <w:t>356</w:t>
            </w:r>
          </w:hyperlink>
        </w:p>
        <w:p>
          <w:pPr>
            <w:pStyle w:val="Contents6"/>
            <w:tabs>
              <w:tab w:val="clear" w:pos="7609"/>
              <w:tab w:val="right" w:pos="9026" w:leader="dot"/>
            </w:tabs>
            <w:rPr/>
          </w:pPr>
          <w:hyperlink w:anchor="__RefHeading___Toc2531275_1468164448">
            <w:r>
              <w:rPr>
                <w:webHidden/>
                <w:rStyle w:val="IndexLink"/>
                <w:rtl w:val="true"/>
              </w:rPr>
              <w:t>نکته‌ای دربارۀ شهرت فتوایی</w:t>
            </w:r>
            <w:r>
              <w:rPr>
                <w:rStyle w:val="IndexLink"/>
                <w:rtl w:val="true"/>
              </w:rPr>
              <w:tab/>
            </w:r>
            <w:r>
              <w:rPr>
                <w:rStyle w:val="IndexLink"/>
              </w:rPr>
              <w:t>357</w:t>
            </w:r>
          </w:hyperlink>
        </w:p>
        <w:p>
          <w:pPr>
            <w:pStyle w:val="Contents4"/>
            <w:tabs>
              <w:tab w:val="clear" w:pos="8176"/>
              <w:tab w:val="right" w:pos="9026" w:leader="dot"/>
            </w:tabs>
            <w:rPr/>
          </w:pPr>
          <w:hyperlink w:anchor="__RefHeading___Toc2531277_1468164448">
            <w:r>
              <w:rPr>
                <w:webHidden/>
                <w:rStyle w:val="IndexLink"/>
                <w:rtl w:val="true"/>
              </w:rPr>
              <w:t>گفتار دوم</w:t>
            </w:r>
            <w:r>
              <w:rPr>
                <w:rStyle w:val="IndexLink"/>
                <w:rtl w:val="true"/>
              </w:rPr>
              <w:t xml:space="preserve">: </w:t>
            </w:r>
            <w:r>
              <w:rPr>
                <w:rStyle w:val="IndexLink"/>
                <w:rtl w:val="true"/>
              </w:rPr>
              <w:t>حکم معاملۀ مردار</w:t>
            </w:r>
            <w:r>
              <w:rPr>
                <w:rStyle w:val="IndexLink"/>
                <w:rtl w:val="true"/>
              </w:rPr>
              <w:tab/>
            </w:r>
            <w:r>
              <w:rPr>
                <w:rStyle w:val="IndexLink"/>
              </w:rPr>
              <w:t>358</w:t>
            </w:r>
          </w:hyperlink>
        </w:p>
        <w:p>
          <w:pPr>
            <w:pStyle w:val="Contents5"/>
            <w:tabs>
              <w:tab w:val="clear" w:pos="7892"/>
              <w:tab w:val="right" w:pos="9026" w:leader="dot"/>
            </w:tabs>
            <w:rPr/>
          </w:pPr>
          <w:hyperlink w:anchor="__RefHeading___Toc2531279_1468164448">
            <w:r>
              <w:rPr>
                <w:webHidden/>
                <w:rStyle w:val="IndexLink"/>
                <w:rtl w:val="true"/>
              </w:rPr>
              <w:t>اشارة</w:t>
            </w:r>
            <w:r>
              <w:rPr>
                <w:rStyle w:val="IndexLink"/>
                <w:rtl w:val="true"/>
              </w:rPr>
              <w:tab/>
            </w:r>
            <w:r>
              <w:rPr>
                <w:rStyle w:val="IndexLink"/>
              </w:rPr>
              <w:t>358</w:t>
            </w:r>
          </w:hyperlink>
        </w:p>
        <w:p>
          <w:pPr>
            <w:pStyle w:val="Contents5"/>
            <w:tabs>
              <w:tab w:val="clear" w:pos="7892"/>
              <w:tab w:val="right" w:pos="9026" w:leader="dot"/>
            </w:tabs>
            <w:rPr/>
          </w:pPr>
          <w:hyperlink w:anchor="__RefHeading___Toc2531281_1468164448">
            <w:r>
              <w:rPr>
                <w:webHidden/>
                <w:rStyle w:val="IndexLink"/>
                <w:rtl w:val="true"/>
              </w:rPr>
              <w:t>بند اوّل</w:t>
            </w:r>
            <w:r>
              <w:rPr>
                <w:rStyle w:val="IndexLink"/>
                <w:rtl w:val="true"/>
              </w:rPr>
              <w:t xml:space="preserve">: </w:t>
            </w:r>
            <w:r>
              <w:rPr>
                <w:rStyle w:val="IndexLink"/>
                <w:rtl w:val="true"/>
              </w:rPr>
              <w:t>ادلّۀ حرمت معاملۀ مردار</w:t>
            </w:r>
            <w:r>
              <w:rPr>
                <w:rStyle w:val="IndexLink"/>
                <w:rtl w:val="true"/>
              </w:rPr>
              <w:tab/>
            </w:r>
            <w:r>
              <w:rPr>
                <w:rStyle w:val="IndexLink"/>
              </w:rPr>
              <w:t>358</w:t>
            </w:r>
          </w:hyperlink>
        </w:p>
        <w:p>
          <w:pPr>
            <w:pStyle w:val="Contents6"/>
            <w:tabs>
              <w:tab w:val="clear" w:pos="7609"/>
              <w:tab w:val="right" w:pos="9026" w:leader="dot"/>
            </w:tabs>
            <w:rPr/>
          </w:pPr>
          <w:hyperlink w:anchor="__RefHeading___Toc2531283_1468164448">
            <w:r>
              <w:rPr>
                <w:webHidden/>
                <w:rStyle w:val="IndexLink"/>
                <w:rtl w:val="true"/>
              </w:rPr>
              <w:t>الف</w:t>
            </w:r>
            <w:r>
              <w:rPr>
                <w:rStyle w:val="IndexLink"/>
                <w:rtl w:val="true"/>
              </w:rPr>
              <w:t xml:space="preserve">) </w:t>
            </w:r>
            <w:r>
              <w:rPr>
                <w:rStyle w:val="IndexLink"/>
                <w:rtl w:val="true"/>
              </w:rPr>
              <w:t>اجماع</w:t>
            </w:r>
            <w:r>
              <w:rPr>
                <w:rStyle w:val="IndexLink"/>
                <w:rtl w:val="true"/>
              </w:rPr>
              <w:tab/>
            </w:r>
            <w:r>
              <w:rPr>
                <w:rStyle w:val="IndexLink"/>
              </w:rPr>
              <w:t>358</w:t>
            </w:r>
          </w:hyperlink>
        </w:p>
        <w:p>
          <w:pPr>
            <w:pStyle w:val="Contents6"/>
            <w:tabs>
              <w:tab w:val="clear" w:pos="7609"/>
              <w:tab w:val="right" w:pos="9026" w:leader="dot"/>
            </w:tabs>
            <w:rPr/>
          </w:pPr>
          <w:hyperlink w:anchor="__RefHeading___Toc2531285_1468164448">
            <w:r>
              <w:rPr>
                <w:webHidden/>
                <w:rStyle w:val="IndexLink"/>
                <w:rtl w:val="true"/>
              </w:rPr>
              <w:t>ب</w:t>
            </w:r>
            <w:r>
              <w:rPr>
                <w:rStyle w:val="IndexLink"/>
                <w:rtl w:val="true"/>
              </w:rPr>
              <w:t xml:space="preserve">) </w:t>
            </w:r>
            <w:r>
              <w:rPr>
                <w:rStyle w:val="IndexLink"/>
                <w:rtl w:val="true"/>
              </w:rPr>
              <w:t>عدم مالیّت مردار</w:t>
            </w:r>
            <w:r>
              <w:rPr>
                <w:rStyle w:val="IndexLink"/>
                <w:rtl w:val="true"/>
              </w:rPr>
              <w:tab/>
            </w:r>
            <w:r>
              <w:rPr>
                <w:rStyle w:val="IndexLink"/>
              </w:rPr>
              <w:t>359</w:t>
            </w:r>
          </w:hyperlink>
        </w:p>
        <w:p>
          <w:pPr>
            <w:pStyle w:val="Contents6"/>
            <w:tabs>
              <w:tab w:val="clear" w:pos="7609"/>
              <w:tab w:val="right" w:pos="9026" w:leader="dot"/>
            </w:tabs>
            <w:rPr/>
          </w:pPr>
          <w:hyperlink w:anchor="__RefHeading___Toc2531287_1468164448">
            <w:r>
              <w:rPr>
                <w:webHidden/>
                <w:rStyle w:val="IndexLink"/>
                <w:rtl w:val="true"/>
              </w:rPr>
              <w:t>ج</w:t>
            </w:r>
            <w:r>
              <w:rPr>
                <w:rStyle w:val="IndexLink"/>
                <w:rtl w:val="true"/>
              </w:rPr>
              <w:t xml:space="preserve">) </w:t>
            </w:r>
            <w:r>
              <w:rPr>
                <w:rStyle w:val="IndexLink"/>
                <w:rtl w:val="true"/>
              </w:rPr>
              <w:t>نجاست مردار</w:t>
            </w:r>
            <w:r>
              <w:rPr>
                <w:rStyle w:val="IndexLink"/>
                <w:rtl w:val="true"/>
              </w:rPr>
              <w:tab/>
            </w:r>
            <w:r>
              <w:rPr>
                <w:rStyle w:val="IndexLink"/>
              </w:rPr>
              <w:t>360</w:t>
            </w:r>
          </w:hyperlink>
        </w:p>
        <w:p>
          <w:pPr>
            <w:pStyle w:val="Contents6"/>
            <w:tabs>
              <w:tab w:val="clear" w:pos="7609"/>
              <w:tab w:val="right" w:pos="9026" w:leader="dot"/>
            </w:tabs>
            <w:rPr/>
          </w:pPr>
          <w:hyperlink w:anchor="__RefHeading___Toc2531289_1468164448">
            <w:r>
              <w:rPr>
                <w:webHidden/>
                <w:rStyle w:val="IndexLink"/>
                <w:rtl w:val="true"/>
              </w:rPr>
              <w:t>د</w:t>
            </w:r>
            <w:r>
              <w:rPr>
                <w:rStyle w:val="IndexLink"/>
                <w:rtl w:val="true"/>
              </w:rPr>
              <w:t xml:space="preserve">) </w:t>
            </w:r>
            <w:r>
              <w:rPr>
                <w:rStyle w:val="IndexLink"/>
                <w:rtl w:val="true"/>
              </w:rPr>
              <w:t>روایات عام</w:t>
            </w:r>
            <w:r>
              <w:rPr>
                <w:rStyle w:val="IndexLink"/>
                <w:rtl w:val="true"/>
              </w:rPr>
              <w:tab/>
            </w:r>
            <w:r>
              <w:rPr>
                <w:rStyle w:val="IndexLink"/>
              </w:rPr>
              <w:t>360</w:t>
            </w:r>
          </w:hyperlink>
        </w:p>
        <w:p>
          <w:pPr>
            <w:pStyle w:val="Contents6"/>
            <w:tabs>
              <w:tab w:val="clear" w:pos="7609"/>
              <w:tab w:val="right" w:pos="9026" w:leader="dot"/>
            </w:tabs>
            <w:rPr/>
          </w:pPr>
          <w:hyperlink w:anchor="__RefHeading___Toc2531291_1468164448">
            <w:r>
              <w:rPr>
                <w:webHidden/>
                <w:rStyle w:val="IndexLink"/>
                <w:rtl w:val="true"/>
              </w:rPr>
              <w:t>ه</w:t>
            </w:r>
            <w:r>
              <w:rPr>
                <w:rStyle w:val="IndexLink"/>
                <w:rtl w:val="true"/>
              </w:rPr>
              <w:t xml:space="preserve">) </w:t>
            </w:r>
            <w:r>
              <w:rPr>
                <w:rStyle w:val="IndexLink"/>
                <w:rtl w:val="true"/>
              </w:rPr>
              <w:t>روایات خاص</w:t>
            </w:r>
            <w:r>
              <w:rPr>
                <w:rStyle w:val="IndexLink"/>
                <w:rtl w:val="true"/>
              </w:rPr>
              <w:tab/>
            </w:r>
            <w:r>
              <w:rPr>
                <w:rStyle w:val="IndexLink"/>
              </w:rPr>
              <w:t>361</w:t>
            </w:r>
          </w:hyperlink>
        </w:p>
        <w:p>
          <w:pPr>
            <w:pStyle w:val="Contents5"/>
            <w:tabs>
              <w:tab w:val="clear" w:pos="7892"/>
              <w:tab w:val="right" w:pos="9026" w:leader="dot"/>
            </w:tabs>
            <w:rPr/>
          </w:pPr>
          <w:hyperlink w:anchor="__RefHeading___Toc2531293_1468164448">
            <w:r>
              <w:rPr>
                <w:webHidden/>
                <w:rStyle w:val="IndexLink"/>
                <w:rtl w:val="true"/>
              </w:rPr>
              <w:t>بند دوم</w:t>
            </w:r>
            <w:r>
              <w:rPr>
                <w:rStyle w:val="IndexLink"/>
                <w:rtl w:val="true"/>
              </w:rPr>
              <w:t xml:space="preserve">: </w:t>
            </w:r>
            <w:r>
              <w:rPr>
                <w:rStyle w:val="IndexLink"/>
                <w:rtl w:val="true"/>
              </w:rPr>
              <w:t>بررسی روایات مربوط به معاملۀ مردار</w:t>
            </w:r>
            <w:r>
              <w:rPr>
                <w:rStyle w:val="IndexLink"/>
                <w:rtl w:val="true"/>
              </w:rPr>
              <w:tab/>
            </w:r>
            <w:r>
              <w:rPr>
                <w:rStyle w:val="IndexLink"/>
              </w:rPr>
              <w:t>361</w:t>
            </w:r>
          </w:hyperlink>
        </w:p>
        <w:p>
          <w:pPr>
            <w:pStyle w:val="Contents6"/>
            <w:tabs>
              <w:tab w:val="clear" w:pos="7609"/>
              <w:tab w:val="right" w:pos="9026" w:leader="dot"/>
            </w:tabs>
            <w:rPr/>
          </w:pPr>
          <w:hyperlink w:anchor="__RefHeading___Toc2531295_1468164448">
            <w:r>
              <w:rPr>
                <w:webHidden/>
                <w:rStyle w:val="IndexLink"/>
                <w:rtl w:val="true"/>
              </w:rPr>
              <w:t>الف</w:t>
            </w:r>
            <w:r>
              <w:rPr>
                <w:rStyle w:val="IndexLink"/>
                <w:rtl w:val="true"/>
              </w:rPr>
              <w:t xml:space="preserve">) </w:t>
            </w:r>
            <w:r>
              <w:rPr>
                <w:rStyle w:val="IndexLink"/>
                <w:rtl w:val="true"/>
              </w:rPr>
              <w:t>روایات مانعه</w:t>
            </w:r>
            <w:r>
              <w:rPr>
                <w:rStyle w:val="IndexLink"/>
                <w:rtl w:val="true"/>
              </w:rPr>
              <w:tab/>
            </w:r>
            <w:r>
              <w:rPr>
                <w:rStyle w:val="IndexLink"/>
              </w:rPr>
              <w:t>361</w:t>
            </w:r>
          </w:hyperlink>
        </w:p>
        <w:p>
          <w:pPr>
            <w:pStyle w:val="Contents6"/>
            <w:tabs>
              <w:tab w:val="clear" w:pos="7609"/>
              <w:tab w:val="right" w:pos="9026" w:leader="dot"/>
            </w:tabs>
            <w:rPr/>
          </w:pPr>
          <w:hyperlink w:anchor="__RefHeading___Toc2531297_1468164448">
            <w:r>
              <w:rPr>
                <w:webHidden/>
                <w:rStyle w:val="IndexLink"/>
                <w:rtl w:val="true"/>
              </w:rPr>
              <w:t>ب</w:t>
            </w:r>
            <w:r>
              <w:rPr>
                <w:rStyle w:val="IndexLink"/>
                <w:rtl w:val="true"/>
              </w:rPr>
              <w:t xml:space="preserve">) </w:t>
            </w:r>
            <w:r>
              <w:rPr>
                <w:rStyle w:val="IndexLink"/>
                <w:rtl w:val="true"/>
              </w:rPr>
              <w:t>روایات مجوّزه</w:t>
            </w:r>
            <w:r>
              <w:rPr>
                <w:rStyle w:val="IndexLink"/>
                <w:rtl w:val="true"/>
              </w:rPr>
              <w:tab/>
            </w:r>
            <w:r>
              <w:rPr>
                <w:rStyle w:val="IndexLink"/>
              </w:rPr>
              <w:t>365</w:t>
            </w:r>
          </w:hyperlink>
        </w:p>
        <w:p>
          <w:pPr>
            <w:pStyle w:val="Contents6"/>
            <w:tabs>
              <w:tab w:val="clear" w:pos="7609"/>
              <w:tab w:val="right" w:pos="9026" w:leader="dot"/>
            </w:tabs>
            <w:rPr/>
          </w:pPr>
          <w:hyperlink w:anchor="__RefHeading___Toc2531299_1468164448">
            <w:r>
              <w:rPr>
                <w:webHidden/>
                <w:rStyle w:val="IndexLink"/>
              </w:rPr>
              <w:t>1</w:t>
            </w:r>
            <w:r>
              <w:rPr>
                <w:rStyle w:val="IndexLink"/>
                <w:rtl w:val="true"/>
              </w:rPr>
              <w:t xml:space="preserve">- </w:t>
            </w:r>
            <w:r>
              <w:rPr>
                <w:rStyle w:val="IndexLink"/>
                <w:rtl w:val="true"/>
              </w:rPr>
              <w:t>بحث سندی</w:t>
            </w:r>
            <w:r>
              <w:rPr>
                <w:rStyle w:val="IndexLink"/>
                <w:rtl w:val="true"/>
              </w:rPr>
              <w:tab/>
            </w:r>
            <w:r>
              <w:rPr>
                <w:rStyle w:val="IndexLink"/>
              </w:rPr>
              <w:t>366</w:t>
            </w:r>
          </w:hyperlink>
        </w:p>
        <w:p>
          <w:pPr>
            <w:pStyle w:val="Contents6"/>
            <w:tabs>
              <w:tab w:val="clear" w:pos="7609"/>
              <w:tab w:val="right" w:pos="9026" w:leader="dot"/>
            </w:tabs>
            <w:rPr/>
          </w:pPr>
          <w:hyperlink w:anchor="__RefHeading___Toc2531301_1468164448">
            <w:r>
              <w:rPr>
                <w:webHidden/>
                <w:rStyle w:val="IndexLink"/>
              </w:rPr>
              <w:t>2</w:t>
            </w:r>
            <w:r>
              <w:rPr>
                <w:rStyle w:val="IndexLink"/>
                <w:rtl w:val="true"/>
              </w:rPr>
              <w:t xml:space="preserve">- </w:t>
            </w:r>
            <w:r>
              <w:rPr>
                <w:rStyle w:val="IndexLink"/>
                <w:rtl w:val="true"/>
              </w:rPr>
              <w:t>بحث دلالی</w:t>
            </w:r>
            <w:r>
              <w:rPr>
                <w:rStyle w:val="IndexLink"/>
                <w:rtl w:val="true"/>
              </w:rPr>
              <w:tab/>
            </w:r>
            <w:r>
              <w:rPr>
                <w:rStyle w:val="IndexLink"/>
              </w:rPr>
              <w:t>367</w:t>
            </w:r>
          </w:hyperlink>
        </w:p>
        <w:p>
          <w:pPr>
            <w:pStyle w:val="Contents6"/>
            <w:tabs>
              <w:tab w:val="clear" w:pos="7609"/>
              <w:tab w:val="right" w:pos="9026" w:leader="dot"/>
            </w:tabs>
            <w:rPr/>
          </w:pPr>
          <w:hyperlink w:anchor="__RefHeading___Toc2531303_1468164448">
            <w:r>
              <w:rPr>
                <w:webHidden/>
                <w:rStyle w:val="IndexLink"/>
                <w:rtl w:val="true"/>
              </w:rPr>
              <w:t>ج</w:t>
            </w:r>
            <w:r>
              <w:rPr>
                <w:rStyle w:val="IndexLink"/>
                <w:rtl w:val="true"/>
              </w:rPr>
              <w:t xml:space="preserve">) </w:t>
            </w:r>
            <w:r>
              <w:rPr>
                <w:rStyle w:val="IndexLink"/>
                <w:rtl w:val="true"/>
              </w:rPr>
              <w:t>جمع میان روایات مانعه و مجوّزه</w:t>
            </w:r>
            <w:r>
              <w:rPr>
                <w:rStyle w:val="IndexLink"/>
                <w:rtl w:val="true"/>
              </w:rPr>
              <w:tab/>
            </w:r>
            <w:r>
              <w:rPr>
                <w:rStyle w:val="IndexLink"/>
              </w:rPr>
              <w:t>370</w:t>
            </w:r>
          </w:hyperlink>
        </w:p>
        <w:p>
          <w:pPr>
            <w:pStyle w:val="Contents6"/>
            <w:tabs>
              <w:tab w:val="clear" w:pos="7609"/>
              <w:tab w:val="right" w:pos="9026" w:leader="dot"/>
            </w:tabs>
            <w:rPr/>
          </w:pPr>
          <w:hyperlink w:anchor="__RefHeading___Toc2531305_1468164448">
            <w:r>
              <w:rPr>
                <w:webHidden/>
                <w:rStyle w:val="IndexLink"/>
              </w:rPr>
              <w:t>1</w:t>
            </w:r>
            <w:r>
              <w:rPr>
                <w:rStyle w:val="IndexLink"/>
                <w:rtl w:val="true"/>
              </w:rPr>
              <w:t xml:space="preserve">- </w:t>
            </w:r>
            <w:r>
              <w:rPr>
                <w:rStyle w:val="IndexLink"/>
                <w:rtl w:val="true"/>
              </w:rPr>
              <w:t>دیدگاه محقّق خویی</w:t>
            </w:r>
            <w:r>
              <w:rPr>
                <w:rStyle w:val="IndexLink"/>
                <w:rtl w:val="true"/>
              </w:rPr>
              <w:t>:</w:t>
              <w:tab/>
            </w:r>
            <w:r>
              <w:rPr>
                <w:rStyle w:val="IndexLink"/>
              </w:rPr>
              <w:t>370</w:t>
            </w:r>
          </w:hyperlink>
        </w:p>
        <w:p>
          <w:pPr>
            <w:pStyle w:val="Contents6"/>
            <w:tabs>
              <w:tab w:val="clear" w:pos="7609"/>
              <w:tab w:val="right" w:pos="9026" w:leader="dot"/>
            </w:tabs>
            <w:rPr/>
          </w:pPr>
          <w:hyperlink w:anchor="__RefHeading___Toc2531307_1468164448">
            <w:r>
              <w:rPr>
                <w:webHidden/>
                <w:rStyle w:val="IndexLink"/>
              </w:rPr>
              <w:t>2</w:t>
            </w:r>
            <w:r>
              <w:rPr>
                <w:rStyle w:val="IndexLink"/>
                <w:rtl w:val="true"/>
              </w:rPr>
              <w:t xml:space="preserve">- </w:t>
            </w:r>
            <w:r>
              <w:rPr>
                <w:rStyle w:val="IndexLink"/>
                <w:rtl w:val="true"/>
              </w:rPr>
              <w:t>دیدگاه امام خمینی</w:t>
            </w:r>
            <w:r>
              <w:rPr>
                <w:rStyle w:val="IndexLink"/>
                <w:rtl w:val="true"/>
              </w:rPr>
              <w:tab/>
            </w:r>
            <w:r>
              <w:rPr>
                <w:rStyle w:val="IndexLink"/>
              </w:rPr>
              <w:t>372</w:t>
            </w:r>
          </w:hyperlink>
        </w:p>
        <w:p>
          <w:pPr>
            <w:pStyle w:val="Contents6"/>
            <w:tabs>
              <w:tab w:val="clear" w:pos="7609"/>
              <w:tab w:val="right" w:pos="9026" w:leader="dot"/>
            </w:tabs>
            <w:rPr/>
          </w:pPr>
          <w:hyperlink w:anchor="__RefHeading___Toc2531309_1468164448">
            <w:r>
              <w:rPr>
                <w:webHidden/>
                <w:rStyle w:val="IndexLink"/>
              </w:rPr>
              <w:t>3</w:t>
            </w:r>
            <w:r>
              <w:rPr>
                <w:rStyle w:val="IndexLink"/>
                <w:rtl w:val="true"/>
              </w:rPr>
              <w:t xml:space="preserve">- </w:t>
            </w:r>
            <w:r>
              <w:rPr>
                <w:rStyle w:val="IndexLink"/>
                <w:rtl w:val="true"/>
              </w:rPr>
              <w:t>بررسی دیدگاه امام خمینی</w:t>
            </w:r>
            <w:r>
              <w:rPr>
                <w:rStyle w:val="IndexLink"/>
                <w:rtl w:val="true"/>
              </w:rPr>
              <w:tab/>
            </w:r>
            <w:r>
              <w:rPr>
                <w:rStyle w:val="IndexLink"/>
              </w:rPr>
              <w:t>376</w:t>
            </w:r>
          </w:hyperlink>
        </w:p>
        <w:p>
          <w:pPr>
            <w:pStyle w:val="Contents6"/>
            <w:tabs>
              <w:tab w:val="clear" w:pos="7609"/>
              <w:tab w:val="right" w:pos="9026" w:leader="dot"/>
            </w:tabs>
            <w:rPr/>
          </w:pPr>
          <w:hyperlink w:anchor="__RefHeading___Toc2531311_1468164448">
            <w:r>
              <w:rPr>
                <w:webHidden/>
                <w:rStyle w:val="IndexLink"/>
              </w:rPr>
              <w:t>4</w:t>
            </w:r>
            <w:r>
              <w:rPr>
                <w:rStyle w:val="IndexLink"/>
                <w:rtl w:val="true"/>
              </w:rPr>
              <w:t xml:space="preserve">- </w:t>
            </w:r>
            <w:r>
              <w:rPr>
                <w:rStyle w:val="IndexLink"/>
                <w:rtl w:val="true"/>
              </w:rPr>
              <w:t>دیدگاه برگزیده</w:t>
            </w:r>
            <w:r>
              <w:rPr>
                <w:rStyle w:val="IndexLink"/>
                <w:rtl w:val="true"/>
              </w:rPr>
              <w:t>:</w:t>
              <w:tab/>
            </w:r>
            <w:r>
              <w:rPr>
                <w:rStyle w:val="IndexLink"/>
              </w:rPr>
              <w:t>379</w:t>
            </w:r>
          </w:hyperlink>
        </w:p>
        <w:p>
          <w:pPr>
            <w:pStyle w:val="Contents4"/>
            <w:tabs>
              <w:tab w:val="clear" w:pos="8176"/>
              <w:tab w:val="right" w:pos="9026" w:leader="dot"/>
            </w:tabs>
            <w:rPr/>
          </w:pPr>
          <w:hyperlink w:anchor="__RefHeading___Toc2531313_1468164448">
            <w:r>
              <w:rPr>
                <w:webHidden/>
                <w:rStyle w:val="IndexLink"/>
                <w:rtl w:val="true"/>
              </w:rPr>
              <w:t>گفتار سوم</w:t>
            </w:r>
            <w:r>
              <w:rPr>
                <w:rStyle w:val="IndexLink"/>
                <w:rtl w:val="true"/>
              </w:rPr>
              <w:t xml:space="preserve">: </w:t>
            </w:r>
            <w:r>
              <w:rPr>
                <w:rStyle w:val="IndexLink"/>
                <w:rtl w:val="true"/>
              </w:rPr>
              <w:t>خاتمه</w:t>
            </w:r>
            <w:r>
              <w:rPr>
                <w:rStyle w:val="IndexLink"/>
                <w:rtl w:val="true"/>
              </w:rPr>
              <w:tab/>
            </w:r>
            <w:r>
              <w:rPr>
                <w:rStyle w:val="IndexLink"/>
              </w:rPr>
              <w:t>380</w:t>
            </w:r>
          </w:hyperlink>
        </w:p>
        <w:p>
          <w:pPr>
            <w:pStyle w:val="Contents5"/>
            <w:tabs>
              <w:tab w:val="clear" w:pos="7892"/>
              <w:tab w:val="right" w:pos="9026" w:leader="dot"/>
            </w:tabs>
            <w:rPr/>
          </w:pPr>
          <w:hyperlink w:anchor="__RefHeading___Toc2531315_1468164448">
            <w:r>
              <w:rPr>
                <w:webHidden/>
                <w:rStyle w:val="IndexLink"/>
                <w:rtl w:val="true"/>
              </w:rPr>
              <w:t>اشارة</w:t>
            </w:r>
            <w:r>
              <w:rPr>
                <w:rStyle w:val="IndexLink"/>
                <w:rtl w:val="true"/>
              </w:rPr>
              <w:tab/>
            </w:r>
            <w:r>
              <w:rPr>
                <w:rStyle w:val="IndexLink"/>
              </w:rPr>
              <w:t>380</w:t>
            </w:r>
          </w:hyperlink>
        </w:p>
        <w:p>
          <w:pPr>
            <w:pStyle w:val="Contents5"/>
            <w:tabs>
              <w:tab w:val="clear" w:pos="7892"/>
              <w:tab w:val="right" w:pos="9026" w:leader="dot"/>
            </w:tabs>
            <w:rPr/>
          </w:pPr>
          <w:hyperlink w:anchor="__RefHeading___Toc2531317_1468164448">
            <w:r>
              <w:rPr>
                <w:webHidden/>
                <w:rStyle w:val="IndexLink"/>
                <w:rtl w:val="true"/>
              </w:rPr>
              <w:t>بند اوّل</w:t>
            </w:r>
            <w:r>
              <w:rPr>
                <w:rStyle w:val="IndexLink"/>
                <w:rtl w:val="true"/>
              </w:rPr>
              <w:t xml:space="preserve">: </w:t>
            </w:r>
            <w:r>
              <w:rPr>
                <w:rStyle w:val="IndexLink"/>
                <w:rtl w:val="true"/>
              </w:rPr>
              <w:t>آیا جواز انتفاع، با صحّت بیع ملازمه دارد؟</w:t>
            </w:r>
            <w:r>
              <w:rPr>
                <w:rStyle w:val="IndexLink"/>
                <w:rtl w:val="true"/>
              </w:rPr>
              <w:tab/>
            </w:r>
            <w:r>
              <w:rPr>
                <w:rStyle w:val="IndexLink"/>
              </w:rPr>
              <w:t>380</w:t>
            </w:r>
          </w:hyperlink>
        </w:p>
        <w:p>
          <w:pPr>
            <w:pStyle w:val="Contents5"/>
            <w:tabs>
              <w:tab w:val="clear" w:pos="7892"/>
              <w:tab w:val="right" w:pos="9026" w:leader="dot"/>
            </w:tabs>
            <w:rPr/>
          </w:pPr>
          <w:hyperlink w:anchor="__RefHeading___Toc2531319_1468164448">
            <w:r>
              <w:rPr>
                <w:webHidden/>
                <w:rStyle w:val="IndexLink"/>
                <w:rtl w:val="true"/>
              </w:rPr>
              <w:t>بند دوم</w:t>
            </w:r>
            <w:r>
              <w:rPr>
                <w:rStyle w:val="IndexLink"/>
                <w:rtl w:val="true"/>
              </w:rPr>
              <w:t xml:space="preserve">: </w:t>
            </w:r>
            <w:r>
              <w:rPr>
                <w:rStyle w:val="IndexLink"/>
                <w:rtl w:val="true"/>
              </w:rPr>
              <w:t>بیع میتۀ مختلط با مذکّی</w:t>
            </w:r>
            <w:r>
              <w:rPr>
                <w:rStyle w:val="IndexLink"/>
                <w:rtl w:val="true"/>
              </w:rPr>
              <w:tab/>
            </w:r>
            <w:r>
              <w:rPr>
                <w:rStyle w:val="IndexLink"/>
              </w:rPr>
              <w:t>382</w:t>
            </w:r>
          </w:hyperlink>
        </w:p>
        <w:p>
          <w:pPr>
            <w:pStyle w:val="Contents6"/>
            <w:tabs>
              <w:tab w:val="clear" w:pos="7609"/>
              <w:tab w:val="right" w:pos="9026" w:leader="dot"/>
            </w:tabs>
            <w:rPr/>
          </w:pPr>
          <w:hyperlink w:anchor="__RefHeading___Toc2531321_1468164448">
            <w:r>
              <w:rPr>
                <w:webHidden/>
                <w:rStyle w:val="IndexLink"/>
                <w:rtl w:val="true"/>
              </w:rPr>
              <w:t>اشارة</w:t>
            </w:r>
            <w:r>
              <w:rPr>
                <w:rStyle w:val="IndexLink"/>
                <w:rtl w:val="true"/>
              </w:rPr>
              <w:tab/>
            </w:r>
            <w:r>
              <w:rPr>
                <w:rStyle w:val="IndexLink"/>
              </w:rPr>
              <w:t>382</w:t>
            </w:r>
          </w:hyperlink>
        </w:p>
        <w:p>
          <w:pPr>
            <w:pStyle w:val="Contents6"/>
            <w:tabs>
              <w:tab w:val="clear" w:pos="7609"/>
              <w:tab w:val="right" w:pos="9026" w:leader="dot"/>
            </w:tabs>
            <w:rPr/>
          </w:pPr>
          <w:hyperlink w:anchor="__RefHeading___Toc2531323_1468164448">
            <w:r>
              <w:rPr>
                <w:webHidden/>
                <w:rStyle w:val="IndexLink"/>
                <w:rtl w:val="true"/>
              </w:rPr>
              <w:t>الف</w:t>
            </w:r>
            <w:r>
              <w:rPr>
                <w:rStyle w:val="IndexLink"/>
                <w:rtl w:val="true"/>
              </w:rPr>
              <w:t xml:space="preserve">) </w:t>
            </w:r>
            <w:r>
              <w:rPr>
                <w:rStyle w:val="IndexLink"/>
                <w:rtl w:val="true"/>
              </w:rPr>
              <w:t>بیع مردار مختلط با مذکّی به قصد مجموع</w:t>
            </w:r>
            <w:r>
              <w:rPr>
                <w:rStyle w:val="IndexLink"/>
                <w:rtl w:val="true"/>
              </w:rPr>
              <w:tab/>
            </w:r>
            <w:r>
              <w:rPr>
                <w:rStyle w:val="IndexLink"/>
              </w:rPr>
              <w:t>383</w:t>
            </w:r>
          </w:hyperlink>
        </w:p>
        <w:p>
          <w:pPr>
            <w:pStyle w:val="Contents6"/>
            <w:tabs>
              <w:tab w:val="clear" w:pos="7609"/>
              <w:tab w:val="right" w:pos="9026" w:leader="dot"/>
            </w:tabs>
            <w:rPr/>
          </w:pPr>
          <w:hyperlink w:anchor="__RefHeading___Toc2531325_1468164448">
            <w:r>
              <w:rPr>
                <w:webHidden/>
                <w:rStyle w:val="IndexLink"/>
              </w:rPr>
              <w:t>1</w:t>
            </w:r>
            <w:r>
              <w:rPr>
                <w:rStyle w:val="IndexLink"/>
                <w:rtl w:val="true"/>
              </w:rPr>
              <w:t xml:space="preserve">- </w:t>
            </w:r>
            <w:r>
              <w:rPr>
                <w:rStyle w:val="IndexLink"/>
                <w:rtl w:val="true"/>
              </w:rPr>
              <w:t>دیدگاه فقها</w:t>
            </w:r>
            <w:r>
              <w:rPr>
                <w:rStyle w:val="IndexLink"/>
                <w:rtl w:val="true"/>
              </w:rPr>
              <w:tab/>
            </w:r>
            <w:r>
              <w:rPr>
                <w:rStyle w:val="IndexLink"/>
              </w:rPr>
              <w:t>383</w:t>
            </w:r>
          </w:hyperlink>
        </w:p>
        <w:p>
          <w:pPr>
            <w:pStyle w:val="Contents6"/>
            <w:tabs>
              <w:tab w:val="clear" w:pos="7609"/>
              <w:tab w:val="right" w:pos="9026" w:leader="dot"/>
            </w:tabs>
            <w:rPr/>
          </w:pPr>
          <w:hyperlink w:anchor="__RefHeading___Toc2531327_1468164448">
            <w:r>
              <w:rPr>
                <w:webHidden/>
                <w:rStyle w:val="IndexLink"/>
              </w:rPr>
              <w:t>2</w:t>
            </w:r>
            <w:r>
              <w:rPr>
                <w:rStyle w:val="IndexLink"/>
                <w:rtl w:val="true"/>
              </w:rPr>
              <w:t xml:space="preserve">- </w:t>
            </w:r>
            <w:r>
              <w:rPr>
                <w:rStyle w:val="IndexLink"/>
                <w:rtl w:val="true"/>
              </w:rPr>
              <w:t>بیان احتمالات و فروض</w:t>
            </w:r>
            <w:r>
              <w:rPr>
                <w:rStyle w:val="IndexLink"/>
                <w:rtl w:val="true"/>
              </w:rPr>
              <w:tab/>
            </w:r>
            <w:r>
              <w:rPr>
                <w:rStyle w:val="IndexLink"/>
              </w:rPr>
              <w:t>385</w:t>
            </w:r>
          </w:hyperlink>
        </w:p>
        <w:p>
          <w:pPr>
            <w:pStyle w:val="Contents6"/>
            <w:tabs>
              <w:tab w:val="clear" w:pos="7609"/>
              <w:tab w:val="right" w:pos="9026" w:leader="dot"/>
            </w:tabs>
            <w:rPr/>
          </w:pPr>
          <w:hyperlink w:anchor="__RefHeading___Toc2531329_1468164448">
            <w:r>
              <w:rPr>
                <w:webHidden/>
                <w:rStyle w:val="IndexLink"/>
              </w:rPr>
              <w:t>3</w:t>
            </w:r>
            <w:r>
              <w:rPr>
                <w:rStyle w:val="IndexLink"/>
                <w:rtl w:val="true"/>
              </w:rPr>
              <w:t xml:space="preserve">- </w:t>
            </w:r>
            <w:r>
              <w:rPr>
                <w:rStyle w:val="IndexLink"/>
                <w:rtl w:val="true"/>
              </w:rPr>
              <w:t>مقتضای قواعد</w:t>
            </w:r>
            <w:r>
              <w:rPr>
                <w:rStyle w:val="IndexLink"/>
                <w:rtl w:val="true"/>
              </w:rPr>
              <w:tab/>
            </w:r>
            <w:r>
              <w:rPr>
                <w:rStyle w:val="IndexLink"/>
              </w:rPr>
              <w:t>386</w:t>
            </w:r>
          </w:hyperlink>
        </w:p>
        <w:p>
          <w:pPr>
            <w:pStyle w:val="Contents6"/>
            <w:tabs>
              <w:tab w:val="clear" w:pos="7609"/>
              <w:tab w:val="right" w:pos="9026" w:leader="dot"/>
            </w:tabs>
            <w:rPr/>
          </w:pPr>
          <w:hyperlink w:anchor="__RefHeading___Toc2531331_1468164448">
            <w:r>
              <w:rPr>
                <w:webHidden/>
                <w:rStyle w:val="IndexLink"/>
              </w:rPr>
              <w:t>4</w:t>
            </w:r>
            <w:r>
              <w:rPr>
                <w:rStyle w:val="IndexLink"/>
                <w:rtl w:val="true"/>
              </w:rPr>
              <w:t xml:space="preserve">- </w:t>
            </w:r>
            <w:r>
              <w:rPr>
                <w:rStyle w:val="IndexLink"/>
                <w:rtl w:val="true"/>
              </w:rPr>
              <w:t>روایات</w:t>
            </w:r>
            <w:r>
              <w:rPr>
                <w:rStyle w:val="IndexLink"/>
                <w:rtl w:val="true"/>
              </w:rPr>
              <w:tab/>
            </w:r>
            <w:r>
              <w:rPr>
                <w:rStyle w:val="IndexLink"/>
              </w:rPr>
              <w:t>391</w:t>
            </w:r>
          </w:hyperlink>
        </w:p>
        <w:p>
          <w:pPr>
            <w:pStyle w:val="Contents6"/>
            <w:tabs>
              <w:tab w:val="clear" w:pos="7609"/>
              <w:tab w:val="right" w:pos="9026" w:leader="dot"/>
            </w:tabs>
            <w:rPr/>
          </w:pPr>
          <w:hyperlink w:anchor="__RefHeading___Toc2531333_1468164448">
            <w:r>
              <w:rPr>
                <w:webHidden/>
                <w:rStyle w:val="IndexLink"/>
                <w:rtl w:val="true"/>
              </w:rPr>
              <w:t>نتیجۀ بررسی روایات</w:t>
            </w:r>
            <w:r>
              <w:rPr>
                <w:rStyle w:val="IndexLink"/>
                <w:rtl w:val="true"/>
              </w:rPr>
              <w:t>:</w:t>
              <w:tab/>
            </w:r>
            <w:r>
              <w:rPr>
                <w:rStyle w:val="IndexLink"/>
              </w:rPr>
              <w:t>409</w:t>
            </w:r>
          </w:hyperlink>
        </w:p>
        <w:p>
          <w:pPr>
            <w:pStyle w:val="Contents6"/>
            <w:tabs>
              <w:tab w:val="clear" w:pos="7609"/>
              <w:tab w:val="right" w:pos="9026" w:leader="dot"/>
            </w:tabs>
            <w:rPr/>
          </w:pPr>
          <w:hyperlink w:anchor="__RefHeading___Toc2531335_1468164448">
            <w:r>
              <w:rPr>
                <w:webHidden/>
                <w:rStyle w:val="IndexLink"/>
                <w:rtl w:val="true"/>
              </w:rPr>
              <w:t>ب</w:t>
            </w:r>
            <w:r>
              <w:rPr>
                <w:rStyle w:val="IndexLink"/>
                <w:rtl w:val="true"/>
              </w:rPr>
              <w:t xml:space="preserve">) </w:t>
            </w:r>
            <w:r>
              <w:rPr>
                <w:rStyle w:val="IndexLink"/>
                <w:rtl w:val="true"/>
              </w:rPr>
              <w:t>بیع میتۀ مختلط به مذکّی به قصد مذکّی</w:t>
            </w:r>
            <w:r>
              <w:rPr>
                <w:rStyle w:val="IndexLink"/>
                <w:rtl w:val="true"/>
              </w:rPr>
              <w:tab/>
            </w:r>
            <w:r>
              <w:rPr>
                <w:rStyle w:val="IndexLink"/>
              </w:rPr>
              <w:t>409</w:t>
            </w:r>
          </w:hyperlink>
        </w:p>
        <w:p>
          <w:pPr>
            <w:pStyle w:val="Contents6"/>
            <w:tabs>
              <w:tab w:val="clear" w:pos="7609"/>
              <w:tab w:val="right" w:pos="9026" w:leader="dot"/>
            </w:tabs>
            <w:rPr/>
          </w:pPr>
          <w:hyperlink w:anchor="__RefHeading___Toc2531337_1468164448">
            <w:r>
              <w:rPr>
                <w:webHidden/>
                <w:rStyle w:val="IndexLink"/>
              </w:rPr>
              <w:t>1</w:t>
            </w:r>
            <w:r>
              <w:rPr>
                <w:rStyle w:val="IndexLink"/>
                <w:rtl w:val="true"/>
              </w:rPr>
              <w:t xml:space="preserve">- </w:t>
            </w:r>
            <w:r>
              <w:rPr>
                <w:rStyle w:val="IndexLink"/>
                <w:rtl w:val="true"/>
              </w:rPr>
              <w:t>دیدگاه شیخ انصاری</w:t>
            </w:r>
            <w:r>
              <w:rPr>
                <w:rStyle w:val="IndexLink"/>
                <w:rtl w:val="true"/>
              </w:rPr>
              <w:t>:</w:t>
              <w:tab/>
            </w:r>
            <w:r>
              <w:rPr>
                <w:rStyle w:val="IndexLink"/>
              </w:rPr>
              <w:t>409</w:t>
            </w:r>
          </w:hyperlink>
        </w:p>
        <w:p>
          <w:pPr>
            <w:pStyle w:val="Contents6"/>
            <w:tabs>
              <w:tab w:val="clear" w:pos="7609"/>
              <w:tab w:val="right" w:pos="9026" w:leader="dot"/>
            </w:tabs>
            <w:rPr/>
          </w:pPr>
          <w:hyperlink w:anchor="__RefHeading___Toc2531339_1468164448">
            <w:r>
              <w:rPr>
                <w:webHidden/>
                <w:rStyle w:val="IndexLink"/>
              </w:rPr>
              <w:t>2</w:t>
            </w:r>
            <w:r>
              <w:rPr>
                <w:rStyle w:val="IndexLink"/>
                <w:rtl w:val="true"/>
              </w:rPr>
              <w:t xml:space="preserve">- </w:t>
            </w:r>
            <w:r>
              <w:rPr>
                <w:rStyle w:val="IndexLink"/>
                <w:rtl w:val="true"/>
              </w:rPr>
              <w:t>دیدگاه محقّق خویی</w:t>
            </w:r>
            <w:r>
              <w:rPr>
                <w:rStyle w:val="IndexLink"/>
                <w:rtl w:val="true"/>
              </w:rPr>
              <w:tab/>
            </w:r>
            <w:r>
              <w:rPr>
                <w:rStyle w:val="IndexLink"/>
              </w:rPr>
              <w:t>410</w:t>
            </w:r>
          </w:hyperlink>
        </w:p>
        <w:p>
          <w:pPr>
            <w:pStyle w:val="Contents6"/>
            <w:tabs>
              <w:tab w:val="clear" w:pos="7609"/>
              <w:tab w:val="right" w:pos="9026" w:leader="dot"/>
            </w:tabs>
            <w:rPr/>
          </w:pPr>
          <w:hyperlink w:anchor="__RefHeading___Toc2531341_1468164448">
            <w:r>
              <w:rPr>
                <w:webHidden/>
                <w:rStyle w:val="IndexLink"/>
              </w:rPr>
              <w:t>3</w:t>
            </w:r>
            <w:r>
              <w:rPr>
                <w:rStyle w:val="IndexLink"/>
                <w:rtl w:val="true"/>
              </w:rPr>
              <w:t xml:space="preserve">- </w:t>
            </w:r>
            <w:r>
              <w:rPr>
                <w:rStyle w:val="IndexLink"/>
                <w:rtl w:val="true"/>
              </w:rPr>
              <w:t>دیدگاه امام خمینی</w:t>
            </w:r>
            <w:r>
              <w:rPr>
                <w:rStyle w:val="IndexLink"/>
                <w:rtl w:val="true"/>
              </w:rPr>
              <w:tab/>
            </w:r>
            <w:r>
              <w:rPr>
                <w:rStyle w:val="IndexLink"/>
              </w:rPr>
              <w:t>411</w:t>
            </w:r>
          </w:hyperlink>
        </w:p>
        <w:p>
          <w:pPr>
            <w:pStyle w:val="Contents6"/>
            <w:tabs>
              <w:tab w:val="clear" w:pos="7609"/>
              <w:tab w:val="right" w:pos="9026" w:leader="dot"/>
            </w:tabs>
            <w:rPr/>
          </w:pPr>
          <w:hyperlink w:anchor="__RefHeading___Toc2531343_1468164448">
            <w:r>
              <w:rPr>
                <w:webHidden/>
                <w:rStyle w:val="IndexLink"/>
              </w:rPr>
              <w:t>4</w:t>
            </w:r>
            <w:r>
              <w:rPr>
                <w:rStyle w:val="IndexLink"/>
                <w:rtl w:val="true"/>
              </w:rPr>
              <w:t xml:space="preserve">- </w:t>
            </w:r>
            <w:r>
              <w:rPr>
                <w:rStyle w:val="IndexLink"/>
                <w:rtl w:val="true"/>
              </w:rPr>
              <w:t>دو نکتۀ باقیمانده</w:t>
            </w:r>
            <w:r>
              <w:rPr>
                <w:rStyle w:val="IndexLink"/>
                <w:rtl w:val="true"/>
              </w:rPr>
              <w:t>:</w:t>
              <w:tab/>
            </w:r>
            <w:r>
              <w:rPr>
                <w:rStyle w:val="IndexLink"/>
              </w:rPr>
              <w:t>413</w:t>
            </w:r>
          </w:hyperlink>
        </w:p>
        <w:p>
          <w:pPr>
            <w:pStyle w:val="Contents5"/>
            <w:tabs>
              <w:tab w:val="clear" w:pos="7892"/>
              <w:tab w:val="right" w:pos="9026" w:leader="dot"/>
            </w:tabs>
            <w:rPr/>
          </w:pPr>
          <w:hyperlink w:anchor="__RefHeading___Toc2531345_1468164448">
            <w:r>
              <w:rPr>
                <w:webHidden/>
                <w:rStyle w:val="IndexLink"/>
                <w:rtl w:val="true"/>
              </w:rPr>
              <w:t>بند سوم</w:t>
            </w:r>
            <w:r>
              <w:rPr>
                <w:rStyle w:val="IndexLink"/>
                <w:rtl w:val="true"/>
              </w:rPr>
              <w:t xml:space="preserve">: </w:t>
            </w:r>
            <w:r>
              <w:rPr>
                <w:rStyle w:val="IndexLink"/>
                <w:rtl w:val="true"/>
              </w:rPr>
              <w:t>بیع مرداری که خون جهنده ندارد</w:t>
            </w:r>
            <w:r>
              <w:rPr>
                <w:rStyle w:val="IndexLink"/>
                <w:rtl w:val="true"/>
              </w:rPr>
              <w:tab/>
            </w:r>
            <w:r>
              <w:rPr>
                <w:rStyle w:val="IndexLink"/>
              </w:rPr>
              <w:t>415</w:t>
            </w:r>
          </w:hyperlink>
        </w:p>
        <w:p>
          <w:pPr>
            <w:pStyle w:val="Contents6"/>
            <w:tabs>
              <w:tab w:val="clear" w:pos="7609"/>
              <w:tab w:val="right" w:pos="9026" w:leader="dot"/>
            </w:tabs>
            <w:rPr/>
          </w:pPr>
          <w:hyperlink w:anchor="__RefHeading___Toc2531347_1468164448">
            <w:r>
              <w:rPr>
                <w:webHidden/>
                <w:rStyle w:val="IndexLink"/>
                <w:rtl w:val="true"/>
              </w:rPr>
              <w:t>اشارة</w:t>
            </w:r>
            <w:r>
              <w:rPr>
                <w:rStyle w:val="IndexLink"/>
                <w:rtl w:val="true"/>
              </w:rPr>
              <w:tab/>
            </w:r>
            <w:r>
              <w:rPr>
                <w:rStyle w:val="IndexLink"/>
              </w:rPr>
              <w:t>415</w:t>
            </w:r>
          </w:hyperlink>
        </w:p>
        <w:p>
          <w:pPr>
            <w:pStyle w:val="Contents6"/>
            <w:tabs>
              <w:tab w:val="clear" w:pos="7609"/>
              <w:tab w:val="right" w:pos="9026" w:leader="dot"/>
            </w:tabs>
            <w:rPr/>
          </w:pPr>
          <w:hyperlink w:anchor="__RefHeading___Toc2531349_1468164448">
            <w:r>
              <w:rPr>
                <w:webHidden/>
                <w:rStyle w:val="IndexLink"/>
                <w:rtl w:val="true"/>
              </w:rPr>
              <w:t>نکتۀ پایانی</w:t>
            </w:r>
            <w:r>
              <w:rPr>
                <w:rStyle w:val="IndexLink"/>
                <w:rtl w:val="true"/>
              </w:rPr>
              <w:tab/>
            </w:r>
            <w:r>
              <w:rPr>
                <w:rStyle w:val="IndexLink"/>
              </w:rPr>
              <w:t>415</w:t>
            </w:r>
          </w:hyperlink>
        </w:p>
        <w:p>
          <w:pPr>
            <w:pStyle w:val="Contents3"/>
            <w:tabs>
              <w:tab w:val="clear" w:pos="8459"/>
              <w:tab w:val="right" w:pos="9026" w:leader="dot"/>
            </w:tabs>
            <w:rPr/>
          </w:pPr>
          <w:hyperlink w:anchor="__RefHeading___Toc2531351_1468164448">
            <w:r>
              <w:rPr>
                <w:webHidden/>
                <w:rStyle w:val="IndexLink"/>
                <w:rtl w:val="true"/>
              </w:rPr>
              <w:t>فصل هفتم</w:t>
            </w:r>
            <w:r>
              <w:rPr>
                <w:rStyle w:val="IndexLink"/>
                <w:rtl w:val="true"/>
              </w:rPr>
              <w:t xml:space="preserve">: </w:t>
            </w:r>
            <w:r>
              <w:rPr>
                <w:rStyle w:val="IndexLink"/>
                <w:rtl w:val="true"/>
              </w:rPr>
              <w:t>معاملۀ سگ و خوک</w:t>
            </w:r>
            <w:r>
              <w:rPr>
                <w:rStyle w:val="IndexLink"/>
                <w:rtl w:val="true"/>
              </w:rPr>
              <w:tab/>
            </w:r>
            <w:r>
              <w:rPr>
                <w:rStyle w:val="IndexLink"/>
              </w:rPr>
              <w:t>417</w:t>
            </w:r>
          </w:hyperlink>
        </w:p>
        <w:p>
          <w:pPr>
            <w:pStyle w:val="Contents4"/>
            <w:tabs>
              <w:tab w:val="clear" w:pos="8176"/>
              <w:tab w:val="right" w:pos="9026" w:leader="dot"/>
            </w:tabs>
            <w:rPr/>
          </w:pPr>
          <w:hyperlink w:anchor="__RefHeading___Toc2531353_1468164448">
            <w:r>
              <w:rPr>
                <w:webHidden/>
                <w:rStyle w:val="IndexLink"/>
                <w:rtl w:val="true"/>
              </w:rPr>
              <w:t>اشارة</w:t>
            </w:r>
            <w:r>
              <w:rPr>
                <w:rStyle w:val="IndexLink"/>
                <w:rtl w:val="true"/>
              </w:rPr>
              <w:tab/>
            </w:r>
            <w:r>
              <w:rPr>
                <w:rStyle w:val="IndexLink"/>
              </w:rPr>
              <w:t>417</w:t>
            </w:r>
          </w:hyperlink>
        </w:p>
        <w:p>
          <w:pPr>
            <w:pStyle w:val="Contents4"/>
            <w:tabs>
              <w:tab w:val="clear" w:pos="8176"/>
              <w:tab w:val="right" w:pos="9026" w:leader="dot"/>
            </w:tabs>
            <w:rPr/>
          </w:pPr>
          <w:hyperlink w:anchor="__RefHeading___Toc2531355_1468164448">
            <w:r>
              <w:rPr>
                <w:webHidden/>
                <w:rStyle w:val="IndexLink"/>
                <w:rtl w:val="true"/>
              </w:rPr>
              <w:t>گفتار اوّل</w:t>
            </w:r>
            <w:r>
              <w:rPr>
                <w:rStyle w:val="IndexLink"/>
                <w:rtl w:val="true"/>
              </w:rPr>
              <w:t xml:space="preserve">: </w:t>
            </w:r>
            <w:r>
              <w:rPr>
                <w:rStyle w:val="IndexLink"/>
                <w:rtl w:val="true"/>
              </w:rPr>
              <w:t>معاملۀ سگ</w:t>
            </w:r>
            <w:r>
              <w:rPr>
                <w:rStyle w:val="IndexLink"/>
                <w:rtl w:val="true"/>
              </w:rPr>
              <w:tab/>
            </w:r>
            <w:r>
              <w:rPr>
                <w:rStyle w:val="IndexLink"/>
              </w:rPr>
              <w:t>418</w:t>
            </w:r>
          </w:hyperlink>
        </w:p>
        <w:p>
          <w:pPr>
            <w:pStyle w:val="Contents5"/>
            <w:tabs>
              <w:tab w:val="clear" w:pos="7892"/>
              <w:tab w:val="right" w:pos="9026" w:leader="dot"/>
            </w:tabs>
            <w:rPr/>
          </w:pPr>
          <w:hyperlink w:anchor="__RefHeading___Toc2531357_1468164448">
            <w:r>
              <w:rPr>
                <w:webHidden/>
                <w:rStyle w:val="IndexLink"/>
                <w:rtl w:val="true"/>
              </w:rPr>
              <w:t>اشارة</w:t>
            </w:r>
            <w:r>
              <w:rPr>
                <w:rStyle w:val="IndexLink"/>
                <w:rtl w:val="true"/>
              </w:rPr>
              <w:tab/>
            </w:r>
            <w:r>
              <w:rPr>
                <w:rStyle w:val="IndexLink"/>
              </w:rPr>
              <w:t>418</w:t>
            </w:r>
          </w:hyperlink>
        </w:p>
        <w:p>
          <w:pPr>
            <w:pStyle w:val="Contents5"/>
            <w:tabs>
              <w:tab w:val="clear" w:pos="7892"/>
              <w:tab w:val="right" w:pos="9026" w:leader="dot"/>
            </w:tabs>
            <w:rPr/>
          </w:pPr>
          <w:hyperlink w:anchor="__RefHeading___Toc2531359_1468164448">
            <w:r>
              <w:rPr>
                <w:webHidden/>
                <w:rStyle w:val="IndexLink"/>
                <w:rtl w:val="true"/>
              </w:rPr>
              <w:t>بند اوّل</w:t>
            </w:r>
            <w:r>
              <w:rPr>
                <w:rStyle w:val="IndexLink"/>
                <w:rtl w:val="true"/>
              </w:rPr>
              <w:t xml:space="preserve">: </w:t>
            </w:r>
            <w:r>
              <w:rPr>
                <w:rStyle w:val="IndexLink"/>
                <w:rtl w:val="true"/>
              </w:rPr>
              <w:t>عبارات فقها</w:t>
            </w:r>
            <w:r>
              <w:rPr>
                <w:rStyle w:val="IndexLink"/>
                <w:rtl w:val="true"/>
              </w:rPr>
              <w:tab/>
            </w:r>
            <w:r>
              <w:rPr>
                <w:rStyle w:val="IndexLink"/>
              </w:rPr>
              <w:t>419</w:t>
            </w:r>
          </w:hyperlink>
        </w:p>
        <w:p>
          <w:pPr>
            <w:pStyle w:val="Contents6"/>
            <w:tabs>
              <w:tab w:val="clear" w:pos="7609"/>
              <w:tab w:val="right" w:pos="9026" w:leader="dot"/>
            </w:tabs>
            <w:rPr/>
          </w:pPr>
          <w:hyperlink w:anchor="__RefHeading___Toc2531361_1468164448">
            <w:r>
              <w:rPr>
                <w:webHidden/>
                <w:rStyle w:val="IndexLink"/>
                <w:rtl w:val="true"/>
              </w:rPr>
              <w:t>الف</w:t>
            </w:r>
            <w:r>
              <w:rPr>
                <w:rStyle w:val="IndexLink"/>
                <w:rtl w:val="true"/>
              </w:rPr>
              <w:t xml:space="preserve">) </w:t>
            </w:r>
            <w:r>
              <w:rPr>
                <w:rStyle w:val="IndexLink"/>
                <w:rtl w:val="true"/>
              </w:rPr>
              <w:t>دیدگاه شیخ طوسی</w:t>
            </w:r>
            <w:r>
              <w:rPr>
                <w:rStyle w:val="IndexLink"/>
                <w:rtl w:val="true"/>
              </w:rPr>
              <w:tab/>
            </w:r>
            <w:r>
              <w:rPr>
                <w:rStyle w:val="IndexLink"/>
              </w:rPr>
              <w:t>419</w:t>
            </w:r>
          </w:hyperlink>
        </w:p>
        <w:p>
          <w:pPr>
            <w:pStyle w:val="Contents6"/>
            <w:tabs>
              <w:tab w:val="clear" w:pos="7609"/>
              <w:tab w:val="right" w:pos="9026" w:leader="dot"/>
            </w:tabs>
            <w:rPr/>
          </w:pPr>
          <w:hyperlink w:anchor="__RefHeading___Toc2531363_1468164448">
            <w:r>
              <w:rPr>
                <w:webHidden/>
                <w:rStyle w:val="IndexLink"/>
                <w:rtl w:val="true"/>
              </w:rPr>
              <w:t>ب</w:t>
            </w:r>
            <w:r>
              <w:rPr>
                <w:rStyle w:val="IndexLink"/>
                <w:rtl w:val="true"/>
              </w:rPr>
              <w:t xml:space="preserve">) </w:t>
            </w:r>
            <w:r>
              <w:rPr>
                <w:rStyle w:val="IndexLink"/>
                <w:rtl w:val="true"/>
              </w:rPr>
              <w:t>دیدگاه شیخ مفید</w:t>
            </w:r>
            <w:r>
              <w:rPr>
                <w:rStyle w:val="IndexLink"/>
                <w:rtl w:val="true"/>
              </w:rPr>
              <w:tab/>
            </w:r>
            <w:r>
              <w:rPr>
                <w:rStyle w:val="IndexLink"/>
              </w:rPr>
              <w:t>420</w:t>
            </w:r>
          </w:hyperlink>
        </w:p>
        <w:p>
          <w:pPr>
            <w:pStyle w:val="Contents6"/>
            <w:tabs>
              <w:tab w:val="clear" w:pos="7609"/>
              <w:tab w:val="right" w:pos="9026" w:leader="dot"/>
            </w:tabs>
            <w:rPr/>
          </w:pPr>
          <w:hyperlink w:anchor="__RefHeading___Toc2531365_1468164448">
            <w:r>
              <w:rPr>
                <w:webHidden/>
                <w:rStyle w:val="IndexLink"/>
                <w:rtl w:val="true"/>
              </w:rPr>
              <w:t>ج</w:t>
            </w:r>
            <w:r>
              <w:rPr>
                <w:rStyle w:val="IndexLink"/>
                <w:rtl w:val="true"/>
              </w:rPr>
              <w:t xml:space="preserve">) </w:t>
            </w:r>
            <w:r>
              <w:rPr>
                <w:rStyle w:val="IndexLink"/>
                <w:rtl w:val="true"/>
              </w:rPr>
              <w:t>دیدگاه علاّمۀ حلّی</w:t>
            </w:r>
            <w:r>
              <w:rPr>
                <w:rStyle w:val="IndexLink"/>
                <w:rtl w:val="true"/>
              </w:rPr>
              <w:tab/>
            </w:r>
            <w:r>
              <w:rPr>
                <w:rStyle w:val="IndexLink"/>
              </w:rPr>
              <w:t>420</w:t>
            </w:r>
          </w:hyperlink>
        </w:p>
        <w:p>
          <w:pPr>
            <w:pStyle w:val="Contents5"/>
            <w:tabs>
              <w:tab w:val="clear" w:pos="7892"/>
              <w:tab w:val="right" w:pos="9026" w:leader="dot"/>
            </w:tabs>
            <w:rPr/>
          </w:pPr>
          <w:hyperlink w:anchor="__RefHeading___Toc2531367_1468164448">
            <w:r>
              <w:rPr>
                <w:webHidden/>
                <w:rStyle w:val="IndexLink"/>
                <w:rtl w:val="true"/>
              </w:rPr>
              <w:t>بند دوم</w:t>
            </w:r>
            <w:r>
              <w:rPr>
                <w:rStyle w:val="IndexLink"/>
                <w:rtl w:val="true"/>
              </w:rPr>
              <w:t xml:space="preserve">: </w:t>
            </w:r>
            <w:r>
              <w:rPr>
                <w:rStyle w:val="IndexLink"/>
                <w:rtl w:val="true"/>
              </w:rPr>
              <w:t>ادلّۀ حرمت معاملۀ سگ</w:t>
            </w:r>
            <w:r>
              <w:rPr>
                <w:rStyle w:val="IndexLink"/>
                <w:rtl w:val="true"/>
              </w:rPr>
              <w:tab/>
            </w:r>
            <w:r>
              <w:rPr>
                <w:rStyle w:val="IndexLink"/>
              </w:rPr>
              <w:t>421</w:t>
            </w:r>
          </w:hyperlink>
        </w:p>
        <w:p>
          <w:pPr>
            <w:pStyle w:val="Contents6"/>
            <w:tabs>
              <w:tab w:val="clear" w:pos="7609"/>
              <w:tab w:val="right" w:pos="9026" w:leader="dot"/>
            </w:tabs>
            <w:rPr/>
          </w:pPr>
          <w:hyperlink w:anchor="__RefHeading___Toc2531369_1468164448">
            <w:r>
              <w:rPr>
                <w:webHidden/>
                <w:rStyle w:val="IndexLink"/>
                <w:rtl w:val="true"/>
              </w:rPr>
              <w:t>الف</w:t>
            </w:r>
            <w:r>
              <w:rPr>
                <w:rStyle w:val="IndexLink"/>
                <w:rtl w:val="true"/>
              </w:rPr>
              <w:t xml:space="preserve">) </w:t>
            </w:r>
            <w:r>
              <w:rPr>
                <w:rStyle w:val="IndexLink"/>
                <w:rtl w:val="true"/>
              </w:rPr>
              <w:t>اجماع</w:t>
            </w:r>
            <w:r>
              <w:rPr>
                <w:rStyle w:val="IndexLink"/>
                <w:rtl w:val="true"/>
              </w:rPr>
              <w:tab/>
            </w:r>
            <w:r>
              <w:rPr>
                <w:rStyle w:val="IndexLink"/>
              </w:rPr>
              <w:t>421</w:t>
            </w:r>
          </w:hyperlink>
        </w:p>
        <w:p>
          <w:pPr>
            <w:pStyle w:val="Contents6"/>
            <w:tabs>
              <w:tab w:val="clear" w:pos="7609"/>
              <w:tab w:val="right" w:pos="9026" w:leader="dot"/>
            </w:tabs>
            <w:rPr/>
          </w:pPr>
          <w:hyperlink w:anchor="__RefHeading___Toc2531371_1468164448">
            <w:r>
              <w:rPr>
                <w:webHidden/>
                <w:rStyle w:val="IndexLink"/>
                <w:rtl w:val="true"/>
              </w:rPr>
              <w:t>ب</w:t>
            </w:r>
            <w:r>
              <w:rPr>
                <w:rStyle w:val="IndexLink"/>
                <w:rtl w:val="true"/>
              </w:rPr>
              <w:t xml:space="preserve">) </w:t>
            </w:r>
            <w:r>
              <w:rPr>
                <w:rStyle w:val="IndexLink"/>
                <w:rtl w:val="true"/>
              </w:rPr>
              <w:t>روایات</w:t>
            </w:r>
            <w:r>
              <w:rPr>
                <w:rStyle w:val="IndexLink"/>
                <w:rtl w:val="true"/>
              </w:rPr>
              <w:tab/>
            </w:r>
            <w:r>
              <w:rPr>
                <w:rStyle w:val="IndexLink"/>
              </w:rPr>
              <w:t>421</w:t>
            </w:r>
          </w:hyperlink>
        </w:p>
        <w:p>
          <w:pPr>
            <w:pStyle w:val="Contents6"/>
            <w:tabs>
              <w:tab w:val="clear" w:pos="7609"/>
              <w:tab w:val="right" w:pos="9026" w:leader="dot"/>
            </w:tabs>
            <w:rPr/>
          </w:pPr>
          <w:hyperlink w:anchor="__RefHeading___Toc2531373_1468164448">
            <w:r>
              <w:rPr>
                <w:webHidden/>
                <w:rStyle w:val="IndexLink"/>
                <w:rtl w:val="true"/>
              </w:rPr>
              <w:t>ج</w:t>
            </w:r>
            <w:r>
              <w:rPr>
                <w:rStyle w:val="IndexLink"/>
                <w:rtl w:val="true"/>
              </w:rPr>
              <w:t xml:space="preserve">) </w:t>
            </w:r>
            <w:r>
              <w:rPr>
                <w:rStyle w:val="IndexLink"/>
                <w:rtl w:val="true"/>
              </w:rPr>
              <w:t>چند نکته دربارۀ روایات</w:t>
            </w:r>
            <w:r>
              <w:rPr>
                <w:rStyle w:val="IndexLink"/>
                <w:rtl w:val="true"/>
              </w:rPr>
              <w:tab/>
            </w:r>
            <w:r>
              <w:rPr>
                <w:rStyle w:val="IndexLink"/>
              </w:rPr>
              <w:t>427</w:t>
            </w:r>
          </w:hyperlink>
        </w:p>
        <w:p>
          <w:pPr>
            <w:pStyle w:val="Contents6"/>
            <w:tabs>
              <w:tab w:val="clear" w:pos="7609"/>
              <w:tab w:val="right" w:pos="9026" w:leader="dot"/>
            </w:tabs>
            <w:rPr/>
          </w:pPr>
          <w:hyperlink w:anchor="__RefHeading___Toc2531375_1468164448">
            <w:r>
              <w:rPr>
                <w:webHidden/>
                <w:rStyle w:val="IndexLink"/>
                <w:rtl w:val="true"/>
              </w:rPr>
              <w:t>د</w:t>
            </w:r>
            <w:r>
              <w:rPr>
                <w:rStyle w:val="IndexLink"/>
                <w:rtl w:val="true"/>
              </w:rPr>
              <w:t xml:space="preserve">) </w:t>
            </w:r>
            <w:r>
              <w:rPr>
                <w:rStyle w:val="IndexLink"/>
                <w:rtl w:val="true"/>
              </w:rPr>
              <w:t>دیدگاه امام خمینی</w:t>
            </w:r>
            <w:r>
              <w:rPr>
                <w:rStyle w:val="IndexLink"/>
                <w:rtl w:val="true"/>
              </w:rPr>
              <w:tab/>
            </w:r>
            <w:r>
              <w:rPr>
                <w:rStyle w:val="IndexLink"/>
              </w:rPr>
              <w:t>427</w:t>
            </w:r>
          </w:hyperlink>
        </w:p>
        <w:p>
          <w:pPr>
            <w:pStyle w:val="Contents6"/>
            <w:tabs>
              <w:tab w:val="clear" w:pos="7609"/>
              <w:tab w:val="right" w:pos="9026" w:leader="dot"/>
            </w:tabs>
            <w:rPr/>
          </w:pPr>
          <w:hyperlink w:anchor="__RefHeading___Toc2531377_1468164448">
            <w:r>
              <w:rPr>
                <w:webHidden/>
                <w:rStyle w:val="IndexLink"/>
                <w:rtl w:val="true"/>
              </w:rPr>
              <w:t>ه</w:t>
            </w:r>
            <w:r>
              <w:rPr>
                <w:rStyle w:val="IndexLink"/>
                <w:rtl w:val="true"/>
              </w:rPr>
              <w:t xml:space="preserve">) </w:t>
            </w:r>
            <w:r>
              <w:rPr>
                <w:rStyle w:val="IndexLink"/>
                <w:rtl w:val="true"/>
              </w:rPr>
              <w:t>بررسی و نقد دیدگاه امام خمینی</w:t>
            </w:r>
            <w:r>
              <w:rPr>
                <w:rStyle w:val="IndexLink"/>
                <w:rtl w:val="true"/>
              </w:rPr>
              <w:tab/>
            </w:r>
            <w:r>
              <w:rPr>
                <w:rStyle w:val="IndexLink"/>
              </w:rPr>
              <w:t>435</w:t>
            </w:r>
          </w:hyperlink>
        </w:p>
        <w:p>
          <w:pPr>
            <w:pStyle w:val="Contents4"/>
            <w:tabs>
              <w:tab w:val="clear" w:pos="8176"/>
              <w:tab w:val="right" w:pos="9026" w:leader="dot"/>
            </w:tabs>
            <w:rPr/>
          </w:pPr>
          <w:hyperlink w:anchor="__RefHeading___Toc2531379_1468164448">
            <w:r>
              <w:rPr>
                <w:webHidden/>
                <w:rStyle w:val="IndexLink"/>
                <w:rtl w:val="true"/>
              </w:rPr>
              <w:t>گفتار دوم</w:t>
            </w:r>
            <w:r>
              <w:rPr>
                <w:rStyle w:val="IndexLink"/>
                <w:rtl w:val="true"/>
              </w:rPr>
              <w:t xml:space="preserve">: </w:t>
            </w:r>
            <w:r>
              <w:rPr>
                <w:rStyle w:val="IndexLink"/>
                <w:rtl w:val="true"/>
              </w:rPr>
              <w:t>معاملۀ خوک</w:t>
            </w:r>
            <w:r>
              <w:rPr>
                <w:rStyle w:val="IndexLink"/>
                <w:rtl w:val="true"/>
              </w:rPr>
              <w:tab/>
            </w:r>
            <w:r>
              <w:rPr>
                <w:rStyle w:val="IndexLink"/>
              </w:rPr>
              <w:t>442</w:t>
            </w:r>
          </w:hyperlink>
        </w:p>
        <w:p>
          <w:pPr>
            <w:pStyle w:val="Contents5"/>
            <w:tabs>
              <w:tab w:val="clear" w:pos="7892"/>
              <w:tab w:val="right" w:pos="9026" w:leader="dot"/>
            </w:tabs>
            <w:rPr/>
          </w:pPr>
          <w:hyperlink w:anchor="__RefHeading___Toc2531381_1468164448">
            <w:r>
              <w:rPr>
                <w:webHidden/>
                <w:rStyle w:val="IndexLink"/>
                <w:rtl w:val="true"/>
              </w:rPr>
              <w:t>اشارة</w:t>
            </w:r>
            <w:r>
              <w:rPr>
                <w:rStyle w:val="IndexLink"/>
                <w:rtl w:val="true"/>
              </w:rPr>
              <w:tab/>
            </w:r>
            <w:r>
              <w:rPr>
                <w:rStyle w:val="IndexLink"/>
              </w:rPr>
              <w:t>442</w:t>
            </w:r>
          </w:hyperlink>
        </w:p>
        <w:p>
          <w:pPr>
            <w:pStyle w:val="Contents5"/>
            <w:tabs>
              <w:tab w:val="clear" w:pos="7892"/>
              <w:tab w:val="right" w:pos="9026" w:leader="dot"/>
            </w:tabs>
            <w:rPr/>
          </w:pPr>
          <w:hyperlink w:anchor="__RefHeading___Toc2531383_1468164448">
            <w:r>
              <w:rPr>
                <w:webHidden/>
                <w:rStyle w:val="IndexLink"/>
                <w:rtl w:val="true"/>
              </w:rPr>
              <w:t>بند اوّل</w:t>
            </w:r>
            <w:r>
              <w:rPr>
                <w:rStyle w:val="IndexLink"/>
                <w:rtl w:val="true"/>
              </w:rPr>
              <w:t xml:space="preserve">: </w:t>
            </w:r>
            <w:r>
              <w:rPr>
                <w:rStyle w:val="IndexLink"/>
                <w:rtl w:val="true"/>
              </w:rPr>
              <w:t>حکم معاملۀ خوک</w:t>
            </w:r>
            <w:r>
              <w:rPr>
                <w:rStyle w:val="IndexLink"/>
                <w:rtl w:val="true"/>
              </w:rPr>
              <w:tab/>
            </w:r>
            <w:r>
              <w:rPr>
                <w:rStyle w:val="IndexLink"/>
              </w:rPr>
              <w:t>442</w:t>
            </w:r>
          </w:hyperlink>
        </w:p>
        <w:p>
          <w:pPr>
            <w:pStyle w:val="Contents6"/>
            <w:tabs>
              <w:tab w:val="clear" w:pos="7609"/>
              <w:tab w:val="right" w:pos="9026" w:leader="dot"/>
            </w:tabs>
            <w:rPr/>
          </w:pPr>
          <w:hyperlink w:anchor="__RefHeading___Toc2531385_1468164448">
            <w:r>
              <w:rPr>
                <w:webHidden/>
                <w:rStyle w:val="IndexLink"/>
                <w:rtl w:val="true"/>
              </w:rPr>
              <w:t>اشارة</w:t>
            </w:r>
            <w:r>
              <w:rPr>
                <w:rStyle w:val="IndexLink"/>
                <w:rtl w:val="true"/>
              </w:rPr>
              <w:tab/>
            </w:r>
            <w:r>
              <w:rPr>
                <w:rStyle w:val="IndexLink"/>
              </w:rPr>
              <w:t>442</w:t>
            </w:r>
          </w:hyperlink>
        </w:p>
        <w:p>
          <w:pPr>
            <w:pStyle w:val="Contents6"/>
            <w:tabs>
              <w:tab w:val="clear" w:pos="7609"/>
              <w:tab w:val="right" w:pos="9026" w:leader="dot"/>
            </w:tabs>
            <w:rPr/>
          </w:pPr>
          <w:hyperlink w:anchor="__RefHeading___Toc2531387_1468164448">
            <w:r>
              <w:rPr>
                <w:webHidden/>
                <w:rStyle w:val="IndexLink"/>
                <w:rtl w:val="true"/>
              </w:rPr>
              <w:t>الف</w:t>
            </w:r>
            <w:r>
              <w:rPr>
                <w:rStyle w:val="IndexLink"/>
                <w:rtl w:val="true"/>
              </w:rPr>
              <w:t xml:space="preserve">) </w:t>
            </w:r>
            <w:r>
              <w:rPr>
                <w:rStyle w:val="IndexLink"/>
                <w:rtl w:val="true"/>
              </w:rPr>
              <w:t>عبارات فقها</w:t>
            </w:r>
            <w:r>
              <w:rPr>
                <w:rStyle w:val="IndexLink"/>
                <w:rtl w:val="true"/>
              </w:rPr>
              <w:tab/>
            </w:r>
            <w:r>
              <w:rPr>
                <w:rStyle w:val="IndexLink"/>
              </w:rPr>
              <w:t>442</w:t>
            </w:r>
          </w:hyperlink>
        </w:p>
        <w:p>
          <w:pPr>
            <w:pStyle w:val="Contents6"/>
            <w:tabs>
              <w:tab w:val="clear" w:pos="7609"/>
              <w:tab w:val="right" w:pos="9026" w:leader="dot"/>
            </w:tabs>
            <w:rPr/>
          </w:pPr>
          <w:hyperlink w:anchor="__RefHeading___Toc2531389_1468164448">
            <w:r>
              <w:rPr>
                <w:webHidden/>
                <w:rStyle w:val="IndexLink"/>
                <w:rtl w:val="true"/>
              </w:rPr>
              <w:t>ب</w:t>
            </w:r>
            <w:r>
              <w:rPr>
                <w:rStyle w:val="IndexLink"/>
                <w:rtl w:val="true"/>
              </w:rPr>
              <w:t xml:space="preserve">) </w:t>
            </w:r>
            <w:r>
              <w:rPr>
                <w:rStyle w:val="IndexLink"/>
                <w:rtl w:val="true"/>
              </w:rPr>
              <w:t>بررسی روایات</w:t>
            </w:r>
            <w:r>
              <w:rPr>
                <w:rStyle w:val="IndexLink"/>
                <w:rtl w:val="true"/>
              </w:rPr>
              <w:tab/>
            </w:r>
            <w:r>
              <w:rPr>
                <w:rStyle w:val="IndexLink"/>
              </w:rPr>
              <w:t>445</w:t>
            </w:r>
          </w:hyperlink>
        </w:p>
        <w:p>
          <w:pPr>
            <w:pStyle w:val="Contents6"/>
            <w:tabs>
              <w:tab w:val="clear" w:pos="7609"/>
              <w:tab w:val="right" w:pos="9026" w:leader="dot"/>
            </w:tabs>
            <w:rPr/>
          </w:pPr>
          <w:hyperlink w:anchor="__RefHeading___Toc2531391_1468164448">
            <w:r>
              <w:rPr>
                <w:webHidden/>
                <w:rStyle w:val="IndexLink"/>
              </w:rPr>
              <w:t>1</w:t>
            </w:r>
            <w:r>
              <w:rPr>
                <w:rStyle w:val="IndexLink"/>
                <w:rtl w:val="true"/>
              </w:rPr>
              <w:t xml:space="preserve">- </w:t>
            </w:r>
            <w:r>
              <w:rPr>
                <w:rStyle w:val="IndexLink"/>
                <w:rtl w:val="true"/>
              </w:rPr>
              <w:t>دستۀ اوّل روایات</w:t>
            </w:r>
            <w:r>
              <w:rPr>
                <w:rStyle w:val="IndexLink"/>
                <w:rtl w:val="true"/>
              </w:rPr>
              <w:tab/>
            </w:r>
            <w:r>
              <w:rPr>
                <w:rStyle w:val="IndexLink"/>
              </w:rPr>
              <w:t>445</w:t>
            </w:r>
          </w:hyperlink>
        </w:p>
        <w:p>
          <w:pPr>
            <w:pStyle w:val="Contents6"/>
            <w:tabs>
              <w:tab w:val="clear" w:pos="7609"/>
              <w:tab w:val="right" w:pos="9026" w:leader="dot"/>
            </w:tabs>
            <w:rPr/>
          </w:pPr>
          <w:hyperlink w:anchor="__RefHeading___Toc2531393_1468164448">
            <w:r>
              <w:rPr>
                <w:webHidden/>
                <w:rStyle w:val="IndexLink"/>
              </w:rPr>
              <w:t>2</w:t>
            </w:r>
            <w:r>
              <w:rPr>
                <w:rStyle w:val="IndexLink"/>
                <w:rtl w:val="true"/>
              </w:rPr>
              <w:t xml:space="preserve">- </w:t>
            </w:r>
            <w:r>
              <w:rPr>
                <w:rStyle w:val="IndexLink"/>
                <w:rtl w:val="true"/>
              </w:rPr>
              <w:t>دستۀ دوم روایات</w:t>
            </w:r>
            <w:r>
              <w:rPr>
                <w:rStyle w:val="IndexLink"/>
                <w:rtl w:val="true"/>
              </w:rPr>
              <w:tab/>
            </w:r>
            <w:r>
              <w:rPr>
                <w:rStyle w:val="IndexLink"/>
              </w:rPr>
              <w:t>446</w:t>
            </w:r>
          </w:hyperlink>
        </w:p>
        <w:p>
          <w:pPr>
            <w:pStyle w:val="Contents6"/>
            <w:tabs>
              <w:tab w:val="clear" w:pos="7609"/>
              <w:tab w:val="right" w:pos="9026" w:leader="dot"/>
            </w:tabs>
            <w:rPr/>
          </w:pPr>
          <w:hyperlink w:anchor="__RefHeading___Toc2531395_1468164448">
            <w:r>
              <w:rPr>
                <w:webHidden/>
                <w:rStyle w:val="IndexLink"/>
              </w:rPr>
              <w:t>3</w:t>
            </w:r>
            <w:r>
              <w:rPr>
                <w:rStyle w:val="IndexLink"/>
                <w:rtl w:val="true"/>
              </w:rPr>
              <w:t xml:space="preserve">- </w:t>
            </w:r>
            <w:r>
              <w:rPr>
                <w:rStyle w:val="IndexLink"/>
                <w:rtl w:val="true"/>
              </w:rPr>
              <w:t>دستۀ سوم روایات</w:t>
            </w:r>
            <w:r>
              <w:rPr>
                <w:rStyle w:val="IndexLink"/>
                <w:rtl w:val="true"/>
              </w:rPr>
              <w:tab/>
            </w:r>
            <w:r>
              <w:rPr>
                <w:rStyle w:val="IndexLink"/>
              </w:rPr>
              <w:t>449</w:t>
            </w:r>
          </w:hyperlink>
        </w:p>
        <w:p>
          <w:pPr>
            <w:pStyle w:val="Contents6"/>
            <w:tabs>
              <w:tab w:val="clear" w:pos="7609"/>
              <w:tab w:val="right" w:pos="9026" w:leader="dot"/>
            </w:tabs>
            <w:rPr/>
          </w:pPr>
          <w:hyperlink w:anchor="__RefHeading___Toc2531397_1468164448">
            <w:r>
              <w:rPr>
                <w:webHidden/>
                <w:rStyle w:val="IndexLink"/>
              </w:rPr>
              <w:t>4</w:t>
            </w:r>
            <w:r>
              <w:rPr>
                <w:rStyle w:val="IndexLink"/>
                <w:rtl w:val="true"/>
              </w:rPr>
              <w:t xml:space="preserve">- </w:t>
            </w:r>
            <w:r>
              <w:rPr>
                <w:rStyle w:val="IndexLink"/>
                <w:rtl w:val="true"/>
              </w:rPr>
              <w:t>جمع میان روایات</w:t>
            </w:r>
            <w:r>
              <w:rPr>
                <w:rStyle w:val="IndexLink"/>
                <w:rtl w:val="true"/>
              </w:rPr>
              <w:tab/>
            </w:r>
            <w:r>
              <w:rPr>
                <w:rStyle w:val="IndexLink"/>
              </w:rPr>
              <w:t>452</w:t>
            </w:r>
          </w:hyperlink>
        </w:p>
        <w:p>
          <w:pPr>
            <w:pStyle w:val="Contents6"/>
            <w:tabs>
              <w:tab w:val="clear" w:pos="7609"/>
              <w:tab w:val="right" w:pos="9026" w:leader="dot"/>
            </w:tabs>
            <w:rPr/>
          </w:pPr>
          <w:hyperlink w:anchor="__RefHeading___Toc2531399_1468164448">
            <w:r>
              <w:rPr>
                <w:webHidden/>
                <w:rStyle w:val="IndexLink"/>
              </w:rPr>
              <w:t>5</w:t>
            </w:r>
            <w:r>
              <w:rPr>
                <w:rStyle w:val="IndexLink"/>
                <w:rtl w:val="true"/>
              </w:rPr>
              <w:t xml:space="preserve">- </w:t>
            </w:r>
            <w:r>
              <w:rPr>
                <w:rStyle w:val="IndexLink"/>
                <w:rtl w:val="true"/>
              </w:rPr>
              <w:t>یادآوری چند نکته</w:t>
            </w:r>
            <w:r>
              <w:rPr>
                <w:rStyle w:val="IndexLink"/>
                <w:rtl w:val="true"/>
              </w:rPr>
              <w:tab/>
            </w:r>
            <w:r>
              <w:rPr>
                <w:rStyle w:val="IndexLink"/>
              </w:rPr>
              <w:t>455</w:t>
            </w:r>
          </w:hyperlink>
        </w:p>
        <w:p>
          <w:pPr>
            <w:pStyle w:val="Contents5"/>
            <w:tabs>
              <w:tab w:val="clear" w:pos="7892"/>
              <w:tab w:val="right" w:pos="9026" w:leader="dot"/>
            </w:tabs>
            <w:rPr/>
          </w:pPr>
          <w:hyperlink w:anchor="__RefHeading___Toc2531401_1468164448">
            <w:r>
              <w:rPr>
                <w:webHidden/>
                <w:rStyle w:val="IndexLink"/>
                <w:rtl w:val="true"/>
              </w:rPr>
              <w:t>بند دوم</w:t>
            </w:r>
            <w:r>
              <w:rPr>
                <w:rStyle w:val="IndexLink"/>
                <w:rtl w:val="true"/>
              </w:rPr>
              <w:t xml:space="preserve">: </w:t>
            </w:r>
            <w:r>
              <w:rPr>
                <w:rStyle w:val="IndexLink"/>
                <w:rtl w:val="true"/>
              </w:rPr>
              <w:t>استفاده از خوک</w:t>
            </w:r>
            <w:r>
              <w:rPr>
                <w:rStyle w:val="IndexLink"/>
                <w:rtl w:val="true"/>
              </w:rPr>
              <w:tab/>
            </w:r>
            <w:r>
              <w:rPr>
                <w:rStyle w:val="IndexLink"/>
              </w:rPr>
              <w:t>458</w:t>
            </w:r>
          </w:hyperlink>
        </w:p>
        <w:p>
          <w:pPr>
            <w:pStyle w:val="Contents5"/>
            <w:tabs>
              <w:tab w:val="clear" w:pos="7892"/>
              <w:tab w:val="right" w:pos="9026" w:leader="dot"/>
            </w:tabs>
            <w:rPr/>
          </w:pPr>
          <w:hyperlink w:anchor="__RefHeading___Toc2531403_1468164448">
            <w:r>
              <w:rPr>
                <w:webHidden/>
                <w:rStyle w:val="IndexLink"/>
                <w:rtl w:val="true"/>
              </w:rPr>
              <w:t>بند سوم</w:t>
            </w:r>
            <w:r>
              <w:rPr>
                <w:rStyle w:val="IndexLink"/>
                <w:rtl w:val="true"/>
              </w:rPr>
              <w:t xml:space="preserve">: </w:t>
            </w:r>
            <w:r>
              <w:rPr>
                <w:rStyle w:val="IndexLink"/>
                <w:rtl w:val="true"/>
              </w:rPr>
              <w:t>استفاده از اجزای خوک</w:t>
            </w:r>
            <w:r>
              <w:rPr>
                <w:rStyle w:val="IndexLink"/>
                <w:rtl w:val="true"/>
              </w:rPr>
              <w:tab/>
            </w:r>
            <w:r>
              <w:rPr>
                <w:rStyle w:val="IndexLink"/>
              </w:rPr>
              <w:t>458</w:t>
            </w:r>
          </w:hyperlink>
        </w:p>
        <w:p>
          <w:pPr>
            <w:pStyle w:val="Contents6"/>
            <w:tabs>
              <w:tab w:val="clear" w:pos="7609"/>
              <w:tab w:val="right" w:pos="9026" w:leader="dot"/>
            </w:tabs>
            <w:rPr/>
          </w:pPr>
          <w:hyperlink w:anchor="__RefHeading___Toc2531405_1468164448">
            <w:r>
              <w:rPr>
                <w:webHidden/>
                <w:rStyle w:val="IndexLink"/>
                <w:rtl w:val="true"/>
              </w:rPr>
              <w:t>اشارة</w:t>
            </w:r>
            <w:r>
              <w:rPr>
                <w:rStyle w:val="IndexLink"/>
                <w:rtl w:val="true"/>
              </w:rPr>
              <w:tab/>
            </w:r>
            <w:r>
              <w:rPr>
                <w:rStyle w:val="IndexLink"/>
              </w:rPr>
              <w:t>458</w:t>
            </w:r>
          </w:hyperlink>
        </w:p>
        <w:p>
          <w:pPr>
            <w:pStyle w:val="Contents6"/>
            <w:tabs>
              <w:tab w:val="clear" w:pos="7609"/>
              <w:tab w:val="right" w:pos="9026" w:leader="dot"/>
            </w:tabs>
            <w:rPr/>
          </w:pPr>
          <w:hyperlink w:anchor="__RefHeading___Toc2531407_1468164448">
            <w:r>
              <w:rPr>
                <w:webHidden/>
                <w:rStyle w:val="IndexLink"/>
                <w:rtl w:val="true"/>
              </w:rPr>
              <w:t>الف</w:t>
            </w:r>
            <w:r>
              <w:rPr>
                <w:rStyle w:val="IndexLink"/>
                <w:rtl w:val="true"/>
              </w:rPr>
              <w:t xml:space="preserve">) </w:t>
            </w:r>
            <w:r>
              <w:rPr>
                <w:rStyle w:val="IndexLink"/>
                <w:rtl w:val="true"/>
              </w:rPr>
              <w:t>دیدگاه فقها</w:t>
            </w:r>
            <w:r>
              <w:rPr>
                <w:rStyle w:val="IndexLink"/>
                <w:rtl w:val="true"/>
              </w:rPr>
              <w:tab/>
            </w:r>
            <w:r>
              <w:rPr>
                <w:rStyle w:val="IndexLink"/>
              </w:rPr>
              <w:t>459</w:t>
            </w:r>
          </w:hyperlink>
        </w:p>
        <w:p>
          <w:pPr>
            <w:pStyle w:val="Contents6"/>
            <w:tabs>
              <w:tab w:val="clear" w:pos="7609"/>
              <w:tab w:val="right" w:pos="9026" w:leader="dot"/>
            </w:tabs>
            <w:rPr/>
          </w:pPr>
          <w:hyperlink w:anchor="__RefHeading___Toc2531409_1468164448">
            <w:r>
              <w:rPr>
                <w:webHidden/>
                <w:rStyle w:val="IndexLink"/>
                <w:rtl w:val="true"/>
              </w:rPr>
              <w:t>ب</w:t>
            </w:r>
            <w:r>
              <w:rPr>
                <w:rStyle w:val="IndexLink"/>
                <w:rtl w:val="true"/>
              </w:rPr>
              <w:t xml:space="preserve">) </w:t>
            </w:r>
            <w:r>
              <w:rPr>
                <w:rStyle w:val="IndexLink"/>
                <w:rtl w:val="true"/>
              </w:rPr>
              <w:t>بررسی روایات</w:t>
            </w:r>
            <w:r>
              <w:rPr>
                <w:rStyle w:val="IndexLink"/>
                <w:rtl w:val="true"/>
              </w:rPr>
              <w:tab/>
            </w:r>
            <w:r>
              <w:rPr>
                <w:rStyle w:val="IndexLink"/>
              </w:rPr>
              <w:t>461</w:t>
            </w:r>
          </w:hyperlink>
        </w:p>
        <w:p>
          <w:pPr>
            <w:pStyle w:val="Contents6"/>
            <w:tabs>
              <w:tab w:val="clear" w:pos="7609"/>
              <w:tab w:val="right" w:pos="9026" w:leader="dot"/>
            </w:tabs>
            <w:rPr/>
          </w:pPr>
          <w:hyperlink w:anchor="__RefHeading___Toc2531411_1468164448">
            <w:r>
              <w:rPr>
                <w:webHidden/>
                <w:rStyle w:val="IndexLink"/>
                <w:rtl w:val="true"/>
              </w:rPr>
              <w:t>ج</w:t>
            </w:r>
            <w:r>
              <w:rPr>
                <w:rStyle w:val="IndexLink"/>
                <w:rtl w:val="true"/>
              </w:rPr>
              <w:t xml:space="preserve">) </w:t>
            </w:r>
            <w:r>
              <w:rPr>
                <w:rStyle w:val="IndexLink"/>
                <w:rtl w:val="true"/>
              </w:rPr>
              <w:t>دیدگاه برگزیده</w:t>
            </w:r>
            <w:r>
              <w:rPr>
                <w:rStyle w:val="IndexLink"/>
                <w:rtl w:val="true"/>
              </w:rPr>
              <w:tab/>
            </w:r>
            <w:r>
              <w:rPr>
                <w:rStyle w:val="IndexLink"/>
              </w:rPr>
              <w:t>465</w:t>
            </w:r>
          </w:hyperlink>
        </w:p>
        <w:p>
          <w:pPr>
            <w:pStyle w:val="Contents3"/>
            <w:tabs>
              <w:tab w:val="clear" w:pos="8459"/>
              <w:tab w:val="right" w:pos="9026" w:leader="dot"/>
            </w:tabs>
            <w:rPr/>
          </w:pPr>
          <w:hyperlink w:anchor="__RefHeading___Toc2531413_1468164448">
            <w:r>
              <w:rPr>
                <w:webHidden/>
                <w:rStyle w:val="IndexLink"/>
                <w:rtl w:val="true"/>
              </w:rPr>
              <w:t>فصل هشتم</w:t>
            </w:r>
            <w:r>
              <w:rPr>
                <w:rStyle w:val="IndexLink"/>
                <w:rtl w:val="true"/>
              </w:rPr>
              <w:t xml:space="preserve">: </w:t>
            </w:r>
            <w:r>
              <w:rPr>
                <w:rStyle w:val="IndexLink"/>
                <w:rtl w:val="true"/>
              </w:rPr>
              <w:t>کسب درآمد به وسیلۀ خمر</w:t>
            </w:r>
            <w:r>
              <w:rPr>
                <w:rStyle w:val="IndexLink"/>
                <w:rtl w:val="true"/>
              </w:rPr>
              <w:tab/>
            </w:r>
            <w:r>
              <w:rPr>
                <w:rStyle w:val="IndexLink"/>
              </w:rPr>
              <w:t>469</w:t>
            </w:r>
          </w:hyperlink>
        </w:p>
        <w:p>
          <w:pPr>
            <w:pStyle w:val="Contents4"/>
            <w:tabs>
              <w:tab w:val="clear" w:pos="8176"/>
              <w:tab w:val="right" w:pos="9026" w:leader="dot"/>
            </w:tabs>
            <w:rPr/>
          </w:pPr>
          <w:hyperlink w:anchor="__RefHeading___Toc2531415_1468164448">
            <w:r>
              <w:rPr>
                <w:webHidden/>
                <w:rStyle w:val="IndexLink"/>
                <w:rtl w:val="true"/>
              </w:rPr>
              <w:t>اشارة</w:t>
            </w:r>
            <w:r>
              <w:rPr>
                <w:rStyle w:val="IndexLink"/>
                <w:rtl w:val="true"/>
              </w:rPr>
              <w:tab/>
            </w:r>
            <w:r>
              <w:rPr>
                <w:rStyle w:val="IndexLink"/>
              </w:rPr>
              <w:t>469</w:t>
            </w:r>
          </w:hyperlink>
        </w:p>
        <w:p>
          <w:pPr>
            <w:pStyle w:val="Contents4"/>
            <w:tabs>
              <w:tab w:val="clear" w:pos="8176"/>
              <w:tab w:val="right" w:pos="9026" w:leader="dot"/>
            </w:tabs>
            <w:rPr/>
          </w:pPr>
          <w:hyperlink w:anchor="__RefHeading___Toc2531417_1468164448">
            <w:r>
              <w:rPr>
                <w:webHidden/>
                <w:rStyle w:val="IndexLink"/>
                <w:rtl w:val="true"/>
              </w:rPr>
              <w:t>گفتار نخست</w:t>
            </w:r>
            <w:r>
              <w:rPr>
                <w:rStyle w:val="IndexLink"/>
                <w:rtl w:val="true"/>
              </w:rPr>
              <w:t xml:space="preserve">: </w:t>
            </w:r>
            <w:r>
              <w:rPr>
                <w:rStyle w:val="IndexLink"/>
                <w:rtl w:val="true"/>
              </w:rPr>
              <w:t>مفهوم‌شناسی</w:t>
            </w:r>
            <w:r>
              <w:rPr>
                <w:rStyle w:val="IndexLink"/>
                <w:rtl w:val="true"/>
              </w:rPr>
              <w:tab/>
            </w:r>
            <w:r>
              <w:rPr>
                <w:rStyle w:val="IndexLink"/>
              </w:rPr>
              <w:t>470</w:t>
            </w:r>
          </w:hyperlink>
        </w:p>
        <w:p>
          <w:pPr>
            <w:pStyle w:val="Contents5"/>
            <w:tabs>
              <w:tab w:val="clear" w:pos="7892"/>
              <w:tab w:val="right" w:pos="9026" w:leader="dot"/>
            </w:tabs>
            <w:rPr/>
          </w:pPr>
          <w:hyperlink w:anchor="__RefHeading___Toc2531419_1468164448">
            <w:r>
              <w:rPr>
                <w:webHidden/>
                <w:rStyle w:val="IndexLink"/>
                <w:rtl w:val="true"/>
              </w:rPr>
              <w:t>اشارة</w:t>
            </w:r>
            <w:r>
              <w:rPr>
                <w:rStyle w:val="IndexLink"/>
                <w:rtl w:val="true"/>
              </w:rPr>
              <w:tab/>
            </w:r>
            <w:r>
              <w:rPr>
                <w:rStyle w:val="IndexLink"/>
              </w:rPr>
              <w:t>470</w:t>
            </w:r>
          </w:hyperlink>
        </w:p>
        <w:p>
          <w:pPr>
            <w:pStyle w:val="Contents5"/>
            <w:tabs>
              <w:tab w:val="clear" w:pos="7892"/>
              <w:tab w:val="right" w:pos="9026" w:leader="dot"/>
            </w:tabs>
            <w:rPr/>
          </w:pPr>
          <w:hyperlink w:anchor="__RefHeading___Toc2531421_1468164448">
            <w:r>
              <w:rPr>
                <w:webHidden/>
                <w:rStyle w:val="IndexLink"/>
                <w:rtl w:val="true"/>
              </w:rPr>
              <w:t>بند نخست</w:t>
            </w:r>
            <w:r>
              <w:rPr>
                <w:rStyle w:val="IndexLink"/>
                <w:rtl w:val="true"/>
              </w:rPr>
              <w:t xml:space="preserve">: </w:t>
            </w:r>
            <w:r>
              <w:rPr>
                <w:rStyle w:val="IndexLink"/>
                <w:rtl w:val="true"/>
              </w:rPr>
              <w:t>مراد از خمر در لغت و روایات</w:t>
            </w:r>
            <w:r>
              <w:rPr>
                <w:rStyle w:val="IndexLink"/>
                <w:rtl w:val="true"/>
              </w:rPr>
              <w:tab/>
            </w:r>
            <w:r>
              <w:rPr>
                <w:rStyle w:val="IndexLink"/>
              </w:rPr>
              <w:t>470</w:t>
            </w:r>
          </w:hyperlink>
        </w:p>
        <w:p>
          <w:pPr>
            <w:pStyle w:val="Contents6"/>
            <w:tabs>
              <w:tab w:val="clear" w:pos="7609"/>
              <w:tab w:val="right" w:pos="9026" w:leader="dot"/>
            </w:tabs>
            <w:rPr/>
          </w:pPr>
          <w:hyperlink w:anchor="__RefHeading___Toc2531423_1468164448">
            <w:r>
              <w:rPr>
                <w:webHidden/>
                <w:rStyle w:val="IndexLink"/>
                <w:rtl w:val="true"/>
              </w:rPr>
              <w:t>اشارة</w:t>
            </w:r>
            <w:r>
              <w:rPr>
                <w:rStyle w:val="IndexLink"/>
                <w:rtl w:val="true"/>
              </w:rPr>
              <w:tab/>
            </w:r>
            <w:r>
              <w:rPr>
                <w:rStyle w:val="IndexLink"/>
              </w:rPr>
              <w:t>470</w:t>
            </w:r>
          </w:hyperlink>
        </w:p>
        <w:p>
          <w:pPr>
            <w:pStyle w:val="Contents6"/>
            <w:tabs>
              <w:tab w:val="clear" w:pos="7609"/>
              <w:tab w:val="right" w:pos="9026" w:leader="dot"/>
            </w:tabs>
            <w:rPr/>
          </w:pPr>
          <w:hyperlink w:anchor="__RefHeading___Toc2531425_1468164448">
            <w:r>
              <w:rPr>
                <w:webHidden/>
                <w:rStyle w:val="IndexLink"/>
                <w:rtl w:val="true"/>
              </w:rPr>
              <w:t>الف</w:t>
            </w:r>
            <w:r>
              <w:rPr>
                <w:rStyle w:val="IndexLink"/>
                <w:rtl w:val="true"/>
              </w:rPr>
              <w:t xml:space="preserve">) </w:t>
            </w:r>
            <w:r>
              <w:rPr>
                <w:rStyle w:val="IndexLink"/>
                <w:rtl w:val="true"/>
              </w:rPr>
              <w:t>خمر در لغت</w:t>
            </w:r>
            <w:r>
              <w:rPr>
                <w:rStyle w:val="IndexLink"/>
                <w:rtl w:val="true"/>
              </w:rPr>
              <w:tab/>
            </w:r>
            <w:r>
              <w:rPr>
                <w:rStyle w:val="IndexLink"/>
              </w:rPr>
              <w:t>470</w:t>
            </w:r>
          </w:hyperlink>
        </w:p>
        <w:p>
          <w:pPr>
            <w:pStyle w:val="Contents6"/>
            <w:tabs>
              <w:tab w:val="clear" w:pos="7609"/>
              <w:tab w:val="right" w:pos="9026" w:leader="dot"/>
            </w:tabs>
            <w:rPr/>
          </w:pPr>
          <w:hyperlink w:anchor="__RefHeading___Toc2531427_1468164448">
            <w:r>
              <w:rPr>
                <w:webHidden/>
                <w:rStyle w:val="IndexLink"/>
                <w:rtl w:val="true"/>
              </w:rPr>
              <w:t>ب</w:t>
            </w:r>
            <w:r>
              <w:rPr>
                <w:rStyle w:val="IndexLink"/>
                <w:rtl w:val="true"/>
              </w:rPr>
              <w:t xml:space="preserve">) </w:t>
            </w:r>
            <w:r>
              <w:rPr>
                <w:rStyle w:val="IndexLink"/>
                <w:rtl w:val="true"/>
              </w:rPr>
              <w:t>خمر در روایات</w:t>
            </w:r>
            <w:r>
              <w:rPr>
                <w:rStyle w:val="IndexLink"/>
                <w:rtl w:val="true"/>
              </w:rPr>
              <w:tab/>
            </w:r>
            <w:r>
              <w:rPr>
                <w:rStyle w:val="IndexLink"/>
              </w:rPr>
              <w:t>471</w:t>
            </w:r>
          </w:hyperlink>
        </w:p>
        <w:p>
          <w:pPr>
            <w:pStyle w:val="Contents6"/>
            <w:tabs>
              <w:tab w:val="clear" w:pos="7609"/>
              <w:tab w:val="right" w:pos="9026" w:leader="dot"/>
            </w:tabs>
            <w:rPr/>
          </w:pPr>
          <w:hyperlink w:anchor="__RefHeading___Toc2531429_1468164448">
            <w:r>
              <w:rPr>
                <w:webHidden/>
                <w:rStyle w:val="IndexLink"/>
                <w:rtl w:val="true"/>
              </w:rPr>
              <w:t>ج</w:t>
            </w:r>
            <w:r>
              <w:rPr>
                <w:rStyle w:val="IndexLink"/>
                <w:rtl w:val="true"/>
              </w:rPr>
              <w:t xml:space="preserve">) </w:t>
            </w:r>
            <w:r>
              <w:rPr>
                <w:rStyle w:val="IndexLink"/>
                <w:rtl w:val="true"/>
              </w:rPr>
              <w:t xml:space="preserve">عدم انصراف </w:t>
            </w:r>
            <w:r>
              <w:rPr>
                <w:rStyle w:val="IndexLink"/>
                <w:rtl w:val="true"/>
              </w:rPr>
              <w:t>«</w:t>
            </w:r>
            <w:r>
              <w:rPr>
                <w:rStyle w:val="IndexLink"/>
                <w:rtl w:val="true"/>
              </w:rPr>
              <w:t>خمر</w:t>
            </w:r>
            <w:r>
              <w:rPr>
                <w:rStyle w:val="IndexLink"/>
                <w:rtl w:val="true"/>
              </w:rPr>
              <w:t xml:space="preserve">» </w:t>
            </w:r>
            <w:r>
              <w:rPr>
                <w:rStyle w:val="IndexLink"/>
                <w:rtl w:val="true"/>
              </w:rPr>
              <w:t>در قرآن به معنای متعارف</w:t>
            </w:r>
            <w:r>
              <w:rPr>
                <w:rStyle w:val="IndexLink"/>
                <w:rtl w:val="true"/>
              </w:rPr>
              <w:tab/>
            </w:r>
            <w:r>
              <w:rPr>
                <w:rStyle w:val="IndexLink"/>
              </w:rPr>
              <w:t>474</w:t>
            </w:r>
          </w:hyperlink>
        </w:p>
        <w:p>
          <w:pPr>
            <w:pStyle w:val="Contents5"/>
            <w:tabs>
              <w:tab w:val="clear" w:pos="7892"/>
              <w:tab w:val="right" w:pos="9026" w:leader="dot"/>
            </w:tabs>
            <w:rPr/>
          </w:pPr>
          <w:hyperlink w:anchor="__RefHeading___Toc2531431_1468164448">
            <w:r>
              <w:rPr>
                <w:webHidden/>
                <w:rStyle w:val="IndexLink"/>
                <w:rtl w:val="true"/>
              </w:rPr>
              <w:t>بند دوم</w:t>
            </w:r>
            <w:r>
              <w:rPr>
                <w:rStyle w:val="IndexLink"/>
                <w:rtl w:val="true"/>
              </w:rPr>
              <w:t xml:space="preserve">: </w:t>
            </w:r>
            <w:r>
              <w:rPr>
                <w:rStyle w:val="IndexLink"/>
                <w:rtl w:val="true"/>
              </w:rPr>
              <w:t>مراد از تکسّب</w:t>
            </w:r>
            <w:r>
              <w:rPr>
                <w:rStyle w:val="IndexLink"/>
                <w:rtl w:val="true"/>
              </w:rPr>
              <w:tab/>
            </w:r>
            <w:r>
              <w:rPr>
                <w:rStyle w:val="IndexLink"/>
              </w:rPr>
              <w:t>475</w:t>
            </w:r>
          </w:hyperlink>
        </w:p>
        <w:p>
          <w:pPr>
            <w:pStyle w:val="Contents4"/>
            <w:tabs>
              <w:tab w:val="clear" w:pos="8176"/>
              <w:tab w:val="right" w:pos="9026" w:leader="dot"/>
            </w:tabs>
            <w:rPr/>
          </w:pPr>
          <w:hyperlink w:anchor="__RefHeading___Toc2531433_1468164448">
            <w:r>
              <w:rPr>
                <w:webHidden/>
                <w:rStyle w:val="IndexLink"/>
                <w:rtl w:val="true"/>
              </w:rPr>
              <w:t>گفتار دوم</w:t>
            </w:r>
            <w:r>
              <w:rPr>
                <w:rStyle w:val="IndexLink"/>
                <w:rtl w:val="true"/>
              </w:rPr>
              <w:t xml:space="preserve">: </w:t>
            </w:r>
            <w:r>
              <w:rPr>
                <w:rStyle w:val="IndexLink"/>
                <w:rtl w:val="true"/>
              </w:rPr>
              <w:t>دلایل حرمت تکسّب به خمر</w:t>
            </w:r>
            <w:r>
              <w:rPr>
                <w:rStyle w:val="IndexLink"/>
                <w:rtl w:val="true"/>
              </w:rPr>
              <w:tab/>
            </w:r>
            <w:r>
              <w:rPr>
                <w:rStyle w:val="IndexLink"/>
              </w:rPr>
              <w:t>475</w:t>
            </w:r>
          </w:hyperlink>
        </w:p>
        <w:p>
          <w:pPr>
            <w:pStyle w:val="Contents5"/>
            <w:tabs>
              <w:tab w:val="clear" w:pos="7892"/>
              <w:tab w:val="right" w:pos="9026" w:leader="dot"/>
            </w:tabs>
            <w:rPr/>
          </w:pPr>
          <w:hyperlink w:anchor="__RefHeading___Toc2531435_1468164448">
            <w:r>
              <w:rPr>
                <w:webHidden/>
                <w:rStyle w:val="IndexLink"/>
                <w:rtl w:val="true"/>
              </w:rPr>
              <w:t>بند نخست</w:t>
            </w:r>
            <w:r>
              <w:rPr>
                <w:rStyle w:val="IndexLink"/>
                <w:rtl w:val="true"/>
              </w:rPr>
              <w:t xml:space="preserve">: </w:t>
            </w:r>
            <w:r>
              <w:rPr>
                <w:rStyle w:val="IndexLink"/>
                <w:rtl w:val="true"/>
              </w:rPr>
              <w:t>بررسی آیات</w:t>
            </w:r>
            <w:r>
              <w:rPr>
                <w:rStyle w:val="IndexLink"/>
                <w:rtl w:val="true"/>
              </w:rPr>
              <w:tab/>
            </w:r>
            <w:r>
              <w:rPr>
                <w:rStyle w:val="IndexLink"/>
              </w:rPr>
              <w:t>475</w:t>
            </w:r>
          </w:hyperlink>
        </w:p>
        <w:p>
          <w:pPr>
            <w:pStyle w:val="Contents6"/>
            <w:tabs>
              <w:tab w:val="clear" w:pos="7609"/>
              <w:tab w:val="right" w:pos="9026" w:leader="dot"/>
            </w:tabs>
            <w:rPr/>
          </w:pPr>
          <w:hyperlink w:anchor="__RefHeading___Toc2531437_1468164448">
            <w:r>
              <w:rPr>
                <w:webHidden/>
                <w:rStyle w:val="IndexLink"/>
                <w:rtl w:val="true"/>
              </w:rPr>
              <w:t>اشارة</w:t>
            </w:r>
            <w:r>
              <w:rPr>
                <w:rStyle w:val="IndexLink"/>
                <w:rtl w:val="true"/>
              </w:rPr>
              <w:tab/>
            </w:r>
            <w:r>
              <w:rPr>
                <w:rStyle w:val="IndexLink"/>
              </w:rPr>
              <w:t>475</w:t>
            </w:r>
          </w:hyperlink>
        </w:p>
        <w:p>
          <w:pPr>
            <w:pStyle w:val="Contents6"/>
            <w:tabs>
              <w:tab w:val="clear" w:pos="7609"/>
              <w:tab w:val="right" w:pos="9026" w:leader="dot"/>
            </w:tabs>
            <w:rPr/>
          </w:pPr>
          <w:hyperlink w:anchor="__RefHeading___Toc2531439_1468164448">
            <w:r>
              <w:rPr>
                <w:webHidden/>
                <w:rStyle w:val="IndexLink"/>
                <w:rtl w:val="true"/>
              </w:rPr>
              <w:t>الف</w:t>
            </w:r>
            <w:r>
              <w:rPr>
                <w:rStyle w:val="IndexLink"/>
                <w:rtl w:val="true"/>
              </w:rPr>
              <w:t xml:space="preserve">) </w:t>
            </w:r>
            <w:r>
              <w:rPr>
                <w:rStyle w:val="IndexLink"/>
                <w:rtl w:val="true"/>
              </w:rPr>
              <w:t>آیۀ نخست</w:t>
            </w:r>
            <w:r>
              <w:rPr>
                <w:rStyle w:val="IndexLink"/>
                <w:rtl w:val="true"/>
              </w:rPr>
              <w:tab/>
            </w:r>
            <w:r>
              <w:rPr>
                <w:rStyle w:val="IndexLink"/>
              </w:rPr>
              <w:t>476</w:t>
            </w:r>
          </w:hyperlink>
        </w:p>
        <w:p>
          <w:pPr>
            <w:pStyle w:val="Contents6"/>
            <w:tabs>
              <w:tab w:val="clear" w:pos="7609"/>
              <w:tab w:val="right" w:pos="9026" w:leader="dot"/>
            </w:tabs>
            <w:rPr/>
          </w:pPr>
          <w:hyperlink w:anchor="__RefHeading___Toc2531441_1468164448">
            <w:r>
              <w:rPr>
                <w:webHidden/>
                <w:rStyle w:val="IndexLink"/>
              </w:rPr>
              <w:t>1</w:t>
            </w:r>
            <w:r>
              <w:rPr>
                <w:rStyle w:val="IndexLink"/>
                <w:rtl w:val="true"/>
              </w:rPr>
              <w:t xml:space="preserve">- </w:t>
            </w:r>
            <w:r>
              <w:rPr>
                <w:rStyle w:val="IndexLink"/>
                <w:rtl w:val="true"/>
              </w:rPr>
              <w:t xml:space="preserve">بیان نخست؛ تمسّک به قاعدۀ </w:t>
            </w:r>
            <w:r>
              <w:rPr>
                <w:rStyle w:val="IndexLink"/>
                <w:rtl w:val="true"/>
              </w:rPr>
              <w:t>«</w:t>
            </w:r>
            <w:r>
              <w:rPr>
                <w:rStyle w:val="IndexLink"/>
                <w:rtl w:val="true"/>
              </w:rPr>
              <w:t>حذف المتعلّق یدلّ علی العموم</w:t>
            </w:r>
            <w:r>
              <w:rPr>
                <w:rStyle w:val="IndexLink"/>
                <w:rtl w:val="true"/>
              </w:rPr>
              <w:t>»</w:t>
              <w:tab/>
            </w:r>
            <w:r>
              <w:rPr>
                <w:rStyle w:val="IndexLink"/>
              </w:rPr>
              <w:t>476</w:t>
            </w:r>
          </w:hyperlink>
        </w:p>
        <w:p>
          <w:pPr>
            <w:pStyle w:val="Contents6"/>
            <w:tabs>
              <w:tab w:val="clear" w:pos="7609"/>
              <w:tab w:val="right" w:pos="9026" w:leader="dot"/>
            </w:tabs>
            <w:rPr/>
          </w:pPr>
          <w:hyperlink w:anchor="__RefHeading___Toc2531443_1468164448">
            <w:r>
              <w:rPr>
                <w:webHidden/>
                <w:rStyle w:val="IndexLink"/>
              </w:rPr>
              <w:t>2</w:t>
            </w:r>
            <w:r>
              <w:rPr>
                <w:rStyle w:val="IndexLink"/>
                <w:rtl w:val="true"/>
              </w:rPr>
              <w:t xml:space="preserve">- </w:t>
            </w:r>
            <w:r>
              <w:rPr>
                <w:rStyle w:val="IndexLink"/>
                <w:rtl w:val="true"/>
              </w:rPr>
              <w:t>بیان دوم؛ تمسّک به اطلاق اجتناب رجس</w:t>
            </w:r>
            <w:r>
              <w:rPr>
                <w:rStyle w:val="IndexLink"/>
                <w:rtl w:val="true"/>
              </w:rPr>
              <w:tab/>
            </w:r>
            <w:r>
              <w:rPr>
                <w:rStyle w:val="IndexLink"/>
              </w:rPr>
              <w:t>476</w:t>
            </w:r>
          </w:hyperlink>
        </w:p>
        <w:p>
          <w:pPr>
            <w:pStyle w:val="Contents6"/>
            <w:tabs>
              <w:tab w:val="clear" w:pos="7609"/>
              <w:tab w:val="right" w:pos="9026" w:leader="dot"/>
            </w:tabs>
            <w:rPr/>
          </w:pPr>
          <w:hyperlink w:anchor="__RefHeading___Toc2531445_1468164448">
            <w:r>
              <w:rPr>
                <w:webHidden/>
                <w:rStyle w:val="IndexLink"/>
              </w:rPr>
              <w:t>3</w:t>
            </w:r>
            <w:r>
              <w:rPr>
                <w:rStyle w:val="IndexLink"/>
                <w:rtl w:val="true"/>
              </w:rPr>
              <w:t xml:space="preserve">- </w:t>
            </w:r>
            <w:r>
              <w:rPr>
                <w:rStyle w:val="IndexLink"/>
                <w:rtl w:val="true"/>
              </w:rPr>
              <w:t>بررسی استدلال امام خمینی</w:t>
            </w:r>
            <w:r>
              <w:rPr>
                <w:rStyle w:val="IndexLink"/>
                <w:rtl w:val="true"/>
              </w:rPr>
              <w:t>:</w:t>
              <w:tab/>
            </w:r>
            <w:r>
              <w:rPr>
                <w:rStyle w:val="IndexLink"/>
              </w:rPr>
              <w:t>478</w:t>
            </w:r>
          </w:hyperlink>
        </w:p>
        <w:p>
          <w:pPr>
            <w:pStyle w:val="Contents6"/>
            <w:tabs>
              <w:tab w:val="clear" w:pos="7609"/>
              <w:tab w:val="right" w:pos="9026" w:leader="dot"/>
            </w:tabs>
            <w:rPr/>
          </w:pPr>
          <w:hyperlink w:anchor="__RefHeading___Toc2531447_1468164448">
            <w:r>
              <w:rPr>
                <w:webHidden/>
                <w:rStyle w:val="IndexLink"/>
                <w:rtl w:val="true"/>
              </w:rPr>
              <w:t>ب</w:t>
            </w:r>
            <w:r>
              <w:rPr>
                <w:rStyle w:val="IndexLink"/>
                <w:rtl w:val="true"/>
              </w:rPr>
              <w:t xml:space="preserve">) </w:t>
            </w:r>
            <w:r>
              <w:rPr>
                <w:rStyle w:val="IndexLink"/>
                <w:rtl w:val="true"/>
              </w:rPr>
              <w:t>آیۀ دوم</w:t>
            </w:r>
            <w:r>
              <w:rPr>
                <w:rStyle w:val="IndexLink"/>
                <w:rtl w:val="true"/>
              </w:rPr>
              <w:tab/>
            </w:r>
            <w:r>
              <w:rPr>
                <w:rStyle w:val="IndexLink"/>
              </w:rPr>
              <w:t>479</w:t>
            </w:r>
          </w:hyperlink>
        </w:p>
        <w:p>
          <w:pPr>
            <w:pStyle w:val="Contents5"/>
            <w:tabs>
              <w:tab w:val="clear" w:pos="7892"/>
              <w:tab w:val="right" w:pos="9026" w:leader="dot"/>
            </w:tabs>
            <w:rPr/>
          </w:pPr>
          <w:hyperlink w:anchor="__RefHeading___Toc2531449_1468164448">
            <w:r>
              <w:rPr>
                <w:webHidden/>
                <w:rStyle w:val="IndexLink"/>
                <w:rtl w:val="true"/>
              </w:rPr>
              <w:t>بند دوم</w:t>
            </w:r>
            <w:r>
              <w:rPr>
                <w:rStyle w:val="IndexLink"/>
                <w:rtl w:val="true"/>
              </w:rPr>
              <w:t xml:space="preserve">: </w:t>
            </w:r>
            <w:r>
              <w:rPr>
                <w:rStyle w:val="IndexLink"/>
                <w:rtl w:val="true"/>
              </w:rPr>
              <w:t>بررسی روایات</w:t>
            </w:r>
            <w:r>
              <w:rPr>
                <w:rStyle w:val="IndexLink"/>
                <w:rtl w:val="true"/>
              </w:rPr>
              <w:tab/>
            </w:r>
            <w:r>
              <w:rPr>
                <w:rStyle w:val="IndexLink"/>
              </w:rPr>
              <w:t>480</w:t>
            </w:r>
          </w:hyperlink>
        </w:p>
        <w:p>
          <w:pPr>
            <w:pStyle w:val="Contents6"/>
            <w:tabs>
              <w:tab w:val="clear" w:pos="7609"/>
              <w:tab w:val="right" w:pos="9026" w:leader="dot"/>
            </w:tabs>
            <w:rPr/>
          </w:pPr>
          <w:hyperlink w:anchor="__RefHeading___Toc2531451_1468164448">
            <w:r>
              <w:rPr>
                <w:webHidden/>
                <w:rStyle w:val="IndexLink"/>
                <w:rtl w:val="true"/>
              </w:rPr>
              <w:t>اشارة</w:t>
            </w:r>
            <w:r>
              <w:rPr>
                <w:rStyle w:val="IndexLink"/>
                <w:rtl w:val="true"/>
              </w:rPr>
              <w:tab/>
            </w:r>
            <w:r>
              <w:rPr>
                <w:rStyle w:val="IndexLink"/>
              </w:rPr>
              <w:t>480</w:t>
            </w:r>
          </w:hyperlink>
        </w:p>
        <w:p>
          <w:pPr>
            <w:pStyle w:val="Contents6"/>
            <w:tabs>
              <w:tab w:val="clear" w:pos="7609"/>
              <w:tab w:val="right" w:pos="9026" w:leader="dot"/>
            </w:tabs>
            <w:rPr/>
          </w:pPr>
          <w:hyperlink w:anchor="__RefHeading___Toc2531453_1468164448">
            <w:r>
              <w:rPr>
                <w:webHidden/>
                <w:rStyle w:val="IndexLink"/>
                <w:rtl w:val="true"/>
              </w:rPr>
              <w:t>الف</w:t>
            </w:r>
            <w:r>
              <w:rPr>
                <w:rStyle w:val="IndexLink"/>
                <w:rtl w:val="true"/>
              </w:rPr>
              <w:t xml:space="preserve">) </w:t>
            </w:r>
            <w:r>
              <w:rPr>
                <w:rStyle w:val="IndexLink"/>
                <w:rtl w:val="true"/>
              </w:rPr>
              <w:t>روایت نخست</w:t>
            </w:r>
            <w:r>
              <w:rPr>
                <w:rStyle w:val="IndexLink"/>
                <w:rtl w:val="true"/>
              </w:rPr>
              <w:t>:</w:t>
              <w:tab/>
            </w:r>
            <w:r>
              <w:rPr>
                <w:rStyle w:val="IndexLink"/>
              </w:rPr>
              <w:t>480</w:t>
            </w:r>
          </w:hyperlink>
        </w:p>
        <w:p>
          <w:pPr>
            <w:pStyle w:val="Contents6"/>
            <w:tabs>
              <w:tab w:val="clear" w:pos="7609"/>
              <w:tab w:val="right" w:pos="9026" w:leader="dot"/>
            </w:tabs>
            <w:rPr/>
          </w:pPr>
          <w:hyperlink w:anchor="__RefHeading___Toc2531455_1468164448">
            <w:r>
              <w:rPr>
                <w:webHidden/>
                <w:rStyle w:val="IndexLink"/>
                <w:rtl w:val="true"/>
              </w:rPr>
              <w:t>ب</w:t>
            </w:r>
            <w:r>
              <w:rPr>
                <w:rStyle w:val="IndexLink"/>
                <w:rtl w:val="true"/>
              </w:rPr>
              <w:t xml:space="preserve">) </w:t>
            </w:r>
            <w:r>
              <w:rPr>
                <w:rStyle w:val="IndexLink"/>
                <w:rtl w:val="true"/>
              </w:rPr>
              <w:t>روایت دوم</w:t>
            </w:r>
            <w:r>
              <w:rPr>
                <w:rStyle w:val="IndexLink"/>
                <w:rtl w:val="true"/>
              </w:rPr>
              <w:t>:</w:t>
              <w:tab/>
            </w:r>
            <w:r>
              <w:rPr>
                <w:rStyle w:val="IndexLink"/>
              </w:rPr>
              <w:t>482</w:t>
            </w:r>
          </w:hyperlink>
        </w:p>
        <w:p>
          <w:pPr>
            <w:pStyle w:val="Contents6"/>
            <w:tabs>
              <w:tab w:val="clear" w:pos="7609"/>
              <w:tab w:val="right" w:pos="9026" w:leader="dot"/>
            </w:tabs>
            <w:rPr/>
          </w:pPr>
          <w:hyperlink w:anchor="__RefHeading___Toc2531457_1468164448">
            <w:r>
              <w:rPr>
                <w:webHidden/>
                <w:rStyle w:val="IndexLink"/>
                <w:rtl w:val="true"/>
              </w:rPr>
              <w:t>ج</w:t>
            </w:r>
            <w:r>
              <w:rPr>
                <w:rStyle w:val="IndexLink"/>
                <w:rtl w:val="true"/>
              </w:rPr>
              <w:t xml:space="preserve">) </w:t>
            </w:r>
            <w:r>
              <w:rPr>
                <w:rStyle w:val="IndexLink"/>
                <w:rtl w:val="true"/>
              </w:rPr>
              <w:t>روایت سوم</w:t>
            </w:r>
            <w:r>
              <w:rPr>
                <w:rStyle w:val="IndexLink"/>
                <w:rtl w:val="true"/>
              </w:rPr>
              <w:t>:</w:t>
              <w:tab/>
            </w:r>
            <w:r>
              <w:rPr>
                <w:rStyle w:val="IndexLink"/>
              </w:rPr>
              <w:t>484</w:t>
            </w:r>
          </w:hyperlink>
        </w:p>
        <w:p>
          <w:pPr>
            <w:pStyle w:val="Contents5"/>
            <w:tabs>
              <w:tab w:val="clear" w:pos="7892"/>
              <w:tab w:val="right" w:pos="9026" w:leader="dot"/>
            </w:tabs>
            <w:rPr/>
          </w:pPr>
          <w:hyperlink w:anchor="__RefHeading___Toc2531459_1468164448">
            <w:r>
              <w:rPr>
                <w:webHidden/>
                <w:rStyle w:val="IndexLink"/>
                <w:rtl w:val="true"/>
              </w:rPr>
              <w:t>بند سوم</w:t>
            </w:r>
            <w:r>
              <w:rPr>
                <w:rStyle w:val="IndexLink"/>
                <w:rtl w:val="true"/>
              </w:rPr>
              <w:t xml:space="preserve">: </w:t>
            </w:r>
            <w:r>
              <w:rPr>
                <w:rStyle w:val="IndexLink"/>
                <w:rtl w:val="true"/>
              </w:rPr>
              <w:t>بررسی نظر فقهای شیعه و عامّه</w:t>
            </w:r>
            <w:r>
              <w:rPr>
                <w:rStyle w:val="IndexLink"/>
                <w:rtl w:val="true"/>
              </w:rPr>
              <w:tab/>
            </w:r>
            <w:r>
              <w:rPr>
                <w:rStyle w:val="IndexLink"/>
              </w:rPr>
              <w:t>484</w:t>
            </w:r>
          </w:hyperlink>
        </w:p>
        <w:p>
          <w:pPr>
            <w:pStyle w:val="Contents4"/>
            <w:tabs>
              <w:tab w:val="clear" w:pos="8176"/>
              <w:tab w:val="right" w:pos="9026" w:leader="dot"/>
            </w:tabs>
            <w:rPr/>
          </w:pPr>
          <w:hyperlink w:anchor="__RefHeading___Toc2531461_1468164448">
            <w:r>
              <w:rPr>
                <w:webHidden/>
                <w:rStyle w:val="IndexLink"/>
                <w:rtl w:val="true"/>
              </w:rPr>
              <w:t>گفتار سوم</w:t>
            </w:r>
            <w:r>
              <w:rPr>
                <w:rStyle w:val="IndexLink"/>
                <w:rtl w:val="true"/>
              </w:rPr>
              <w:t xml:space="preserve">: </w:t>
            </w:r>
            <w:r>
              <w:rPr>
                <w:rStyle w:val="IndexLink"/>
                <w:rtl w:val="true"/>
              </w:rPr>
              <w:t>بیع خمر برای غیر اسکار</w:t>
            </w:r>
            <w:r>
              <w:rPr>
                <w:rStyle w:val="IndexLink"/>
                <w:rtl w:val="true"/>
              </w:rPr>
              <w:tab/>
            </w:r>
            <w:r>
              <w:rPr>
                <w:rStyle w:val="IndexLink"/>
              </w:rPr>
              <w:t>485</w:t>
            </w:r>
          </w:hyperlink>
        </w:p>
        <w:p>
          <w:pPr>
            <w:pStyle w:val="Contents5"/>
            <w:tabs>
              <w:tab w:val="clear" w:pos="7892"/>
              <w:tab w:val="right" w:pos="9026" w:leader="dot"/>
            </w:tabs>
            <w:rPr/>
          </w:pPr>
          <w:hyperlink w:anchor="__RefHeading___Toc2531463_1468164448">
            <w:r>
              <w:rPr>
                <w:webHidden/>
                <w:rStyle w:val="IndexLink"/>
                <w:rtl w:val="true"/>
              </w:rPr>
              <w:t>اشارة</w:t>
            </w:r>
            <w:r>
              <w:rPr>
                <w:rStyle w:val="IndexLink"/>
                <w:rtl w:val="true"/>
              </w:rPr>
              <w:tab/>
            </w:r>
            <w:r>
              <w:rPr>
                <w:rStyle w:val="IndexLink"/>
              </w:rPr>
              <w:t>485</w:t>
            </w:r>
          </w:hyperlink>
        </w:p>
        <w:p>
          <w:pPr>
            <w:pStyle w:val="Contents5"/>
            <w:tabs>
              <w:tab w:val="clear" w:pos="7892"/>
              <w:tab w:val="right" w:pos="9026" w:leader="dot"/>
            </w:tabs>
            <w:rPr/>
          </w:pPr>
          <w:hyperlink w:anchor="__RefHeading___Toc2531465_1468164448">
            <w:r>
              <w:rPr>
                <w:webHidden/>
                <w:rStyle w:val="IndexLink"/>
                <w:rtl w:val="true"/>
              </w:rPr>
              <w:t>بند نخست</w:t>
            </w:r>
            <w:r>
              <w:rPr>
                <w:rStyle w:val="IndexLink"/>
                <w:rtl w:val="true"/>
              </w:rPr>
              <w:t xml:space="preserve">: </w:t>
            </w:r>
            <w:r>
              <w:rPr>
                <w:rStyle w:val="IndexLink"/>
                <w:rtl w:val="true"/>
              </w:rPr>
              <w:t>انصراف</w:t>
            </w:r>
            <w:r>
              <w:rPr>
                <w:rStyle w:val="IndexLink"/>
                <w:rtl w:val="true"/>
              </w:rPr>
              <w:tab/>
            </w:r>
            <w:r>
              <w:rPr>
                <w:rStyle w:val="IndexLink"/>
              </w:rPr>
              <w:t>485</w:t>
            </w:r>
          </w:hyperlink>
        </w:p>
        <w:p>
          <w:pPr>
            <w:pStyle w:val="Contents5"/>
            <w:tabs>
              <w:tab w:val="clear" w:pos="7892"/>
              <w:tab w:val="right" w:pos="9026" w:leader="dot"/>
            </w:tabs>
            <w:rPr/>
          </w:pPr>
          <w:hyperlink w:anchor="__RefHeading___Toc2531467_1468164448">
            <w:r>
              <w:rPr>
                <w:webHidden/>
                <w:rStyle w:val="IndexLink"/>
                <w:rtl w:val="true"/>
              </w:rPr>
              <w:t>بند دوم</w:t>
            </w:r>
            <w:r>
              <w:rPr>
                <w:rStyle w:val="IndexLink"/>
                <w:rtl w:val="true"/>
              </w:rPr>
              <w:t xml:space="preserve">: </w:t>
            </w:r>
            <w:r>
              <w:rPr>
                <w:rStyle w:val="IndexLink"/>
                <w:rtl w:val="true"/>
              </w:rPr>
              <w:t>قرائن</w:t>
            </w:r>
            <w:r>
              <w:rPr>
                <w:rStyle w:val="IndexLink"/>
                <w:rtl w:val="true"/>
              </w:rPr>
              <w:tab/>
            </w:r>
            <w:r>
              <w:rPr>
                <w:rStyle w:val="IndexLink"/>
              </w:rPr>
              <w:t>486</w:t>
            </w:r>
          </w:hyperlink>
        </w:p>
        <w:p>
          <w:pPr>
            <w:pStyle w:val="Contents6"/>
            <w:tabs>
              <w:tab w:val="clear" w:pos="7609"/>
              <w:tab w:val="right" w:pos="9026" w:leader="dot"/>
            </w:tabs>
            <w:rPr/>
          </w:pPr>
          <w:hyperlink w:anchor="__RefHeading___Toc2531469_1468164448">
            <w:r>
              <w:rPr>
                <w:webHidden/>
                <w:rStyle w:val="IndexLink"/>
                <w:rtl w:val="true"/>
              </w:rPr>
              <w:t>اشارة</w:t>
            </w:r>
            <w:r>
              <w:rPr>
                <w:rStyle w:val="IndexLink"/>
                <w:rtl w:val="true"/>
              </w:rPr>
              <w:tab/>
            </w:r>
            <w:r>
              <w:rPr>
                <w:rStyle w:val="IndexLink"/>
              </w:rPr>
              <w:t>486</w:t>
            </w:r>
          </w:hyperlink>
        </w:p>
        <w:p>
          <w:pPr>
            <w:pStyle w:val="Contents6"/>
            <w:tabs>
              <w:tab w:val="clear" w:pos="7609"/>
              <w:tab w:val="right" w:pos="9026" w:leader="dot"/>
            </w:tabs>
            <w:rPr/>
          </w:pPr>
          <w:hyperlink w:anchor="__RefHeading___Toc2531471_1468164448">
            <w:r>
              <w:rPr>
                <w:webHidden/>
                <w:rStyle w:val="IndexLink"/>
                <w:rtl w:val="true"/>
              </w:rPr>
              <w:t>الف</w:t>
            </w:r>
            <w:r>
              <w:rPr>
                <w:rStyle w:val="IndexLink"/>
                <w:rtl w:val="true"/>
              </w:rPr>
              <w:t xml:space="preserve">) </w:t>
            </w:r>
            <w:r>
              <w:rPr>
                <w:rStyle w:val="IndexLink"/>
                <w:rtl w:val="true"/>
              </w:rPr>
              <w:t>قرینۀ نخست</w:t>
            </w:r>
            <w:r>
              <w:rPr>
                <w:rStyle w:val="IndexLink"/>
                <w:rtl w:val="true"/>
              </w:rPr>
              <w:t>:</w:t>
              <w:tab/>
            </w:r>
            <w:r>
              <w:rPr>
                <w:rStyle w:val="IndexLink"/>
              </w:rPr>
              <w:t>487</w:t>
            </w:r>
          </w:hyperlink>
        </w:p>
        <w:p>
          <w:pPr>
            <w:pStyle w:val="Contents6"/>
            <w:tabs>
              <w:tab w:val="clear" w:pos="7609"/>
              <w:tab w:val="right" w:pos="9026" w:leader="dot"/>
            </w:tabs>
            <w:rPr/>
          </w:pPr>
          <w:hyperlink w:anchor="__RefHeading___Toc2531473_1468164448">
            <w:r>
              <w:rPr>
                <w:webHidden/>
                <w:rStyle w:val="IndexLink"/>
                <w:rtl w:val="true"/>
              </w:rPr>
              <w:t>ب</w:t>
            </w:r>
            <w:r>
              <w:rPr>
                <w:rStyle w:val="IndexLink"/>
                <w:rtl w:val="true"/>
              </w:rPr>
              <w:t xml:space="preserve">) </w:t>
            </w:r>
            <w:r>
              <w:rPr>
                <w:rStyle w:val="IndexLink"/>
                <w:rtl w:val="true"/>
              </w:rPr>
              <w:t>قرینۀ دوم</w:t>
            </w:r>
            <w:r>
              <w:rPr>
                <w:rStyle w:val="IndexLink"/>
                <w:rtl w:val="true"/>
              </w:rPr>
              <w:t>:</w:t>
              <w:tab/>
            </w:r>
            <w:r>
              <w:rPr>
                <w:rStyle w:val="IndexLink"/>
              </w:rPr>
              <w:t>488</w:t>
            </w:r>
          </w:hyperlink>
        </w:p>
        <w:p>
          <w:pPr>
            <w:pStyle w:val="Contents5"/>
            <w:tabs>
              <w:tab w:val="clear" w:pos="7892"/>
              <w:tab w:val="right" w:pos="9026" w:leader="dot"/>
            </w:tabs>
            <w:rPr/>
          </w:pPr>
          <w:hyperlink w:anchor="__RefHeading___Toc2531475_1468164448">
            <w:r>
              <w:rPr>
                <w:webHidden/>
                <w:rStyle w:val="IndexLink"/>
                <w:rtl w:val="true"/>
              </w:rPr>
              <w:t>بند سوم</w:t>
            </w:r>
            <w:r>
              <w:rPr>
                <w:rStyle w:val="IndexLink"/>
                <w:rtl w:val="true"/>
              </w:rPr>
              <w:t xml:space="preserve">: </w:t>
            </w:r>
            <w:r>
              <w:rPr>
                <w:rStyle w:val="IndexLink"/>
                <w:rtl w:val="true"/>
              </w:rPr>
              <w:t>ضابطۀ صلاح و فساد</w:t>
            </w:r>
            <w:r>
              <w:rPr>
                <w:rStyle w:val="IndexLink"/>
                <w:rtl w:val="true"/>
              </w:rPr>
              <w:tab/>
            </w:r>
            <w:r>
              <w:rPr>
                <w:rStyle w:val="IndexLink"/>
              </w:rPr>
              <w:t>488</w:t>
            </w:r>
          </w:hyperlink>
        </w:p>
        <w:p>
          <w:pPr>
            <w:pStyle w:val="Contents5"/>
            <w:tabs>
              <w:tab w:val="clear" w:pos="7892"/>
              <w:tab w:val="right" w:pos="9026" w:leader="dot"/>
            </w:tabs>
            <w:rPr/>
          </w:pPr>
          <w:hyperlink w:anchor="__RefHeading___Toc2531477_1468164448">
            <w:r>
              <w:rPr>
                <w:webHidden/>
                <w:rStyle w:val="IndexLink"/>
                <w:rtl w:val="true"/>
              </w:rPr>
              <w:t>بند چهارم</w:t>
            </w:r>
            <w:r>
              <w:rPr>
                <w:rStyle w:val="IndexLink"/>
                <w:rtl w:val="true"/>
              </w:rPr>
              <w:t xml:space="preserve">: </w:t>
            </w:r>
            <w:r>
              <w:rPr>
                <w:rStyle w:val="IndexLink"/>
                <w:rtl w:val="true"/>
              </w:rPr>
              <w:t>روایات</w:t>
            </w:r>
            <w:r>
              <w:rPr>
                <w:rStyle w:val="IndexLink"/>
                <w:rtl w:val="true"/>
              </w:rPr>
              <w:tab/>
            </w:r>
            <w:r>
              <w:rPr>
                <w:rStyle w:val="IndexLink"/>
              </w:rPr>
              <w:t>489</w:t>
            </w:r>
          </w:hyperlink>
        </w:p>
        <w:p>
          <w:pPr>
            <w:pStyle w:val="Contents6"/>
            <w:tabs>
              <w:tab w:val="clear" w:pos="7609"/>
              <w:tab w:val="right" w:pos="9026" w:leader="dot"/>
            </w:tabs>
            <w:rPr/>
          </w:pPr>
          <w:hyperlink w:anchor="__RefHeading___Toc2531479_1468164448">
            <w:r>
              <w:rPr>
                <w:webHidden/>
                <w:rStyle w:val="IndexLink"/>
                <w:rtl w:val="true"/>
              </w:rPr>
              <w:t>اشارة</w:t>
            </w:r>
            <w:r>
              <w:rPr>
                <w:rStyle w:val="IndexLink"/>
                <w:rtl w:val="true"/>
              </w:rPr>
              <w:tab/>
            </w:r>
            <w:r>
              <w:rPr>
                <w:rStyle w:val="IndexLink"/>
              </w:rPr>
              <w:t>489</w:t>
            </w:r>
          </w:hyperlink>
        </w:p>
        <w:p>
          <w:pPr>
            <w:pStyle w:val="Contents6"/>
            <w:tabs>
              <w:tab w:val="clear" w:pos="7609"/>
              <w:tab w:val="right" w:pos="9026" w:leader="dot"/>
            </w:tabs>
            <w:rPr/>
          </w:pPr>
          <w:hyperlink w:anchor="__RefHeading___Toc2531481_1468164448">
            <w:r>
              <w:rPr>
                <w:webHidden/>
                <w:rStyle w:val="IndexLink"/>
                <w:rtl w:val="true"/>
              </w:rPr>
              <w:t>نقد دلیل چهارم و دلالت روایات</w:t>
            </w:r>
            <w:r>
              <w:rPr>
                <w:rStyle w:val="IndexLink"/>
                <w:rtl w:val="true"/>
              </w:rPr>
              <w:tab/>
            </w:r>
            <w:r>
              <w:rPr>
                <w:rStyle w:val="IndexLink"/>
              </w:rPr>
              <w:t>492</w:t>
            </w:r>
          </w:hyperlink>
        </w:p>
        <w:p>
          <w:pPr>
            <w:pStyle w:val="Contents4"/>
            <w:tabs>
              <w:tab w:val="clear" w:pos="8176"/>
              <w:tab w:val="right" w:pos="9026" w:leader="dot"/>
            </w:tabs>
            <w:rPr/>
          </w:pPr>
          <w:hyperlink w:anchor="__RefHeading___Toc2531483_1468164448">
            <w:r>
              <w:rPr>
                <w:webHidden/>
                <w:rStyle w:val="IndexLink"/>
                <w:rtl w:val="true"/>
              </w:rPr>
              <w:t>گفتار چهارم</w:t>
            </w:r>
            <w:r>
              <w:rPr>
                <w:rStyle w:val="IndexLink"/>
                <w:rtl w:val="true"/>
              </w:rPr>
              <w:t xml:space="preserve">: </w:t>
            </w:r>
            <w:r>
              <w:rPr>
                <w:rStyle w:val="IndexLink"/>
                <w:rtl w:val="true"/>
              </w:rPr>
              <w:t>بیع خمر به قصد درمان و اضطرار</w:t>
            </w:r>
            <w:r>
              <w:rPr>
                <w:rStyle w:val="IndexLink"/>
                <w:rtl w:val="true"/>
              </w:rPr>
              <w:tab/>
            </w:r>
            <w:r>
              <w:rPr>
                <w:rStyle w:val="IndexLink"/>
              </w:rPr>
              <w:t>493</w:t>
            </w:r>
          </w:hyperlink>
        </w:p>
        <w:p>
          <w:pPr>
            <w:pStyle w:val="Contents5"/>
            <w:tabs>
              <w:tab w:val="clear" w:pos="7892"/>
              <w:tab w:val="right" w:pos="9026" w:leader="dot"/>
            </w:tabs>
            <w:rPr/>
          </w:pPr>
          <w:hyperlink w:anchor="__RefHeading___Toc2531485_1468164448">
            <w:r>
              <w:rPr>
                <w:webHidden/>
                <w:rStyle w:val="IndexLink"/>
                <w:rtl w:val="true"/>
              </w:rPr>
              <w:t>بند نخست</w:t>
            </w:r>
            <w:r>
              <w:rPr>
                <w:rStyle w:val="IndexLink"/>
                <w:rtl w:val="true"/>
              </w:rPr>
              <w:t xml:space="preserve">: </w:t>
            </w:r>
            <w:r>
              <w:rPr>
                <w:rStyle w:val="IndexLink"/>
                <w:rtl w:val="true"/>
              </w:rPr>
              <w:t>بیع خمر به قصد درمان</w:t>
            </w:r>
            <w:r>
              <w:rPr>
                <w:rStyle w:val="IndexLink"/>
                <w:rtl w:val="true"/>
              </w:rPr>
              <w:tab/>
            </w:r>
            <w:r>
              <w:rPr>
                <w:rStyle w:val="IndexLink"/>
              </w:rPr>
              <w:t>493</w:t>
            </w:r>
          </w:hyperlink>
        </w:p>
        <w:p>
          <w:pPr>
            <w:pStyle w:val="Contents6"/>
            <w:tabs>
              <w:tab w:val="clear" w:pos="7609"/>
              <w:tab w:val="right" w:pos="9026" w:leader="dot"/>
            </w:tabs>
            <w:rPr/>
          </w:pPr>
          <w:hyperlink w:anchor="__RefHeading___Toc2531487_1468164448">
            <w:r>
              <w:rPr>
                <w:webHidden/>
                <w:rStyle w:val="IndexLink"/>
                <w:rtl w:val="true"/>
              </w:rPr>
              <w:t>اشارة</w:t>
            </w:r>
            <w:r>
              <w:rPr>
                <w:rStyle w:val="IndexLink"/>
                <w:rtl w:val="true"/>
              </w:rPr>
              <w:tab/>
            </w:r>
            <w:r>
              <w:rPr>
                <w:rStyle w:val="IndexLink"/>
              </w:rPr>
              <w:t>493</w:t>
            </w:r>
          </w:hyperlink>
        </w:p>
        <w:p>
          <w:pPr>
            <w:pStyle w:val="Contents6"/>
            <w:tabs>
              <w:tab w:val="clear" w:pos="7609"/>
              <w:tab w:val="right" w:pos="9026" w:leader="dot"/>
            </w:tabs>
            <w:rPr/>
          </w:pPr>
          <w:hyperlink w:anchor="__RefHeading___Toc2531489_1468164448">
            <w:r>
              <w:rPr>
                <w:webHidden/>
                <w:rStyle w:val="IndexLink"/>
                <w:rtl w:val="true"/>
              </w:rPr>
              <w:t>الف</w:t>
            </w:r>
            <w:r>
              <w:rPr>
                <w:rStyle w:val="IndexLink"/>
                <w:rtl w:val="true"/>
              </w:rPr>
              <w:t xml:space="preserve">) </w:t>
            </w:r>
            <w:r>
              <w:rPr>
                <w:rStyle w:val="IndexLink"/>
                <w:rtl w:val="true"/>
              </w:rPr>
              <w:t>بررسی اقوال علمای شیعه</w:t>
            </w:r>
            <w:r>
              <w:rPr>
                <w:rStyle w:val="IndexLink"/>
                <w:rtl w:val="true"/>
              </w:rPr>
              <w:tab/>
            </w:r>
            <w:r>
              <w:rPr>
                <w:rStyle w:val="IndexLink"/>
              </w:rPr>
              <w:t>495</w:t>
            </w:r>
          </w:hyperlink>
        </w:p>
        <w:p>
          <w:pPr>
            <w:pStyle w:val="Contents6"/>
            <w:tabs>
              <w:tab w:val="clear" w:pos="7609"/>
              <w:tab w:val="right" w:pos="9026" w:leader="dot"/>
            </w:tabs>
            <w:rPr/>
          </w:pPr>
          <w:hyperlink w:anchor="__RefHeading___Toc2531491_1468164448">
            <w:r>
              <w:rPr>
                <w:webHidden/>
                <w:rStyle w:val="IndexLink"/>
                <w:rtl w:val="true"/>
              </w:rPr>
              <w:t>ب</w:t>
            </w:r>
            <w:r>
              <w:rPr>
                <w:rStyle w:val="IndexLink"/>
                <w:rtl w:val="true"/>
              </w:rPr>
              <w:t xml:space="preserve">) </w:t>
            </w:r>
            <w:r>
              <w:rPr>
                <w:rStyle w:val="IndexLink"/>
                <w:rtl w:val="true"/>
              </w:rPr>
              <w:t>بررسی اقوال علمای عامّه</w:t>
            </w:r>
            <w:r>
              <w:rPr>
                <w:rStyle w:val="IndexLink"/>
                <w:rtl w:val="true"/>
              </w:rPr>
              <w:tab/>
            </w:r>
            <w:r>
              <w:rPr>
                <w:rStyle w:val="IndexLink"/>
              </w:rPr>
              <w:t>497</w:t>
            </w:r>
          </w:hyperlink>
        </w:p>
        <w:p>
          <w:pPr>
            <w:pStyle w:val="Contents5"/>
            <w:tabs>
              <w:tab w:val="clear" w:pos="7892"/>
              <w:tab w:val="right" w:pos="9026" w:leader="dot"/>
            </w:tabs>
            <w:rPr/>
          </w:pPr>
          <w:hyperlink w:anchor="__RefHeading___Toc2531493_1468164448">
            <w:r>
              <w:rPr>
                <w:webHidden/>
                <w:rStyle w:val="IndexLink"/>
                <w:rtl w:val="true"/>
              </w:rPr>
              <w:t>بند دوم</w:t>
            </w:r>
            <w:r>
              <w:rPr>
                <w:rStyle w:val="IndexLink"/>
                <w:rtl w:val="true"/>
              </w:rPr>
              <w:t xml:space="preserve">: </w:t>
            </w:r>
            <w:r>
              <w:rPr>
                <w:rStyle w:val="IndexLink"/>
                <w:rtl w:val="true"/>
              </w:rPr>
              <w:t>اضطرار به خمر</w:t>
            </w:r>
            <w:r>
              <w:rPr>
                <w:rStyle w:val="IndexLink"/>
                <w:rtl w:val="true"/>
              </w:rPr>
              <w:tab/>
            </w:r>
            <w:r>
              <w:rPr>
                <w:rStyle w:val="IndexLink"/>
              </w:rPr>
              <w:t>498</w:t>
            </w:r>
          </w:hyperlink>
        </w:p>
        <w:p>
          <w:pPr>
            <w:pStyle w:val="Contents6"/>
            <w:tabs>
              <w:tab w:val="clear" w:pos="7609"/>
              <w:tab w:val="right" w:pos="9026" w:leader="dot"/>
            </w:tabs>
            <w:rPr/>
          </w:pPr>
          <w:hyperlink w:anchor="__RefHeading___Toc2531495_1468164448">
            <w:r>
              <w:rPr>
                <w:webHidden/>
                <w:rStyle w:val="IndexLink"/>
                <w:rtl w:val="true"/>
              </w:rPr>
              <w:t>اشارة</w:t>
            </w:r>
            <w:r>
              <w:rPr>
                <w:rStyle w:val="IndexLink"/>
                <w:rtl w:val="true"/>
              </w:rPr>
              <w:tab/>
            </w:r>
            <w:r>
              <w:rPr>
                <w:rStyle w:val="IndexLink"/>
              </w:rPr>
              <w:t>498</w:t>
            </w:r>
          </w:hyperlink>
        </w:p>
        <w:p>
          <w:pPr>
            <w:pStyle w:val="Contents6"/>
            <w:tabs>
              <w:tab w:val="clear" w:pos="7609"/>
              <w:tab w:val="right" w:pos="9026" w:leader="dot"/>
            </w:tabs>
            <w:rPr/>
          </w:pPr>
          <w:hyperlink w:anchor="__RefHeading___Toc2531497_1468164448">
            <w:r>
              <w:rPr>
                <w:webHidden/>
                <w:rStyle w:val="IndexLink"/>
                <w:rtl w:val="true"/>
              </w:rPr>
              <w:t>الف</w:t>
            </w:r>
            <w:r>
              <w:rPr>
                <w:rStyle w:val="IndexLink"/>
                <w:rtl w:val="true"/>
              </w:rPr>
              <w:t xml:space="preserve">) </w:t>
            </w:r>
            <w:r>
              <w:rPr>
                <w:rStyle w:val="IndexLink"/>
                <w:rtl w:val="true"/>
              </w:rPr>
              <w:t>بررسی آیات</w:t>
            </w:r>
            <w:r>
              <w:rPr>
                <w:rStyle w:val="IndexLink"/>
                <w:rtl w:val="true"/>
              </w:rPr>
              <w:tab/>
            </w:r>
            <w:r>
              <w:rPr>
                <w:rStyle w:val="IndexLink"/>
              </w:rPr>
              <w:t>498</w:t>
            </w:r>
          </w:hyperlink>
        </w:p>
        <w:p>
          <w:pPr>
            <w:pStyle w:val="Contents6"/>
            <w:tabs>
              <w:tab w:val="clear" w:pos="7609"/>
              <w:tab w:val="right" w:pos="9026" w:leader="dot"/>
            </w:tabs>
            <w:rPr/>
          </w:pPr>
          <w:hyperlink w:anchor="__RefHeading___Toc2531499_1468164448">
            <w:r>
              <w:rPr>
                <w:webHidden/>
                <w:rStyle w:val="IndexLink"/>
                <w:rtl w:val="true"/>
              </w:rPr>
              <w:t>ب</w:t>
            </w:r>
            <w:r>
              <w:rPr>
                <w:rStyle w:val="IndexLink"/>
                <w:rtl w:val="true"/>
              </w:rPr>
              <w:t xml:space="preserve">) </w:t>
            </w:r>
            <w:r>
              <w:rPr>
                <w:rStyle w:val="IndexLink"/>
                <w:rtl w:val="true"/>
              </w:rPr>
              <w:t>روایات مربوط به درمان با شرب خمر</w:t>
            </w:r>
            <w:r>
              <w:rPr>
                <w:rStyle w:val="IndexLink"/>
                <w:rtl w:val="true"/>
              </w:rPr>
              <w:tab/>
            </w:r>
            <w:r>
              <w:rPr>
                <w:rStyle w:val="IndexLink"/>
              </w:rPr>
              <w:t>499</w:t>
            </w:r>
          </w:hyperlink>
        </w:p>
        <w:p>
          <w:pPr>
            <w:pStyle w:val="Contents6"/>
            <w:tabs>
              <w:tab w:val="clear" w:pos="7609"/>
              <w:tab w:val="right" w:pos="9026" w:leader="dot"/>
            </w:tabs>
            <w:rPr/>
          </w:pPr>
          <w:hyperlink w:anchor="__RefHeading___Toc2531501_1468164448">
            <w:r>
              <w:rPr>
                <w:webHidden/>
                <w:rStyle w:val="IndexLink"/>
                <w:rtl w:val="true"/>
              </w:rPr>
              <w:t>ج</w:t>
            </w:r>
            <w:r>
              <w:rPr>
                <w:rStyle w:val="IndexLink"/>
                <w:rtl w:val="true"/>
              </w:rPr>
              <w:t xml:space="preserve">) </w:t>
            </w:r>
            <w:r>
              <w:rPr>
                <w:rStyle w:val="IndexLink"/>
                <w:rtl w:val="true"/>
              </w:rPr>
              <w:t>ادلّۀ قول به عدم جواز شرب خمر در صورت اضطرار</w:t>
            </w:r>
            <w:r>
              <w:rPr>
                <w:rStyle w:val="IndexLink"/>
                <w:rtl w:val="true"/>
              </w:rPr>
              <w:tab/>
            </w:r>
            <w:r>
              <w:rPr>
                <w:rStyle w:val="IndexLink"/>
              </w:rPr>
              <w:t>503</w:t>
            </w:r>
          </w:hyperlink>
        </w:p>
        <w:p>
          <w:pPr>
            <w:pStyle w:val="Contents6"/>
            <w:tabs>
              <w:tab w:val="clear" w:pos="7609"/>
              <w:tab w:val="right" w:pos="9026" w:leader="dot"/>
            </w:tabs>
            <w:rPr/>
          </w:pPr>
          <w:hyperlink w:anchor="__RefHeading___Toc2531503_1468164448">
            <w:r>
              <w:rPr>
                <w:webHidden/>
                <w:rStyle w:val="IndexLink"/>
                <w:rtl w:val="true"/>
              </w:rPr>
              <w:t>د</w:t>
            </w:r>
            <w:r>
              <w:rPr>
                <w:rStyle w:val="IndexLink"/>
                <w:rtl w:val="true"/>
              </w:rPr>
              <w:t xml:space="preserve">) </w:t>
            </w:r>
            <w:r>
              <w:rPr>
                <w:rStyle w:val="IndexLink"/>
                <w:rtl w:val="true"/>
              </w:rPr>
              <w:t>ادلّۀ قول به جواز شرب خمر در صورت اضطرار</w:t>
            </w:r>
            <w:r>
              <w:rPr>
                <w:rStyle w:val="IndexLink"/>
                <w:rtl w:val="true"/>
              </w:rPr>
              <w:tab/>
            </w:r>
            <w:r>
              <w:rPr>
                <w:rStyle w:val="IndexLink"/>
              </w:rPr>
              <w:t>505</w:t>
            </w:r>
          </w:hyperlink>
        </w:p>
        <w:p>
          <w:pPr>
            <w:pStyle w:val="Contents6"/>
            <w:tabs>
              <w:tab w:val="clear" w:pos="7609"/>
              <w:tab w:val="right" w:pos="9026" w:leader="dot"/>
            </w:tabs>
            <w:rPr/>
          </w:pPr>
          <w:hyperlink w:anchor="__RefHeading___Toc2531505_1468164448">
            <w:r>
              <w:rPr>
                <w:webHidden/>
                <w:rStyle w:val="IndexLink"/>
              </w:rPr>
              <w:t>1</w:t>
            </w:r>
            <w:r>
              <w:rPr>
                <w:rStyle w:val="IndexLink"/>
                <w:rtl w:val="true"/>
              </w:rPr>
              <w:t xml:space="preserve">- </w:t>
            </w:r>
            <w:r>
              <w:rPr>
                <w:rStyle w:val="IndexLink"/>
                <w:rtl w:val="true"/>
              </w:rPr>
              <w:t>دلیل نخست</w:t>
            </w:r>
            <w:r>
              <w:rPr>
                <w:rStyle w:val="IndexLink"/>
                <w:rtl w:val="true"/>
              </w:rPr>
              <w:t>:</w:t>
              <w:tab/>
            </w:r>
            <w:r>
              <w:rPr>
                <w:rStyle w:val="IndexLink"/>
              </w:rPr>
              <w:t>506</w:t>
            </w:r>
          </w:hyperlink>
        </w:p>
        <w:p>
          <w:pPr>
            <w:pStyle w:val="Contents6"/>
            <w:tabs>
              <w:tab w:val="clear" w:pos="7609"/>
              <w:tab w:val="right" w:pos="9026" w:leader="dot"/>
            </w:tabs>
            <w:rPr/>
          </w:pPr>
          <w:hyperlink w:anchor="__RefHeading___Toc2531507_1468164448">
            <w:r>
              <w:rPr>
                <w:webHidden/>
                <w:rStyle w:val="IndexLink"/>
              </w:rPr>
              <w:t>2</w:t>
            </w:r>
            <w:r>
              <w:rPr>
                <w:rStyle w:val="IndexLink"/>
                <w:rtl w:val="true"/>
              </w:rPr>
              <w:t xml:space="preserve">- </w:t>
            </w:r>
            <w:r>
              <w:rPr>
                <w:rStyle w:val="IndexLink"/>
                <w:rtl w:val="true"/>
              </w:rPr>
              <w:t>دلیل دوم</w:t>
            </w:r>
            <w:r>
              <w:rPr>
                <w:rStyle w:val="IndexLink"/>
                <w:rtl w:val="true"/>
              </w:rPr>
              <w:t>:</w:t>
              <w:tab/>
            </w:r>
            <w:r>
              <w:rPr>
                <w:rStyle w:val="IndexLink"/>
              </w:rPr>
              <w:t>507</w:t>
            </w:r>
          </w:hyperlink>
        </w:p>
        <w:p>
          <w:pPr>
            <w:pStyle w:val="Contents6"/>
            <w:tabs>
              <w:tab w:val="clear" w:pos="7609"/>
              <w:tab w:val="right" w:pos="9026" w:leader="dot"/>
            </w:tabs>
            <w:rPr/>
          </w:pPr>
          <w:hyperlink w:anchor="__RefHeading___Toc2531509_1468164448">
            <w:r>
              <w:rPr>
                <w:webHidden/>
                <w:rStyle w:val="IndexLink"/>
              </w:rPr>
              <w:t>3</w:t>
            </w:r>
            <w:r>
              <w:rPr>
                <w:rStyle w:val="IndexLink"/>
                <w:rtl w:val="true"/>
              </w:rPr>
              <w:t xml:space="preserve">- </w:t>
            </w:r>
            <w:r>
              <w:rPr>
                <w:rStyle w:val="IndexLink"/>
                <w:rtl w:val="true"/>
              </w:rPr>
              <w:t>دلیل سوم</w:t>
            </w:r>
            <w:r>
              <w:rPr>
                <w:rStyle w:val="IndexLink"/>
                <w:rtl w:val="true"/>
              </w:rPr>
              <w:t>:</w:t>
              <w:tab/>
            </w:r>
            <w:r>
              <w:rPr>
                <w:rStyle w:val="IndexLink"/>
              </w:rPr>
              <w:t>512</w:t>
            </w:r>
          </w:hyperlink>
        </w:p>
        <w:p>
          <w:pPr>
            <w:pStyle w:val="Contents6"/>
            <w:tabs>
              <w:tab w:val="clear" w:pos="7609"/>
              <w:tab w:val="right" w:pos="9026" w:leader="dot"/>
            </w:tabs>
            <w:rPr/>
          </w:pPr>
          <w:hyperlink w:anchor="__RefHeading___Toc2531511_1468164448">
            <w:r>
              <w:rPr>
                <w:webHidden/>
                <w:rStyle w:val="IndexLink"/>
              </w:rPr>
              <w:t>4</w:t>
            </w:r>
            <w:r>
              <w:rPr>
                <w:rStyle w:val="IndexLink"/>
                <w:rtl w:val="true"/>
              </w:rPr>
              <w:t xml:space="preserve">- </w:t>
            </w:r>
            <w:r>
              <w:rPr>
                <w:rStyle w:val="IndexLink"/>
                <w:rtl w:val="true"/>
              </w:rPr>
              <w:t>دلیل چهارم</w:t>
            </w:r>
            <w:r>
              <w:rPr>
                <w:rStyle w:val="IndexLink"/>
                <w:rtl w:val="true"/>
              </w:rPr>
              <w:t>:</w:t>
              <w:tab/>
            </w:r>
            <w:r>
              <w:rPr>
                <w:rStyle w:val="IndexLink"/>
              </w:rPr>
              <w:t>513</w:t>
            </w:r>
          </w:hyperlink>
        </w:p>
        <w:p>
          <w:pPr>
            <w:pStyle w:val="Contents6"/>
            <w:tabs>
              <w:tab w:val="clear" w:pos="7609"/>
              <w:tab w:val="right" w:pos="9026" w:leader="dot"/>
            </w:tabs>
            <w:rPr/>
          </w:pPr>
          <w:hyperlink w:anchor="__RefHeading___Toc2531513_1468164448">
            <w:r>
              <w:rPr>
                <w:webHidden/>
                <w:rStyle w:val="IndexLink"/>
                <w:rtl w:val="true"/>
              </w:rPr>
              <w:t>ه</w:t>
            </w:r>
            <w:r>
              <w:rPr>
                <w:rStyle w:val="IndexLink"/>
                <w:rtl w:val="true"/>
              </w:rPr>
              <w:t xml:space="preserve">) </w:t>
            </w:r>
            <w:r>
              <w:rPr>
                <w:rStyle w:val="IndexLink"/>
                <w:rtl w:val="true"/>
              </w:rPr>
              <w:t>علاج تعارض ادلّه</w:t>
            </w:r>
            <w:r>
              <w:rPr>
                <w:rStyle w:val="IndexLink"/>
                <w:rtl w:val="true"/>
              </w:rPr>
              <w:tab/>
            </w:r>
            <w:r>
              <w:rPr>
                <w:rStyle w:val="IndexLink"/>
              </w:rPr>
              <w:t>514</w:t>
            </w:r>
          </w:hyperlink>
        </w:p>
        <w:p>
          <w:pPr>
            <w:pStyle w:val="Contents6"/>
            <w:tabs>
              <w:tab w:val="clear" w:pos="7609"/>
              <w:tab w:val="right" w:pos="9026" w:leader="dot"/>
            </w:tabs>
            <w:rPr/>
          </w:pPr>
          <w:hyperlink w:anchor="__RefHeading___Toc2531515_1468164448">
            <w:r>
              <w:rPr>
                <w:webHidden/>
                <w:rStyle w:val="IndexLink"/>
                <w:rtl w:val="true"/>
              </w:rPr>
              <w:t>راه نخست</w:t>
            </w:r>
            <w:r>
              <w:rPr>
                <w:rStyle w:val="IndexLink"/>
                <w:rtl w:val="true"/>
              </w:rPr>
              <w:t xml:space="preserve">: </w:t>
            </w:r>
            <w:r>
              <w:rPr>
                <w:rStyle w:val="IndexLink"/>
                <w:rtl w:val="true"/>
              </w:rPr>
              <w:t>ترجیح سند</w:t>
            </w:r>
            <w:r>
              <w:rPr>
                <w:rStyle w:val="IndexLink"/>
                <w:rtl w:val="true"/>
              </w:rPr>
              <w:tab/>
            </w:r>
            <w:r>
              <w:rPr>
                <w:rStyle w:val="IndexLink"/>
              </w:rPr>
              <w:t>514</w:t>
            </w:r>
          </w:hyperlink>
        </w:p>
        <w:p>
          <w:pPr>
            <w:pStyle w:val="Contents6"/>
            <w:tabs>
              <w:tab w:val="clear" w:pos="7609"/>
              <w:tab w:val="right" w:pos="9026" w:leader="dot"/>
            </w:tabs>
            <w:rPr/>
          </w:pPr>
          <w:hyperlink w:anchor="__RefHeading___Toc2531517_1468164448">
            <w:r>
              <w:rPr>
                <w:webHidden/>
                <w:rStyle w:val="IndexLink"/>
                <w:rtl w:val="true"/>
              </w:rPr>
              <w:t>راه دوم</w:t>
            </w:r>
            <w:r>
              <w:rPr>
                <w:rStyle w:val="IndexLink"/>
                <w:rtl w:val="true"/>
              </w:rPr>
              <w:t xml:space="preserve">: </w:t>
            </w:r>
            <w:r>
              <w:rPr>
                <w:rStyle w:val="IndexLink"/>
                <w:rtl w:val="true"/>
              </w:rPr>
              <w:t>جمع دلالی</w:t>
            </w:r>
            <w:r>
              <w:rPr>
                <w:rStyle w:val="IndexLink"/>
                <w:rtl w:val="true"/>
              </w:rPr>
              <w:tab/>
            </w:r>
            <w:r>
              <w:rPr>
                <w:rStyle w:val="IndexLink"/>
              </w:rPr>
              <w:t>514</w:t>
            </w:r>
          </w:hyperlink>
        </w:p>
        <w:p>
          <w:pPr>
            <w:pStyle w:val="Contents6"/>
            <w:tabs>
              <w:tab w:val="clear" w:pos="7609"/>
              <w:tab w:val="right" w:pos="9026" w:leader="dot"/>
            </w:tabs>
            <w:rPr/>
          </w:pPr>
          <w:hyperlink w:anchor="__RefHeading___Toc2531519_1468164448">
            <w:r>
              <w:rPr>
                <w:webHidden/>
                <w:rStyle w:val="IndexLink"/>
                <w:rtl w:val="true"/>
              </w:rPr>
              <w:t>و</w:t>
            </w:r>
            <w:r>
              <w:rPr>
                <w:rStyle w:val="IndexLink"/>
                <w:rtl w:val="true"/>
              </w:rPr>
              <w:t xml:space="preserve">) </w:t>
            </w:r>
            <w:r>
              <w:rPr>
                <w:rStyle w:val="IndexLink"/>
                <w:rtl w:val="true"/>
              </w:rPr>
              <w:t>نتیجۀ بحث اضطرار</w:t>
            </w:r>
            <w:r>
              <w:rPr>
                <w:rStyle w:val="IndexLink"/>
                <w:rtl w:val="true"/>
              </w:rPr>
              <w:tab/>
            </w:r>
            <w:r>
              <w:rPr>
                <w:rStyle w:val="IndexLink"/>
              </w:rPr>
              <w:t>515</w:t>
            </w:r>
          </w:hyperlink>
        </w:p>
        <w:p>
          <w:pPr>
            <w:pStyle w:val="Contents4"/>
            <w:tabs>
              <w:tab w:val="clear" w:pos="8176"/>
              <w:tab w:val="right" w:pos="9026" w:leader="dot"/>
            </w:tabs>
            <w:rPr/>
          </w:pPr>
          <w:hyperlink w:anchor="__RefHeading___Toc2531521_1468164448">
            <w:r>
              <w:rPr>
                <w:webHidden/>
                <w:rStyle w:val="IndexLink"/>
                <w:rtl w:val="true"/>
              </w:rPr>
              <w:t>گفتار پنجم</w:t>
            </w:r>
            <w:r>
              <w:rPr>
                <w:rStyle w:val="IndexLink"/>
                <w:rtl w:val="true"/>
              </w:rPr>
              <w:t xml:space="preserve">: </w:t>
            </w:r>
            <w:r>
              <w:rPr>
                <w:rStyle w:val="IndexLink"/>
                <w:rtl w:val="true"/>
              </w:rPr>
              <w:t>بررسی روایت جمیل بن درّاج</w:t>
            </w:r>
            <w:r>
              <w:rPr>
                <w:rStyle w:val="IndexLink"/>
                <w:rtl w:val="true"/>
              </w:rPr>
              <w:tab/>
            </w:r>
            <w:r>
              <w:rPr>
                <w:rStyle w:val="IndexLink"/>
              </w:rPr>
              <w:t>516</w:t>
            </w:r>
          </w:hyperlink>
        </w:p>
        <w:p>
          <w:pPr>
            <w:pStyle w:val="Contents5"/>
            <w:tabs>
              <w:tab w:val="clear" w:pos="7892"/>
              <w:tab w:val="right" w:pos="9026" w:leader="dot"/>
            </w:tabs>
            <w:rPr/>
          </w:pPr>
          <w:hyperlink w:anchor="__RefHeading___Toc2531523_1468164448">
            <w:r>
              <w:rPr>
                <w:webHidden/>
                <w:rStyle w:val="IndexLink"/>
                <w:rtl w:val="true"/>
              </w:rPr>
              <w:t>اشارة</w:t>
            </w:r>
            <w:r>
              <w:rPr>
                <w:rStyle w:val="IndexLink"/>
                <w:rtl w:val="true"/>
              </w:rPr>
              <w:tab/>
            </w:r>
            <w:r>
              <w:rPr>
                <w:rStyle w:val="IndexLink"/>
              </w:rPr>
              <w:t>516</w:t>
            </w:r>
          </w:hyperlink>
        </w:p>
        <w:p>
          <w:pPr>
            <w:pStyle w:val="Contents5"/>
            <w:tabs>
              <w:tab w:val="clear" w:pos="7892"/>
              <w:tab w:val="right" w:pos="9026" w:leader="dot"/>
            </w:tabs>
            <w:rPr/>
          </w:pPr>
          <w:hyperlink w:anchor="__RefHeading___Toc2531525_1468164448">
            <w:r>
              <w:rPr>
                <w:webHidden/>
                <w:rStyle w:val="IndexLink"/>
                <w:rtl w:val="true"/>
              </w:rPr>
              <w:t>بند نخست</w:t>
            </w:r>
            <w:r>
              <w:rPr>
                <w:rStyle w:val="IndexLink"/>
                <w:rtl w:val="true"/>
              </w:rPr>
              <w:t xml:space="preserve">: </w:t>
            </w:r>
            <w:r>
              <w:rPr>
                <w:rStyle w:val="IndexLink"/>
                <w:rtl w:val="true"/>
              </w:rPr>
              <w:t>بررسی روایت</w:t>
            </w:r>
            <w:r>
              <w:rPr>
                <w:rStyle w:val="IndexLink"/>
                <w:rtl w:val="true"/>
              </w:rPr>
              <w:tab/>
            </w:r>
            <w:r>
              <w:rPr>
                <w:rStyle w:val="IndexLink"/>
              </w:rPr>
              <w:t>516</w:t>
            </w:r>
          </w:hyperlink>
        </w:p>
        <w:p>
          <w:pPr>
            <w:pStyle w:val="Contents6"/>
            <w:tabs>
              <w:tab w:val="clear" w:pos="7609"/>
              <w:tab w:val="right" w:pos="9026" w:leader="dot"/>
            </w:tabs>
            <w:rPr/>
          </w:pPr>
          <w:hyperlink w:anchor="__RefHeading___Toc2531527_1468164448">
            <w:r>
              <w:rPr>
                <w:webHidden/>
                <w:rStyle w:val="IndexLink"/>
                <w:rtl w:val="true"/>
              </w:rPr>
              <w:t>اشارة</w:t>
            </w:r>
            <w:r>
              <w:rPr>
                <w:rStyle w:val="IndexLink"/>
                <w:rtl w:val="true"/>
              </w:rPr>
              <w:tab/>
            </w:r>
            <w:r>
              <w:rPr>
                <w:rStyle w:val="IndexLink"/>
              </w:rPr>
              <w:t>516</w:t>
            </w:r>
          </w:hyperlink>
        </w:p>
        <w:p>
          <w:pPr>
            <w:pStyle w:val="Contents6"/>
            <w:tabs>
              <w:tab w:val="clear" w:pos="7609"/>
              <w:tab w:val="right" w:pos="9026" w:leader="dot"/>
            </w:tabs>
            <w:rPr/>
          </w:pPr>
          <w:hyperlink w:anchor="__RefHeading___Toc2531529_1468164448">
            <w:r>
              <w:rPr>
                <w:webHidden/>
                <w:rStyle w:val="IndexLink"/>
                <w:rtl w:val="true"/>
              </w:rPr>
              <w:t>الف</w:t>
            </w:r>
            <w:r>
              <w:rPr>
                <w:rStyle w:val="IndexLink"/>
                <w:rtl w:val="true"/>
              </w:rPr>
              <w:t xml:space="preserve">) </w:t>
            </w:r>
            <w:r>
              <w:rPr>
                <w:rStyle w:val="IndexLink"/>
                <w:rtl w:val="true"/>
              </w:rPr>
              <w:t>بررسی سند</w:t>
            </w:r>
            <w:r>
              <w:rPr>
                <w:rStyle w:val="IndexLink"/>
                <w:rtl w:val="true"/>
              </w:rPr>
              <w:t>:</w:t>
              <w:tab/>
            </w:r>
            <w:r>
              <w:rPr>
                <w:rStyle w:val="IndexLink"/>
              </w:rPr>
              <w:t>516</w:t>
            </w:r>
          </w:hyperlink>
        </w:p>
        <w:p>
          <w:pPr>
            <w:pStyle w:val="Contents6"/>
            <w:tabs>
              <w:tab w:val="clear" w:pos="7609"/>
              <w:tab w:val="right" w:pos="9026" w:leader="dot"/>
            </w:tabs>
            <w:rPr/>
          </w:pPr>
          <w:hyperlink w:anchor="__RefHeading___Toc2531531_1468164448">
            <w:r>
              <w:rPr>
                <w:webHidden/>
                <w:rStyle w:val="IndexLink"/>
                <w:rtl w:val="true"/>
              </w:rPr>
              <w:t>ب</w:t>
            </w:r>
            <w:r>
              <w:rPr>
                <w:rStyle w:val="IndexLink"/>
                <w:rtl w:val="true"/>
              </w:rPr>
              <w:t xml:space="preserve">) </w:t>
            </w:r>
            <w:r>
              <w:rPr>
                <w:rStyle w:val="IndexLink"/>
                <w:rtl w:val="true"/>
              </w:rPr>
              <w:t>بررسی دلالت</w:t>
            </w:r>
            <w:r>
              <w:rPr>
                <w:rStyle w:val="IndexLink"/>
                <w:rtl w:val="true"/>
              </w:rPr>
              <w:t>:</w:t>
              <w:tab/>
            </w:r>
            <w:r>
              <w:rPr>
                <w:rStyle w:val="IndexLink"/>
              </w:rPr>
              <w:t>517</w:t>
            </w:r>
          </w:hyperlink>
        </w:p>
        <w:p>
          <w:pPr>
            <w:pStyle w:val="Contents6"/>
            <w:tabs>
              <w:tab w:val="clear" w:pos="7609"/>
              <w:tab w:val="right" w:pos="9026" w:leader="dot"/>
            </w:tabs>
            <w:rPr/>
          </w:pPr>
          <w:hyperlink w:anchor="__RefHeading___Toc2531533_1468164448">
            <w:r>
              <w:rPr>
                <w:webHidden/>
                <w:rStyle w:val="IndexLink"/>
              </w:rPr>
              <w:t>1</w:t>
            </w:r>
            <w:r>
              <w:rPr>
                <w:rStyle w:val="IndexLink"/>
                <w:rtl w:val="true"/>
              </w:rPr>
              <w:t xml:space="preserve">- </w:t>
            </w:r>
            <w:r>
              <w:rPr>
                <w:rStyle w:val="IndexLink"/>
                <w:rtl w:val="true"/>
              </w:rPr>
              <w:t>دیدگاه محقّق خوئی</w:t>
            </w:r>
            <w:r>
              <w:rPr>
                <w:rStyle w:val="IndexLink"/>
                <w:rtl w:val="true"/>
              </w:rPr>
              <w:tab/>
            </w:r>
            <w:r>
              <w:rPr>
                <w:rStyle w:val="IndexLink"/>
              </w:rPr>
              <w:t>517</w:t>
            </w:r>
          </w:hyperlink>
        </w:p>
        <w:p>
          <w:pPr>
            <w:pStyle w:val="Contents6"/>
            <w:tabs>
              <w:tab w:val="clear" w:pos="7609"/>
              <w:tab w:val="right" w:pos="9026" w:leader="dot"/>
            </w:tabs>
            <w:rPr/>
          </w:pPr>
          <w:hyperlink w:anchor="__RefHeading___Toc2531535_1468164448">
            <w:r>
              <w:rPr>
                <w:webHidden/>
                <w:rStyle w:val="IndexLink"/>
              </w:rPr>
              <w:t>2</w:t>
            </w:r>
            <w:r>
              <w:rPr>
                <w:rStyle w:val="IndexLink"/>
                <w:rtl w:val="true"/>
              </w:rPr>
              <w:t xml:space="preserve">- </w:t>
            </w:r>
            <w:r>
              <w:rPr>
                <w:rStyle w:val="IndexLink"/>
                <w:rtl w:val="true"/>
              </w:rPr>
              <w:t>نقد دیدگاه محقّق خوئی</w:t>
            </w:r>
            <w:r>
              <w:rPr>
                <w:rStyle w:val="IndexLink"/>
                <w:rtl w:val="true"/>
              </w:rPr>
              <w:tab/>
            </w:r>
            <w:r>
              <w:rPr>
                <w:rStyle w:val="IndexLink"/>
              </w:rPr>
              <w:t>518</w:t>
            </w:r>
          </w:hyperlink>
        </w:p>
        <w:p>
          <w:pPr>
            <w:pStyle w:val="Contents5"/>
            <w:tabs>
              <w:tab w:val="clear" w:pos="7892"/>
              <w:tab w:val="right" w:pos="9026" w:leader="dot"/>
            </w:tabs>
            <w:rPr/>
          </w:pPr>
          <w:hyperlink w:anchor="__RefHeading___Toc2531537_1468164448">
            <w:r>
              <w:rPr>
                <w:webHidden/>
                <w:rStyle w:val="IndexLink"/>
                <w:rtl w:val="true"/>
              </w:rPr>
              <w:t>بند دوم</w:t>
            </w:r>
            <w:r>
              <w:rPr>
                <w:rStyle w:val="IndexLink"/>
                <w:rtl w:val="true"/>
              </w:rPr>
              <w:t xml:space="preserve">: </w:t>
            </w:r>
            <w:r>
              <w:rPr>
                <w:rStyle w:val="IndexLink"/>
                <w:rtl w:val="true"/>
              </w:rPr>
              <w:t>توجیهات شیخ انصاری</w:t>
            </w:r>
            <w:r>
              <w:rPr>
                <w:rStyle w:val="IndexLink"/>
                <w:rtl w:val="true"/>
              </w:rPr>
              <w:tab/>
            </w:r>
            <w:r>
              <w:rPr>
                <w:rStyle w:val="IndexLink"/>
              </w:rPr>
              <w:t>519</w:t>
            </w:r>
          </w:hyperlink>
        </w:p>
        <w:p>
          <w:pPr>
            <w:pStyle w:val="Contents6"/>
            <w:tabs>
              <w:tab w:val="clear" w:pos="7609"/>
              <w:tab w:val="right" w:pos="9026" w:leader="dot"/>
            </w:tabs>
            <w:rPr/>
          </w:pPr>
          <w:hyperlink w:anchor="__RefHeading___Toc2531539_1468164448">
            <w:r>
              <w:rPr>
                <w:webHidden/>
                <w:rStyle w:val="IndexLink"/>
                <w:rtl w:val="true"/>
              </w:rPr>
              <w:t>اشارة</w:t>
            </w:r>
            <w:r>
              <w:rPr>
                <w:rStyle w:val="IndexLink"/>
                <w:rtl w:val="true"/>
              </w:rPr>
              <w:tab/>
            </w:r>
            <w:r>
              <w:rPr>
                <w:rStyle w:val="IndexLink"/>
              </w:rPr>
              <w:t>519</w:t>
            </w:r>
          </w:hyperlink>
        </w:p>
        <w:p>
          <w:pPr>
            <w:pStyle w:val="Contents6"/>
            <w:tabs>
              <w:tab w:val="clear" w:pos="7609"/>
              <w:tab w:val="right" w:pos="9026" w:leader="dot"/>
            </w:tabs>
            <w:rPr/>
          </w:pPr>
          <w:hyperlink w:anchor="__RefHeading___Toc2531541_1468164448">
            <w:r>
              <w:rPr>
                <w:webHidden/>
                <w:rStyle w:val="IndexLink"/>
                <w:rtl w:val="true"/>
              </w:rPr>
              <w:t>الف</w:t>
            </w:r>
            <w:r>
              <w:rPr>
                <w:rStyle w:val="IndexLink"/>
                <w:rtl w:val="true"/>
              </w:rPr>
              <w:t xml:space="preserve">) </w:t>
            </w:r>
            <w:r>
              <w:rPr>
                <w:rStyle w:val="IndexLink"/>
                <w:rtl w:val="true"/>
              </w:rPr>
              <w:t>توجیه نخست</w:t>
            </w:r>
            <w:r>
              <w:rPr>
                <w:rStyle w:val="IndexLink"/>
                <w:rtl w:val="true"/>
              </w:rPr>
              <w:t>:</w:t>
              <w:tab/>
            </w:r>
            <w:r>
              <w:rPr>
                <w:rStyle w:val="IndexLink"/>
              </w:rPr>
              <w:t>519</w:t>
            </w:r>
          </w:hyperlink>
        </w:p>
        <w:p>
          <w:pPr>
            <w:pStyle w:val="Contents6"/>
            <w:tabs>
              <w:tab w:val="clear" w:pos="7609"/>
              <w:tab w:val="right" w:pos="9026" w:leader="dot"/>
            </w:tabs>
            <w:rPr/>
          </w:pPr>
          <w:hyperlink w:anchor="__RefHeading___Toc2531543_1468164448">
            <w:r>
              <w:rPr>
                <w:webHidden/>
                <w:rStyle w:val="IndexLink"/>
                <w:rtl w:val="true"/>
              </w:rPr>
              <w:t>ب</w:t>
            </w:r>
            <w:r>
              <w:rPr>
                <w:rStyle w:val="IndexLink"/>
                <w:rtl w:val="true"/>
              </w:rPr>
              <w:t xml:space="preserve">) </w:t>
            </w:r>
            <w:r>
              <w:rPr>
                <w:rStyle w:val="IndexLink"/>
                <w:rtl w:val="true"/>
              </w:rPr>
              <w:t>توجیه دوم</w:t>
            </w:r>
            <w:r>
              <w:rPr>
                <w:rStyle w:val="IndexLink"/>
                <w:rtl w:val="true"/>
              </w:rPr>
              <w:t>:</w:t>
              <w:tab/>
            </w:r>
            <w:r>
              <w:rPr>
                <w:rStyle w:val="IndexLink"/>
              </w:rPr>
              <w:t>519</w:t>
            </w:r>
          </w:hyperlink>
        </w:p>
        <w:p>
          <w:pPr>
            <w:pStyle w:val="Contents5"/>
            <w:tabs>
              <w:tab w:val="clear" w:pos="7892"/>
              <w:tab w:val="right" w:pos="9026" w:leader="dot"/>
            </w:tabs>
            <w:rPr/>
          </w:pPr>
          <w:hyperlink w:anchor="__RefHeading___Toc2531545_1468164448">
            <w:r>
              <w:rPr>
                <w:webHidden/>
                <w:rStyle w:val="IndexLink"/>
                <w:rtl w:val="true"/>
              </w:rPr>
              <w:t>بند سوم</w:t>
            </w:r>
            <w:r>
              <w:rPr>
                <w:rStyle w:val="IndexLink"/>
                <w:rtl w:val="true"/>
              </w:rPr>
              <w:t xml:space="preserve">: </w:t>
            </w:r>
            <w:r>
              <w:rPr>
                <w:rStyle w:val="IndexLink"/>
                <w:rtl w:val="true"/>
              </w:rPr>
              <w:t>دلالت روایت، بر جواز تکسّب به قصد سرکه‌سازی</w:t>
            </w:r>
            <w:r>
              <w:rPr>
                <w:rStyle w:val="IndexLink"/>
                <w:rtl w:val="true"/>
              </w:rPr>
              <w:tab/>
            </w:r>
            <w:r>
              <w:rPr>
                <w:rStyle w:val="IndexLink"/>
              </w:rPr>
              <w:t>521</w:t>
            </w:r>
          </w:hyperlink>
        </w:p>
        <w:p>
          <w:pPr>
            <w:pStyle w:val="Contents6"/>
            <w:tabs>
              <w:tab w:val="clear" w:pos="7609"/>
              <w:tab w:val="right" w:pos="9026" w:leader="dot"/>
            </w:tabs>
            <w:rPr/>
          </w:pPr>
          <w:hyperlink w:anchor="__RefHeading___Toc2531547_1468164448">
            <w:r>
              <w:rPr>
                <w:webHidden/>
                <w:rStyle w:val="IndexLink"/>
                <w:rtl w:val="true"/>
              </w:rPr>
              <w:t>اشارة</w:t>
            </w:r>
            <w:r>
              <w:rPr>
                <w:rStyle w:val="IndexLink"/>
                <w:rtl w:val="true"/>
              </w:rPr>
              <w:tab/>
            </w:r>
            <w:r>
              <w:rPr>
                <w:rStyle w:val="IndexLink"/>
              </w:rPr>
              <w:t>521</w:t>
            </w:r>
          </w:hyperlink>
        </w:p>
        <w:p>
          <w:pPr>
            <w:pStyle w:val="Contents6"/>
            <w:tabs>
              <w:tab w:val="clear" w:pos="7609"/>
              <w:tab w:val="right" w:pos="9026" w:leader="dot"/>
            </w:tabs>
            <w:rPr/>
          </w:pPr>
          <w:hyperlink w:anchor="__RefHeading___Toc2531549_1468164448">
            <w:r>
              <w:rPr>
                <w:webHidden/>
                <w:rStyle w:val="IndexLink"/>
                <w:rtl w:val="true"/>
              </w:rPr>
              <w:t>الف</w:t>
            </w:r>
            <w:r>
              <w:rPr>
                <w:rStyle w:val="IndexLink"/>
                <w:rtl w:val="true"/>
              </w:rPr>
              <w:t xml:space="preserve">) </w:t>
            </w:r>
            <w:r>
              <w:rPr>
                <w:rStyle w:val="IndexLink"/>
                <w:rtl w:val="true"/>
              </w:rPr>
              <w:t>بررسی دیدگاه محقّق ایروانی</w:t>
            </w:r>
            <w:r>
              <w:rPr>
                <w:rStyle w:val="IndexLink"/>
                <w:rtl w:val="true"/>
              </w:rPr>
              <w:tab/>
            </w:r>
            <w:r>
              <w:rPr>
                <w:rStyle w:val="IndexLink"/>
              </w:rPr>
              <w:t>522</w:t>
            </w:r>
          </w:hyperlink>
        </w:p>
        <w:p>
          <w:pPr>
            <w:pStyle w:val="Contents6"/>
            <w:tabs>
              <w:tab w:val="clear" w:pos="7609"/>
              <w:tab w:val="right" w:pos="9026" w:leader="dot"/>
            </w:tabs>
            <w:rPr/>
          </w:pPr>
          <w:hyperlink w:anchor="__RefHeading___Toc2531551_1468164448">
            <w:r>
              <w:rPr>
                <w:webHidden/>
                <w:rStyle w:val="IndexLink"/>
                <w:rtl w:val="true"/>
              </w:rPr>
              <w:t>ب</w:t>
            </w:r>
            <w:r>
              <w:rPr>
                <w:rStyle w:val="IndexLink"/>
                <w:rtl w:val="true"/>
              </w:rPr>
              <w:t xml:space="preserve">) </w:t>
            </w:r>
            <w:r>
              <w:rPr>
                <w:rStyle w:val="IndexLink"/>
                <w:rtl w:val="true"/>
              </w:rPr>
              <w:t>بررسی بیان ارشاد الطالب</w:t>
            </w:r>
            <w:r>
              <w:rPr>
                <w:rStyle w:val="IndexLink"/>
                <w:rtl w:val="true"/>
              </w:rPr>
              <w:tab/>
            </w:r>
            <w:r>
              <w:rPr>
                <w:rStyle w:val="IndexLink"/>
              </w:rPr>
              <w:t>524</w:t>
            </w:r>
          </w:hyperlink>
        </w:p>
        <w:p>
          <w:pPr>
            <w:pStyle w:val="Contents5"/>
            <w:tabs>
              <w:tab w:val="clear" w:pos="7892"/>
              <w:tab w:val="right" w:pos="9026" w:leader="dot"/>
            </w:tabs>
            <w:rPr/>
          </w:pPr>
          <w:hyperlink w:anchor="__RefHeading___Toc2531553_1468164448">
            <w:r>
              <w:rPr>
                <w:webHidden/>
                <w:rStyle w:val="IndexLink"/>
                <w:rtl w:val="true"/>
              </w:rPr>
              <w:t>بند چهارم</w:t>
            </w:r>
            <w:r>
              <w:rPr>
                <w:rStyle w:val="IndexLink"/>
                <w:rtl w:val="true"/>
              </w:rPr>
              <w:t xml:space="preserve">: </w:t>
            </w:r>
            <w:r>
              <w:rPr>
                <w:rStyle w:val="IndexLink"/>
                <w:rtl w:val="true"/>
              </w:rPr>
              <w:t>نسبت روایت جمیل با روایات پیشین</w:t>
            </w:r>
            <w:r>
              <w:rPr>
                <w:rStyle w:val="IndexLink"/>
                <w:rtl w:val="true"/>
              </w:rPr>
              <w:tab/>
            </w:r>
            <w:r>
              <w:rPr>
                <w:rStyle w:val="IndexLink"/>
              </w:rPr>
              <w:t>525</w:t>
            </w:r>
          </w:hyperlink>
        </w:p>
        <w:p>
          <w:pPr>
            <w:pStyle w:val="Contents6"/>
            <w:tabs>
              <w:tab w:val="clear" w:pos="7609"/>
              <w:tab w:val="right" w:pos="9026" w:leader="dot"/>
            </w:tabs>
            <w:rPr/>
          </w:pPr>
          <w:hyperlink w:anchor="__RefHeading___Toc2531555_1468164448">
            <w:r>
              <w:rPr>
                <w:webHidden/>
                <w:rStyle w:val="IndexLink"/>
                <w:rtl w:val="true"/>
              </w:rPr>
              <w:t>اشارة</w:t>
            </w:r>
            <w:r>
              <w:rPr>
                <w:rStyle w:val="IndexLink"/>
                <w:rtl w:val="true"/>
              </w:rPr>
              <w:tab/>
            </w:r>
            <w:r>
              <w:rPr>
                <w:rStyle w:val="IndexLink"/>
              </w:rPr>
              <w:t>525</w:t>
            </w:r>
          </w:hyperlink>
        </w:p>
        <w:p>
          <w:pPr>
            <w:pStyle w:val="Contents6"/>
            <w:tabs>
              <w:tab w:val="clear" w:pos="7609"/>
              <w:tab w:val="right" w:pos="9026" w:leader="dot"/>
            </w:tabs>
            <w:rPr/>
          </w:pPr>
          <w:hyperlink w:anchor="__RefHeading___Toc2531557_1468164448">
            <w:r>
              <w:rPr>
                <w:webHidden/>
                <w:rStyle w:val="IndexLink"/>
                <w:rtl w:val="true"/>
              </w:rPr>
              <w:t>الف</w:t>
            </w:r>
            <w:r>
              <w:rPr>
                <w:rStyle w:val="IndexLink"/>
                <w:rtl w:val="true"/>
              </w:rPr>
              <w:t xml:space="preserve">) </w:t>
            </w:r>
            <w:r>
              <w:rPr>
                <w:rStyle w:val="IndexLink"/>
                <w:rtl w:val="true"/>
              </w:rPr>
              <w:t>احتمال نخست</w:t>
            </w:r>
            <w:r>
              <w:rPr>
                <w:rStyle w:val="IndexLink"/>
                <w:rtl w:val="true"/>
              </w:rPr>
              <w:t>:</w:t>
              <w:tab/>
            </w:r>
            <w:r>
              <w:rPr>
                <w:rStyle w:val="IndexLink"/>
              </w:rPr>
              <w:t>525</w:t>
            </w:r>
          </w:hyperlink>
        </w:p>
        <w:p>
          <w:pPr>
            <w:pStyle w:val="Contents6"/>
            <w:tabs>
              <w:tab w:val="clear" w:pos="7609"/>
              <w:tab w:val="right" w:pos="9026" w:leader="dot"/>
            </w:tabs>
            <w:rPr/>
          </w:pPr>
          <w:hyperlink w:anchor="__RefHeading___Toc2531559_1468164448">
            <w:r>
              <w:rPr>
                <w:webHidden/>
                <w:rStyle w:val="IndexLink"/>
                <w:rtl w:val="true"/>
              </w:rPr>
              <w:t>ب</w:t>
            </w:r>
            <w:r>
              <w:rPr>
                <w:rStyle w:val="IndexLink"/>
                <w:rtl w:val="true"/>
              </w:rPr>
              <w:t xml:space="preserve">) </w:t>
            </w:r>
            <w:r>
              <w:rPr>
                <w:rStyle w:val="IndexLink"/>
                <w:rtl w:val="true"/>
              </w:rPr>
              <w:t>احتمال دوم</w:t>
            </w:r>
            <w:r>
              <w:rPr>
                <w:rStyle w:val="IndexLink"/>
                <w:rtl w:val="true"/>
              </w:rPr>
              <w:t>:</w:t>
              <w:tab/>
            </w:r>
            <w:r>
              <w:rPr>
                <w:rStyle w:val="IndexLink"/>
              </w:rPr>
              <w:t>526</w:t>
            </w:r>
          </w:hyperlink>
        </w:p>
        <w:p>
          <w:pPr>
            <w:pStyle w:val="Contents4"/>
            <w:tabs>
              <w:tab w:val="clear" w:pos="8176"/>
              <w:tab w:val="right" w:pos="9026" w:leader="dot"/>
            </w:tabs>
            <w:rPr/>
          </w:pPr>
          <w:hyperlink w:anchor="__RefHeading___Toc2531561_1468164448">
            <w:r>
              <w:rPr>
                <w:webHidden/>
                <w:rStyle w:val="IndexLink"/>
                <w:rtl w:val="true"/>
              </w:rPr>
              <w:t>گفتار ششم</w:t>
            </w:r>
            <w:r>
              <w:rPr>
                <w:rStyle w:val="IndexLink"/>
                <w:rtl w:val="true"/>
              </w:rPr>
              <w:t xml:space="preserve">: </w:t>
            </w:r>
            <w:r>
              <w:rPr>
                <w:rStyle w:val="IndexLink"/>
                <w:rtl w:val="true"/>
              </w:rPr>
              <w:t>معاملۀ خمر میان دو غیرمسلمان</w:t>
            </w:r>
            <w:r>
              <w:rPr>
                <w:rStyle w:val="IndexLink"/>
                <w:rtl w:val="true"/>
              </w:rPr>
              <w:tab/>
            </w:r>
            <w:r>
              <w:rPr>
                <w:rStyle w:val="IndexLink"/>
              </w:rPr>
              <w:t>528</w:t>
            </w:r>
          </w:hyperlink>
        </w:p>
        <w:p>
          <w:pPr>
            <w:pStyle w:val="Contents5"/>
            <w:tabs>
              <w:tab w:val="clear" w:pos="7892"/>
              <w:tab w:val="right" w:pos="9026" w:leader="dot"/>
            </w:tabs>
            <w:rPr/>
          </w:pPr>
          <w:hyperlink w:anchor="__RefHeading___Toc2531563_1468164448">
            <w:r>
              <w:rPr>
                <w:webHidden/>
                <w:rStyle w:val="IndexLink"/>
                <w:rtl w:val="true"/>
              </w:rPr>
              <w:t>اشارة</w:t>
            </w:r>
            <w:r>
              <w:rPr>
                <w:rStyle w:val="IndexLink"/>
                <w:rtl w:val="true"/>
              </w:rPr>
              <w:tab/>
            </w:r>
            <w:r>
              <w:rPr>
                <w:rStyle w:val="IndexLink"/>
              </w:rPr>
              <w:t>528</w:t>
            </w:r>
          </w:hyperlink>
        </w:p>
        <w:p>
          <w:pPr>
            <w:pStyle w:val="Contents5"/>
            <w:tabs>
              <w:tab w:val="clear" w:pos="7892"/>
              <w:tab w:val="right" w:pos="9026" w:leader="dot"/>
            </w:tabs>
            <w:rPr/>
          </w:pPr>
          <w:hyperlink w:anchor="__RefHeading___Toc2531565_1468164448">
            <w:r>
              <w:rPr>
                <w:webHidden/>
                <w:rStyle w:val="IndexLink"/>
                <w:rtl w:val="true"/>
              </w:rPr>
              <w:t>بند نخست</w:t>
            </w:r>
            <w:r>
              <w:rPr>
                <w:rStyle w:val="IndexLink"/>
                <w:rtl w:val="true"/>
              </w:rPr>
              <w:t xml:space="preserve">: </w:t>
            </w:r>
            <w:r>
              <w:rPr>
                <w:rStyle w:val="IndexLink"/>
                <w:rtl w:val="true"/>
              </w:rPr>
              <w:t>ادلّۀ دالّ بر اطلاق</w:t>
            </w:r>
            <w:r>
              <w:rPr>
                <w:rStyle w:val="IndexLink"/>
                <w:rtl w:val="true"/>
              </w:rPr>
              <w:tab/>
            </w:r>
            <w:r>
              <w:rPr>
                <w:rStyle w:val="IndexLink"/>
              </w:rPr>
              <w:t>528</w:t>
            </w:r>
          </w:hyperlink>
        </w:p>
        <w:p>
          <w:pPr>
            <w:pStyle w:val="Contents5"/>
            <w:tabs>
              <w:tab w:val="clear" w:pos="7892"/>
              <w:tab w:val="right" w:pos="9026" w:leader="dot"/>
            </w:tabs>
            <w:rPr/>
          </w:pPr>
          <w:hyperlink w:anchor="__RefHeading___Toc2531567_1468164448">
            <w:r>
              <w:rPr>
                <w:webHidden/>
                <w:rStyle w:val="IndexLink"/>
                <w:rtl w:val="true"/>
              </w:rPr>
              <w:t>بند دوم</w:t>
            </w:r>
            <w:r>
              <w:rPr>
                <w:rStyle w:val="IndexLink"/>
                <w:rtl w:val="true"/>
              </w:rPr>
              <w:t xml:space="preserve">: </w:t>
            </w:r>
            <w:r>
              <w:rPr>
                <w:rStyle w:val="IndexLink"/>
                <w:rtl w:val="true"/>
              </w:rPr>
              <w:t>ادلّۀ دالّ بر تفصیل</w:t>
            </w:r>
            <w:r>
              <w:rPr>
                <w:rStyle w:val="IndexLink"/>
                <w:rtl w:val="true"/>
              </w:rPr>
              <w:tab/>
            </w:r>
            <w:r>
              <w:rPr>
                <w:rStyle w:val="IndexLink"/>
              </w:rPr>
              <w:t>529</w:t>
            </w:r>
          </w:hyperlink>
        </w:p>
        <w:p>
          <w:pPr>
            <w:pStyle w:val="Contents5"/>
            <w:tabs>
              <w:tab w:val="clear" w:pos="7892"/>
              <w:tab w:val="right" w:pos="9026" w:leader="dot"/>
            </w:tabs>
            <w:rPr/>
          </w:pPr>
          <w:hyperlink w:anchor="__RefHeading___Toc2531569_1468164448">
            <w:r>
              <w:rPr>
                <w:webHidden/>
                <w:rStyle w:val="IndexLink"/>
                <w:rtl w:val="true"/>
              </w:rPr>
              <w:t>بند سوم</w:t>
            </w:r>
            <w:r>
              <w:rPr>
                <w:rStyle w:val="IndexLink"/>
                <w:rtl w:val="true"/>
              </w:rPr>
              <w:t xml:space="preserve">: </w:t>
            </w:r>
            <w:r>
              <w:rPr>
                <w:rStyle w:val="IndexLink"/>
                <w:rtl w:val="true"/>
              </w:rPr>
              <w:t>راه جمع میان ادلّه</w:t>
            </w:r>
            <w:r>
              <w:rPr>
                <w:rStyle w:val="IndexLink"/>
                <w:rtl w:val="true"/>
              </w:rPr>
              <w:tab/>
            </w:r>
            <w:r>
              <w:rPr>
                <w:rStyle w:val="IndexLink"/>
              </w:rPr>
              <w:t>533</w:t>
            </w:r>
          </w:hyperlink>
        </w:p>
        <w:p>
          <w:pPr>
            <w:pStyle w:val="Contents6"/>
            <w:tabs>
              <w:tab w:val="clear" w:pos="7609"/>
              <w:tab w:val="right" w:pos="9026" w:leader="dot"/>
            </w:tabs>
            <w:rPr/>
          </w:pPr>
          <w:hyperlink w:anchor="__RefHeading___Toc2531571_1468164448">
            <w:r>
              <w:rPr>
                <w:webHidden/>
                <w:rStyle w:val="IndexLink"/>
                <w:rtl w:val="true"/>
              </w:rPr>
              <w:t>اشارة</w:t>
            </w:r>
            <w:r>
              <w:rPr>
                <w:rStyle w:val="IndexLink"/>
                <w:rtl w:val="true"/>
              </w:rPr>
              <w:tab/>
            </w:r>
            <w:r>
              <w:rPr>
                <w:rStyle w:val="IndexLink"/>
              </w:rPr>
              <w:t>533</w:t>
            </w:r>
          </w:hyperlink>
        </w:p>
        <w:p>
          <w:pPr>
            <w:pStyle w:val="Contents6"/>
            <w:tabs>
              <w:tab w:val="clear" w:pos="7609"/>
              <w:tab w:val="right" w:pos="9026" w:leader="dot"/>
            </w:tabs>
            <w:rPr/>
          </w:pPr>
          <w:hyperlink w:anchor="__RefHeading___Toc2531573_1468164448">
            <w:r>
              <w:rPr>
                <w:webHidden/>
                <w:rStyle w:val="IndexLink"/>
                <w:rtl w:val="true"/>
              </w:rPr>
              <w:t>الف</w:t>
            </w:r>
            <w:r>
              <w:rPr>
                <w:rStyle w:val="IndexLink"/>
                <w:rtl w:val="true"/>
              </w:rPr>
              <w:t xml:space="preserve">) </w:t>
            </w:r>
            <w:r>
              <w:rPr>
                <w:rStyle w:val="IndexLink"/>
                <w:rtl w:val="true"/>
              </w:rPr>
              <w:t>بیان نخست</w:t>
            </w:r>
            <w:r>
              <w:rPr>
                <w:rStyle w:val="IndexLink"/>
                <w:rtl w:val="true"/>
              </w:rPr>
              <w:t xml:space="preserve">: </w:t>
            </w:r>
            <w:r>
              <w:rPr>
                <w:rStyle w:val="IndexLink"/>
                <w:rtl w:val="true"/>
              </w:rPr>
              <w:t>تقیید</w:t>
            </w:r>
            <w:r>
              <w:rPr>
                <w:rStyle w:val="IndexLink"/>
                <w:rtl w:val="true"/>
              </w:rPr>
              <w:t>:</w:t>
              <w:tab/>
            </w:r>
            <w:r>
              <w:rPr>
                <w:rStyle w:val="IndexLink"/>
              </w:rPr>
              <w:t>533</w:t>
            </w:r>
          </w:hyperlink>
        </w:p>
        <w:p>
          <w:pPr>
            <w:pStyle w:val="Contents6"/>
            <w:tabs>
              <w:tab w:val="clear" w:pos="7609"/>
              <w:tab w:val="right" w:pos="9026" w:leader="dot"/>
            </w:tabs>
            <w:rPr/>
          </w:pPr>
          <w:hyperlink w:anchor="__RefHeading___Toc2531575_1468164448">
            <w:r>
              <w:rPr>
                <w:webHidden/>
                <w:rStyle w:val="IndexLink"/>
                <w:rtl w:val="true"/>
              </w:rPr>
              <w:t>ب</w:t>
            </w:r>
            <w:r>
              <w:rPr>
                <w:rStyle w:val="IndexLink"/>
                <w:rtl w:val="true"/>
              </w:rPr>
              <w:t xml:space="preserve">) </w:t>
            </w:r>
            <w:r>
              <w:rPr>
                <w:rStyle w:val="IndexLink"/>
                <w:rtl w:val="true"/>
              </w:rPr>
              <w:t>بیان دوم</w:t>
            </w:r>
            <w:r>
              <w:rPr>
                <w:rStyle w:val="IndexLink"/>
                <w:rtl w:val="true"/>
              </w:rPr>
              <w:t>:</w:t>
              <w:tab/>
            </w:r>
            <w:r>
              <w:rPr>
                <w:rStyle w:val="IndexLink"/>
              </w:rPr>
              <w:t>536</w:t>
            </w:r>
          </w:hyperlink>
        </w:p>
        <w:p>
          <w:pPr>
            <w:pStyle w:val="Contents6"/>
            <w:tabs>
              <w:tab w:val="clear" w:pos="7609"/>
              <w:tab w:val="right" w:pos="9026" w:leader="dot"/>
            </w:tabs>
            <w:rPr/>
          </w:pPr>
          <w:hyperlink w:anchor="__RefHeading___Toc2531577_1468164448">
            <w:r>
              <w:rPr>
                <w:webHidden/>
                <w:rStyle w:val="IndexLink"/>
                <w:rtl w:val="true"/>
              </w:rPr>
              <w:t>ج</w:t>
            </w:r>
            <w:r>
              <w:rPr>
                <w:rStyle w:val="IndexLink"/>
                <w:rtl w:val="true"/>
              </w:rPr>
              <w:t xml:space="preserve">) </w:t>
            </w:r>
            <w:r>
              <w:rPr>
                <w:rStyle w:val="IndexLink"/>
                <w:rtl w:val="true"/>
              </w:rPr>
              <w:t>بیان سوم</w:t>
            </w:r>
            <w:r>
              <w:rPr>
                <w:rStyle w:val="IndexLink"/>
                <w:rtl w:val="true"/>
              </w:rPr>
              <w:t>:</w:t>
              <w:tab/>
            </w:r>
            <w:r>
              <w:rPr>
                <w:rStyle w:val="IndexLink"/>
              </w:rPr>
              <w:t>538</w:t>
            </w:r>
          </w:hyperlink>
        </w:p>
        <w:p>
          <w:pPr>
            <w:pStyle w:val="Contents4"/>
            <w:tabs>
              <w:tab w:val="clear" w:pos="8176"/>
              <w:tab w:val="right" w:pos="9026" w:leader="dot"/>
            </w:tabs>
            <w:rPr/>
          </w:pPr>
          <w:hyperlink w:anchor="__RefHeading___Toc2531579_1468164448">
            <w:r>
              <w:rPr>
                <w:webHidden/>
                <w:rStyle w:val="IndexLink"/>
                <w:rtl w:val="true"/>
              </w:rPr>
              <w:t>گفتار هفتم</w:t>
            </w:r>
            <w:r>
              <w:rPr>
                <w:rStyle w:val="IndexLink"/>
                <w:rtl w:val="true"/>
              </w:rPr>
              <w:t xml:space="preserve">: </w:t>
            </w:r>
            <w:r>
              <w:rPr>
                <w:rStyle w:val="IndexLink"/>
                <w:rtl w:val="true"/>
              </w:rPr>
              <w:t>فروختن خمر به غیرمسلمان</w:t>
            </w:r>
            <w:r>
              <w:rPr>
                <w:rStyle w:val="IndexLink"/>
                <w:rtl w:val="true"/>
              </w:rPr>
              <w:tab/>
            </w:r>
            <w:r>
              <w:rPr>
                <w:rStyle w:val="IndexLink"/>
              </w:rPr>
              <w:t>539</w:t>
            </w:r>
          </w:hyperlink>
        </w:p>
        <w:p>
          <w:pPr>
            <w:pStyle w:val="Contents4"/>
            <w:tabs>
              <w:tab w:val="clear" w:pos="8176"/>
              <w:tab w:val="right" w:pos="9026" w:leader="dot"/>
            </w:tabs>
            <w:rPr/>
          </w:pPr>
          <w:hyperlink w:anchor="__RefHeading___Toc2531581_1468164448">
            <w:r>
              <w:rPr>
                <w:webHidden/>
                <w:rStyle w:val="IndexLink"/>
                <w:rtl w:val="true"/>
              </w:rPr>
              <w:t>گفتار هشتم</w:t>
            </w:r>
            <w:r>
              <w:rPr>
                <w:rStyle w:val="IndexLink"/>
                <w:rtl w:val="true"/>
              </w:rPr>
              <w:t xml:space="preserve">: </w:t>
            </w:r>
            <w:r>
              <w:rPr>
                <w:rStyle w:val="IndexLink"/>
                <w:rtl w:val="true"/>
              </w:rPr>
              <w:t>فروش مُسکر جامد</w:t>
            </w:r>
            <w:r>
              <w:rPr>
                <w:rStyle w:val="IndexLink"/>
                <w:rtl w:val="true"/>
              </w:rPr>
              <w:tab/>
            </w:r>
            <w:r>
              <w:rPr>
                <w:rStyle w:val="IndexLink"/>
              </w:rPr>
              <w:t>543</w:t>
            </w:r>
          </w:hyperlink>
        </w:p>
        <w:p>
          <w:pPr>
            <w:pStyle w:val="Contents5"/>
            <w:tabs>
              <w:tab w:val="clear" w:pos="7892"/>
              <w:tab w:val="right" w:pos="9026" w:leader="dot"/>
            </w:tabs>
            <w:rPr/>
          </w:pPr>
          <w:hyperlink w:anchor="__RefHeading___Toc2531583_1468164448">
            <w:r>
              <w:rPr>
                <w:webHidden/>
                <w:rStyle w:val="IndexLink"/>
                <w:rtl w:val="true"/>
              </w:rPr>
              <w:t>اشارة</w:t>
            </w:r>
            <w:r>
              <w:rPr>
                <w:rStyle w:val="IndexLink"/>
                <w:rtl w:val="true"/>
              </w:rPr>
              <w:tab/>
            </w:r>
            <w:r>
              <w:rPr>
                <w:rStyle w:val="IndexLink"/>
              </w:rPr>
              <w:t>543</w:t>
            </w:r>
          </w:hyperlink>
        </w:p>
        <w:p>
          <w:pPr>
            <w:pStyle w:val="Contents5"/>
            <w:tabs>
              <w:tab w:val="clear" w:pos="7892"/>
              <w:tab w:val="right" w:pos="9026" w:leader="dot"/>
            </w:tabs>
            <w:rPr/>
          </w:pPr>
          <w:hyperlink w:anchor="__RefHeading___Toc2531585_1468164448">
            <w:r>
              <w:rPr>
                <w:webHidden/>
                <w:rStyle w:val="IndexLink"/>
                <w:rtl w:val="true"/>
              </w:rPr>
              <w:t>بند نخست</w:t>
            </w:r>
            <w:r>
              <w:rPr>
                <w:rStyle w:val="IndexLink"/>
                <w:rtl w:val="true"/>
              </w:rPr>
              <w:t xml:space="preserve">: </w:t>
            </w:r>
            <w:r>
              <w:rPr>
                <w:rStyle w:val="IndexLink"/>
                <w:rtl w:val="true"/>
              </w:rPr>
              <w:t>تنقیح صورت مسئله</w:t>
            </w:r>
            <w:r>
              <w:rPr>
                <w:rStyle w:val="IndexLink"/>
                <w:rtl w:val="true"/>
              </w:rPr>
              <w:tab/>
            </w:r>
            <w:r>
              <w:rPr>
                <w:rStyle w:val="IndexLink"/>
              </w:rPr>
              <w:t>543</w:t>
            </w:r>
          </w:hyperlink>
        </w:p>
        <w:p>
          <w:pPr>
            <w:pStyle w:val="Contents5"/>
            <w:tabs>
              <w:tab w:val="clear" w:pos="7892"/>
              <w:tab w:val="right" w:pos="9026" w:leader="dot"/>
            </w:tabs>
            <w:rPr/>
          </w:pPr>
          <w:hyperlink w:anchor="__RefHeading___Toc2531587_1468164448">
            <w:r>
              <w:rPr>
                <w:webHidden/>
                <w:rStyle w:val="IndexLink"/>
                <w:rtl w:val="true"/>
              </w:rPr>
              <w:t>بند دوم</w:t>
            </w:r>
            <w:r>
              <w:rPr>
                <w:rStyle w:val="IndexLink"/>
                <w:rtl w:val="true"/>
              </w:rPr>
              <w:t xml:space="preserve">: </w:t>
            </w:r>
            <w:r>
              <w:rPr>
                <w:rStyle w:val="IndexLink"/>
                <w:rtl w:val="true"/>
              </w:rPr>
              <w:t>بررسی ادلّه</w:t>
            </w:r>
            <w:r>
              <w:rPr>
                <w:rStyle w:val="IndexLink"/>
                <w:rtl w:val="true"/>
              </w:rPr>
              <w:tab/>
            </w:r>
            <w:r>
              <w:rPr>
                <w:rStyle w:val="IndexLink"/>
              </w:rPr>
              <w:t>544</w:t>
            </w:r>
          </w:hyperlink>
        </w:p>
        <w:p>
          <w:pPr>
            <w:pStyle w:val="Contents6"/>
            <w:tabs>
              <w:tab w:val="clear" w:pos="7609"/>
              <w:tab w:val="right" w:pos="9026" w:leader="dot"/>
            </w:tabs>
            <w:rPr/>
          </w:pPr>
          <w:hyperlink w:anchor="__RefHeading___Toc2531589_1468164448">
            <w:r>
              <w:rPr>
                <w:webHidden/>
                <w:rStyle w:val="IndexLink"/>
                <w:rtl w:val="true"/>
              </w:rPr>
              <w:t>اشارة</w:t>
            </w:r>
            <w:r>
              <w:rPr>
                <w:rStyle w:val="IndexLink"/>
                <w:rtl w:val="true"/>
              </w:rPr>
              <w:tab/>
            </w:r>
            <w:r>
              <w:rPr>
                <w:rStyle w:val="IndexLink"/>
              </w:rPr>
              <w:t>544</w:t>
            </w:r>
          </w:hyperlink>
        </w:p>
        <w:p>
          <w:pPr>
            <w:pStyle w:val="Contents6"/>
            <w:tabs>
              <w:tab w:val="clear" w:pos="7609"/>
              <w:tab w:val="right" w:pos="9026" w:leader="dot"/>
            </w:tabs>
            <w:rPr/>
          </w:pPr>
          <w:hyperlink w:anchor="__RefHeading___Toc2531591_1468164448">
            <w:r>
              <w:rPr>
                <w:webHidden/>
                <w:rStyle w:val="IndexLink"/>
                <w:rtl w:val="true"/>
              </w:rPr>
              <w:t>الف</w:t>
            </w:r>
            <w:r>
              <w:rPr>
                <w:rStyle w:val="IndexLink"/>
                <w:rtl w:val="true"/>
              </w:rPr>
              <w:t xml:space="preserve">) </w:t>
            </w:r>
            <w:r>
              <w:rPr>
                <w:rStyle w:val="IndexLink"/>
                <w:rtl w:val="true"/>
              </w:rPr>
              <w:t>مراجعه به لغت</w:t>
            </w:r>
            <w:r>
              <w:rPr>
                <w:rStyle w:val="IndexLink"/>
                <w:rtl w:val="true"/>
              </w:rPr>
              <w:tab/>
            </w:r>
            <w:r>
              <w:rPr>
                <w:rStyle w:val="IndexLink"/>
              </w:rPr>
              <w:t>544</w:t>
            </w:r>
          </w:hyperlink>
        </w:p>
        <w:p>
          <w:pPr>
            <w:pStyle w:val="Contents6"/>
            <w:tabs>
              <w:tab w:val="clear" w:pos="7609"/>
              <w:tab w:val="right" w:pos="9026" w:leader="dot"/>
            </w:tabs>
            <w:rPr/>
          </w:pPr>
          <w:hyperlink w:anchor="__RefHeading___Toc2531593_1468164448">
            <w:r>
              <w:rPr>
                <w:webHidden/>
                <w:rStyle w:val="IndexLink"/>
                <w:rtl w:val="true"/>
              </w:rPr>
              <w:t>ب</w:t>
            </w:r>
            <w:r>
              <w:rPr>
                <w:rStyle w:val="IndexLink"/>
                <w:rtl w:val="true"/>
              </w:rPr>
              <w:t xml:space="preserve">) </w:t>
            </w:r>
            <w:r>
              <w:rPr>
                <w:rStyle w:val="IndexLink"/>
                <w:rtl w:val="true"/>
              </w:rPr>
              <w:t>روایات</w:t>
            </w:r>
            <w:r>
              <w:rPr>
                <w:rStyle w:val="IndexLink"/>
                <w:rtl w:val="true"/>
              </w:rPr>
              <w:tab/>
            </w:r>
            <w:r>
              <w:rPr>
                <w:rStyle w:val="IndexLink"/>
              </w:rPr>
              <w:t>546</w:t>
            </w:r>
          </w:hyperlink>
        </w:p>
        <w:p>
          <w:pPr>
            <w:pStyle w:val="Contents6"/>
            <w:tabs>
              <w:tab w:val="clear" w:pos="7609"/>
              <w:tab w:val="right" w:pos="9026" w:leader="dot"/>
            </w:tabs>
            <w:rPr/>
          </w:pPr>
          <w:hyperlink w:anchor="__RefHeading___Toc2531595_1468164448">
            <w:r>
              <w:rPr>
                <w:webHidden/>
                <w:rStyle w:val="IndexLink"/>
                <w:rtl w:val="true"/>
              </w:rPr>
              <w:t>ج</w:t>
            </w:r>
            <w:r>
              <w:rPr>
                <w:rStyle w:val="IndexLink"/>
                <w:rtl w:val="true"/>
              </w:rPr>
              <w:t xml:space="preserve">) </w:t>
            </w:r>
            <w:r>
              <w:rPr>
                <w:rStyle w:val="IndexLink"/>
                <w:rtl w:val="true"/>
              </w:rPr>
              <w:t>دلیل سوم</w:t>
            </w:r>
            <w:r>
              <w:rPr>
                <w:rStyle w:val="IndexLink"/>
                <w:rtl w:val="true"/>
              </w:rPr>
              <w:tab/>
            </w:r>
            <w:r>
              <w:rPr>
                <w:rStyle w:val="IndexLink"/>
              </w:rPr>
              <w:t>549</w:t>
            </w:r>
          </w:hyperlink>
        </w:p>
        <w:p>
          <w:pPr>
            <w:pStyle w:val="Contents2"/>
            <w:tabs>
              <w:tab w:val="clear" w:pos="8743"/>
              <w:tab w:val="right" w:pos="9026" w:leader="dot"/>
            </w:tabs>
            <w:rPr/>
          </w:pPr>
          <w:hyperlink w:anchor="__RefHeading___Toc2531597_1468164448">
            <w:r>
              <w:rPr>
                <w:webHidden/>
                <w:rStyle w:val="IndexLink"/>
                <w:rtl w:val="true"/>
              </w:rPr>
              <w:t>فهرست مطالب</w:t>
            </w:r>
            <w:r>
              <w:rPr>
                <w:rStyle w:val="IndexLink"/>
                <w:rtl w:val="true"/>
              </w:rPr>
              <w:tab/>
            </w:r>
            <w:r>
              <w:rPr>
                <w:rStyle w:val="IndexLink"/>
              </w:rPr>
              <w:t>550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785_134878"/>
      <w:bookmarkStart w:id="1" w:name="pg13785_134878"/>
      <w:bookmarkEnd w:id="1"/>
    </w:p>
    <w:p>
      <w:pPr>
        <w:pStyle w:val="Heading2"/>
        <w:numPr>
          <w:ilvl w:val="1"/>
          <w:numId w:val="1"/>
        </w:numPr>
        <w:rPr/>
      </w:pPr>
      <w:bookmarkStart w:id="2" w:name="pg13785_134878"/>
      <w:bookmarkStart w:id="3" w:name="__RefHeading___Toc2530691_1468164448"/>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فاضل‌لنکرانی، محمدجواد،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Fadhil Lankarani, Muhammad Jawad</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المکاسب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 محرمه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 خارج‌فقه حضرت آیه‌الله حاج شیخ محمدجواد فاضل‌لنکرانی دام‌ظله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 و تنظیم محسن برهان‌مجرد، محسن ابوالحسنی؛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پژوهش، مرکز فقهی ائمه‌اطهار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فقهی ائمه‌اطهار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فقه ائمه‌اطهار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۶۰۰۰۰۰</w:t>
      </w:r>
      <w:r>
        <w:rPr>
          <w:rFonts w:ascii="IRNazanin" w:hAnsi="IRNazanin" w:eastAsia="IRNazanin"/>
          <w:color w:val="111111"/>
          <w:sz w:val="28"/>
          <w:sz w:val="28"/>
          <w:szCs w:val="28"/>
          <w:rtl w:val="true"/>
          <w:lang w:bidi="fa-IR"/>
        </w:rPr>
        <w:t xml:space="preserve"> ﷼‌دوره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w:t>
      </w:r>
      <w:r>
        <w:rPr>
          <w:rFonts w:eastAsia="IRNazanin" w:cs="IRNazanin"/>
          <w:color w:val="111111"/>
          <w:sz w:val="28"/>
          <w:szCs w:val="28"/>
          <w:lang w:bidi="fa-IR"/>
        </w:rPr>
        <w:t>069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w:t>
      </w:r>
      <w:r>
        <w:rPr>
          <w:rFonts w:eastAsia="IRNazanin" w:cs="IRNazanin"/>
          <w:color w:val="111111"/>
          <w:sz w:val="28"/>
          <w:szCs w:val="28"/>
          <w:lang w:bidi="fa-IR"/>
        </w:rPr>
        <w:t>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w:t>
      </w:r>
      <w:r>
        <w:rPr>
          <w:rFonts w:eastAsia="IRNazanin" w:cs="IRNazanin"/>
          <w:color w:val="111111"/>
          <w:sz w:val="28"/>
          <w:szCs w:val="28"/>
          <w:lang w:bidi="fa-IR"/>
        </w:rPr>
        <w:t>071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شرحی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مرتضی‌بن‌محمدامین انصاری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 مرتضی بن محمدامین، </w:t>
      </w:r>
      <w:r>
        <w:rPr>
          <w:rFonts w:ascii="IRNazanin" w:hAnsi="IRNazanin" w:eastAsia="IRNazanin"/>
          <w:color w:val="111111"/>
          <w:sz w:val="28"/>
          <w:sz w:val="28"/>
          <w:szCs w:val="28"/>
          <w:lang w:bidi="fa-IR"/>
        </w:rPr>
        <w:t>۱۲۱۴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Transactions (Islamic law)</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مجرد، محسن،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ابوالحسنی، محسن،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 مرتضی بن محمدامین، </w:t>
      </w:r>
      <w:r>
        <w:rPr>
          <w:rFonts w:ascii="IRNazanin" w:hAnsi="IRNazanin" w:eastAsia="IRNazanin"/>
          <w:color w:val="111111"/>
          <w:sz w:val="28"/>
          <w:sz w:val="28"/>
          <w:szCs w:val="28"/>
          <w:lang w:bidi="fa-IR"/>
        </w:rPr>
        <w:t>۱۲۱۴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فقهی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پژوهش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فقهی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۷۰۴۲۲۶۷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۴۸۴۵۶۰۵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30693_1468164448"/>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مکاسب محرمه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 خارج فقه حضرت آیه‌الله حاج شیخ محمدجواد فاضل‌لنکرانی دام‌ظله جلد اول</w:t>
      </w:r>
    </w:p>
    <w:p>
      <w:pPr>
        <w:pStyle w:val="BookText"/>
        <w:rPr/>
      </w:pPr>
      <w:r>
        <w:rPr>
          <w:rFonts w:ascii="IRNazanin" w:hAnsi="IRNazanin" w:eastAsia="IRNazanin"/>
          <w:color w:val="111111"/>
          <w:sz w:val="28"/>
          <w:sz w:val="28"/>
          <w:szCs w:val="28"/>
          <w:rtl w:val="true"/>
          <w:lang w:bidi="fa-IR"/>
        </w:rPr>
        <w:t>تقریر و تنظیم محسن برهان‌مجرد، محسن ابوالحسنی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معاونت پژوهش، مرکز فقهی ائمه‌اطهار علیهم‌السلام</w:t>
      </w:r>
      <w:r>
        <w:rPr>
          <w:rFonts w:eastAsia="IRNazanin" w:cs="IRNazanin"/>
          <w:color w:val="111111"/>
          <w:sz w:val="28"/>
          <w:szCs w:val="28"/>
          <w:rtl w:val="true"/>
          <w:lang w:bidi="fa-IR"/>
        </w:rPr>
        <w:t>.</w:t>
      </w:r>
      <w:bookmarkStart w:id="7" w:name="pg13785_134882"/>
    </w:p>
    <w:p>
      <w:pPr>
        <w:pStyle w:val="Heading2"/>
        <w:numPr>
          <w:ilvl w:val="1"/>
          <w:numId w:val="1"/>
        </w:numPr>
        <w:rPr/>
      </w:pPr>
      <w:bookmarkStart w:id="8" w:name="__RefHeading___Toc2530695_1468164448"/>
      <w:bookmarkStart w:id="9" w:name="_Toc3"/>
      <w:bookmarkEnd w:id="7"/>
      <w:bookmarkEnd w:id="8"/>
      <w:r>
        <w:rPr>
          <w:rtl w:val="true"/>
        </w:rPr>
        <w:t>پیش گفتار</w:t>
      </w:r>
      <w:bookmarkEnd w:id="9"/>
    </w:p>
    <w:p>
      <w:pPr>
        <w:pStyle w:val="BookText"/>
        <w:rPr/>
      </w:pPr>
      <w:r>
        <w:rPr>
          <w:rFonts w:ascii="IRNazanin" w:hAnsi="IRNazanin" w:eastAsia="IRNazanin"/>
          <w:color w:val="111111"/>
          <w:sz w:val="28"/>
          <w:sz w:val="28"/>
          <w:szCs w:val="28"/>
          <w:rtl w:val="true"/>
          <w:lang w:bidi="fa-IR"/>
        </w:rPr>
        <w:t>از نقاط درخشان فقه شیعه، پویایی و بالندگی در مباحث معاملات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از فقهای امامیه، از متقدّمین و متأخّرین، نسبت به این مباحث اعتنای خاصّی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توجّه فقه و نگاه عمیق صاحبان علم فقه به مردم و بازار و آنچه که در هر زمانی متعارف است را هویدا می‌سازد و از لابه‌لای صفحات گسترده در فروع تجارت به خوبی می‌توان دریافت که در هر عصری، مسائل جدید مربوط به این موضوع مورد توجّه قرار گرفته است، به طوری که امروزه کتاب‌های بسیار قطور و مفصّلی را به خود اختصاص داده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صاحبان فن پوشیده نیست که کتاب مکاسب محرّمۀ شیخ اعظم انصاری قدس سره از عمیق‌ترین و دقیق‌ترین کتاب‌هایی است که در موضوع معاملات ممنوعه و محرّم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علاوه بر تعلیم روش اجتهاد و کیفیت دقیق آن، در مسائل مطروحه، مخاطب را با چگونگی اجتهاد در مسائل جدید و نوپیدا، آشنا و مسلّط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موضوع بیع منی مطرح می‌شود، امّا در کنار آن مباحث مربوط به تلقیح مصنوعی را که از موضوعات جدید این عصر است و بسیار مورد توجه بشریت و صاحبان ادیان است، می‌توان مورد بحث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تسلّط بر ضوابط و قواعد مطرح شده در این کتاب است که می‌توان حکم معاملات هرمی که امروزه بسیار شایع است را جستجو و استنباط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مکاسب محرّمه علاوه بر آیات و روایات فراوان که باید مورد مداقّه قرار گیرد، برخی از قواعد مهم فقهی نیز مورد کنکاش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شاکرم که سلسه درس‌های این حقیر در سال‌های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برادران مؤمن فاضل و گرانقدر آقایان محسن برهان مجرّد، محسن بوالحسنی و سید سلمان علوی و حسن مهدوی و مسئول محترم تقریرات، جناب آقای دکتر عرفانی‌نسب و معاونت محترم پژوهش مرکز، آقای دکتر مقدادی در دو جلد به زیور طبع آراسته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آشنایان با دروس اینجانب مخفی نیست که هم در بحث‌های خارج اصول و هم خارج فقه نسبت به آرا و نظریات محقّق کم‌نظیر فقه و اصول، مرحوم آقای شیخ محمّدحسین اصفهانی أعلی اللّه کلمته، توجّه خاصّی دارم و معتقدم که در حاشیۀ بی‌نظیر ایشان بر کفایه و نیز حواشی بسیار فقیهانه‌شان بر مکاسب، تحقیقاتی موجود است که حوزه‌های علمیه نجف و قم هنوز به کنه آن نرسیده‌اند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الأسف ایشان بر مکاسب محرّمه حواشی نداشتند تا از آن بهره‌مند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مباحث بیع به تفصیل افکار بدیع ایشان را مطمح نظر قرار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در این بحوث، سعی بر آن بوده است که آراء و نظریات مدقّقین از محشّین 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یزدی و ایروانی و نائینی و دیگران و بالأخص مرحوم امام خمینی و محقق خوئی قدس سرهما مورد بحث و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حقیقت اعتراف نمود که چیرگی و زبردستی و قدرت فقهی و ابتکارات امام خمینی در مباحث مکاسب محرّمه و در مجموع مباحث معاملات بسیار قابل ستایش و تقدیر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آن‌که این اثر مورد قبول حضرت بقیة اللّه الأعظم عجّل اللّه تعالی فرجه الشریف قرار گیرد و خداوند متعال به برکت دعای آن حضرت عنایاتش را بر ما هرچه بیشتر افزون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از محقّقین مرکز فقهی ائمّۀ اطهار علیهم السلام خصوصاً مدیر محترم و معظّم حضرت حجّة‌الاسلام والمسلمین آقای فاضل کاشانی دامت برکاته که همّت وافری مبذول فرمودند کمال تشکّر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فقهی ائمّۀ اطهار علیهم السلام</w:t>
      </w:r>
    </w:p>
    <w:p>
      <w:pPr>
        <w:pStyle w:val="BookText"/>
        <w:rPr/>
      </w:pPr>
      <w:r>
        <w:rPr>
          <w:rFonts w:ascii="IRNazanin" w:hAnsi="IRNazanin" w:eastAsia="IRNazanin"/>
          <w:color w:val="111111"/>
          <w:sz w:val="28"/>
          <w:sz w:val="28"/>
          <w:szCs w:val="28"/>
          <w:rtl w:val="true"/>
          <w:lang w:bidi="fa-IR"/>
        </w:rPr>
        <w:t>محمّدجواد فاضل لنکرانی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ذیقعدة الحرام </w:t>
      </w:r>
      <w:r>
        <w:rPr>
          <w:rFonts w:eastAsia="IRNazanin" w:cs="IRNazanin"/>
          <w:color w:val="111111"/>
          <w:sz w:val="28"/>
          <w:szCs w:val="28"/>
          <w:lang w:bidi="fa-IR"/>
        </w:rPr>
        <w:t>1438</w:t>
      </w:r>
      <w:bookmarkStart w:id="10" w:name="pg13785_134884"/>
    </w:p>
    <w:p>
      <w:pPr>
        <w:pStyle w:val="Heading2"/>
        <w:numPr>
          <w:ilvl w:val="1"/>
          <w:numId w:val="1"/>
        </w:numPr>
        <w:rPr/>
      </w:pPr>
      <w:bookmarkStart w:id="11" w:name="__RefHeading___Toc2530697_1468164448"/>
      <w:bookmarkStart w:id="12" w:name="_Toc4"/>
      <w:bookmarkEnd w:id="10"/>
      <w:bookmarkEnd w:id="11"/>
      <w:r>
        <w:rPr>
          <w:rtl w:val="true"/>
        </w:rPr>
        <w:t>مقدّمه</w:t>
      </w:r>
      <w:bookmarkEnd w:id="12"/>
    </w:p>
    <w:p>
      <w:pPr>
        <w:pStyle w:val="Heading3"/>
        <w:numPr>
          <w:ilvl w:val="2"/>
          <w:numId w:val="1"/>
        </w:numPr>
        <w:rPr/>
      </w:pPr>
      <w:bookmarkStart w:id="13" w:name="__RefHeading___Toc2530699_1468164448"/>
      <w:bookmarkStart w:id="14" w:name="_Toc5"/>
      <w:bookmarkEnd w:id="13"/>
      <w:r>
        <w:rPr>
          <w:rtl w:val="true"/>
        </w:rPr>
        <w:t>الف</w:t>
      </w:r>
      <w:r>
        <w:rPr>
          <w:rtl w:val="true"/>
        </w:rPr>
        <w:t xml:space="preserve">) </w:t>
      </w:r>
      <w:r>
        <w:rPr>
          <w:rtl w:val="true"/>
        </w:rPr>
        <w:t>اهمّیت بحث</w:t>
      </w:r>
      <w:bookmarkEnd w:id="14"/>
    </w:p>
    <w:p>
      <w:pPr>
        <w:pStyle w:val="BookText"/>
        <w:rPr/>
      </w:pPr>
      <w:r>
        <w:rPr>
          <w:rFonts w:ascii="IRNazanin" w:hAnsi="IRNazanin" w:eastAsia="IRNazanin"/>
          <w:color w:val="111111"/>
          <w:sz w:val="28"/>
          <w:sz w:val="28"/>
          <w:szCs w:val="28"/>
          <w:rtl w:val="true"/>
          <w:lang w:bidi="fa-IR"/>
        </w:rPr>
        <w:t>بحث مکاسب محرّمه از مباحث بسیار مهم فقهی است که در بین متقدّمان و متأخّران مطرح بوده و در طول زمان گسترش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فقها مباحث مکاسب محرّمه، بیع و خیارات را در ضمن یک کتاب و به صورت مختصر مطرح می‌کردند، امّا به مرور زمان این مباحث از یک‌دیگر جدا گردیده و به تفصیل بیان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سره نیز کتاب المکاسب را در سه بخش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مکاسب محرّمه، بیع و خیارات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اجتهاد و تقلید را بر اساس ترتیب کتاب تحریر الوسیلة امام خمینی قدس سره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بحث مکاسب محرّمه در تحریر الوسیلة به اختصار بیان شده و نیز با توجّه به این‌که کتاب شریف مکاسب شیخ انصاری قدس سره، حواشی، شروح و تعلیقات بسیاری دارد و از متونی است که طلّاب علوم دینی با آن آشنایی دارند و بزرگانی همچون محقّق نائینی، محقّق اصفهانی، محقّق خویی و امام خمینی قدس سرهما مباحث معاملات را بر طبق این کتاب تنظیم نموده‌اند، ما نیز بحث مکاسب محرّمه را به ترتیبی که شیخ انصاری قدس سره بیان کرده، مطرح می‌کنیم</w:t>
      </w:r>
      <w:r>
        <w:rPr>
          <w:rFonts w:eastAsia="IRNazanin" w:cs="IRNazanin"/>
          <w:color w:val="111111"/>
          <w:sz w:val="28"/>
          <w:szCs w:val="28"/>
          <w:rtl w:val="true"/>
          <w:lang w:bidi="fa-IR"/>
        </w:rPr>
        <w:t>.</w:t>
      </w:r>
      <w:bookmarkStart w:id="15" w:name="pg13785_134885"/>
    </w:p>
    <w:p>
      <w:pPr>
        <w:pStyle w:val="Heading3"/>
        <w:numPr>
          <w:ilvl w:val="2"/>
          <w:numId w:val="1"/>
        </w:numPr>
        <w:rPr/>
      </w:pPr>
      <w:bookmarkStart w:id="16" w:name="__RefHeading___Toc2530701_1468164448"/>
      <w:bookmarkStart w:id="17" w:name="_Toc6"/>
      <w:bookmarkEnd w:id="15"/>
      <w:bookmarkEnd w:id="16"/>
      <w:r>
        <w:rPr>
          <w:rtl w:val="true"/>
        </w:rPr>
        <w:t>ب</w:t>
      </w:r>
      <w:r>
        <w:rPr>
          <w:rtl w:val="true"/>
        </w:rPr>
        <w:t xml:space="preserve">) </w:t>
      </w:r>
      <w:r>
        <w:rPr>
          <w:rtl w:val="true"/>
        </w:rPr>
        <w:t>دربارۀ عنوان کتاب</w:t>
      </w:r>
      <w:bookmarkEnd w:id="17"/>
    </w:p>
    <w:p>
      <w:pPr>
        <w:pStyle w:val="BookText"/>
        <w:rPr/>
      </w:pPr>
      <w:r>
        <w:rPr>
          <w:rFonts w:ascii="IRNazanin" w:hAnsi="IRNazanin" w:eastAsia="IRNazanin"/>
          <w:color w:val="111111"/>
          <w:sz w:val="28"/>
          <w:sz w:val="28"/>
          <w:szCs w:val="28"/>
          <w:rtl w:val="true"/>
          <w:lang w:bidi="fa-IR"/>
        </w:rPr>
        <w:t xml:space="preserve">شیخ انصاری قدس سره عنوان کتاب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در این باره تعبیرهای گوناگونی را به کار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کرده و برخی دیگر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برده‌اند، عدّه‌ای نیز هر دو عنوان را با یکدیگر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در متون فقهی نخستین مانند المقنع</w:t>
      </w:r>
      <w:r>
        <w:rPr>
          <w:rStyle w:val="FootnoteAnchor"/>
          <w:rtl w:val="true"/>
        </w:rPr>
        <w:footnoteReference w:id="2"/>
      </w:r>
      <w:r>
        <w:rPr>
          <w:rFonts w:ascii="IRNazanin" w:hAnsi="IRNazanin" w:eastAsia="IRNazanin"/>
          <w:color w:val="111111"/>
          <w:sz w:val="28"/>
          <w:sz w:val="28"/>
          <w:szCs w:val="28"/>
          <w:rtl w:val="true"/>
          <w:lang w:bidi="fa-IR"/>
        </w:rPr>
        <w:t>و الهدایة،</w:t>
      </w:r>
      <w:r>
        <w:rPr>
          <w:rStyle w:val="FootnoteAnchor"/>
          <w:rtl w:val="true"/>
        </w:rPr>
        <w:footnoteReference w:id="3"/>
      </w:r>
      <w:r>
        <w:rPr>
          <w:rFonts w:ascii="IRNazanin" w:hAnsi="IRNazanin" w:eastAsia="IRNazanin"/>
          <w:color w:val="111111"/>
          <w:sz w:val="28"/>
          <w:sz w:val="28"/>
          <w:szCs w:val="28"/>
          <w:rtl w:val="true"/>
          <w:lang w:bidi="fa-IR"/>
        </w:rPr>
        <w:t xml:space="preserve">عنوان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المکاسب و التجارات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قدس سره در المقنعة،</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مرتضی قدس سره در الانتصار،</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البیوع و الربا و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قدس سره در اللّمعة الدمشقیة</w:t>
      </w:r>
      <w:r>
        <w:rPr>
          <w:rStyle w:val="FootnoteAnchor"/>
          <w:rtl w:val="true"/>
        </w:rPr>
        <w:footnoteReference w:id="6"/>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داده و عنوان بحث در کتاب المراسم سلاّر،</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قدس سره در شرائع الإسلام</w:t>
      </w:r>
      <w:r>
        <w:rPr>
          <w:rStyle w:val="FootnoteAnchor"/>
          <w:rtl w:val="true"/>
        </w:rPr>
        <w:footnoteReference w:id="8"/>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کرده است، امّا شهید ثانی قدس سره در مسالک</w:t>
      </w:r>
      <w:r>
        <w:rPr>
          <w:rStyle w:val="FootnoteAnchor"/>
          <w:rtl w:val="true"/>
        </w:rPr>
        <w:footnoteReference w:id="9"/>
      </w:r>
      <w:r>
        <w:rPr>
          <w:rFonts w:ascii="IRNazanin" w:hAnsi="IRNazanin" w:eastAsia="IRNazanin"/>
          <w:color w:val="111111"/>
          <w:sz w:val="28"/>
          <w:sz w:val="28"/>
          <w:szCs w:val="28"/>
          <w:rtl w:val="true"/>
          <w:lang w:bidi="fa-IR"/>
        </w:rPr>
        <w:t>تعبیر به مکاسب را بهتر از تعبیر به تجارت می‌داند، از این رو محقّق نجفی قدس سره در جواهر الکلام، ابتدا با استناد به کلام شهید ثانی قدس سره تعبیر به مکاسب را ترجیح می‌دهد، امّا در آخر این نظر را می‌پذیرد که عنوان تجارت بهتر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در فقه اهل سنّت نیز چیزی با عنوان مکاسب محرّمه، وجود ندارد و این بحث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البیوع الممنوعة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البیوع المحظورة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بحث از این‌که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ثمرۀ علمی چندانی ندارد، امّا با توجّه به آنچه بیان شد، این پرسش مطرح می‌شود که آیا تفاوتی میان دو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در صورت وجود تفاوت، به کار</w:t>
      </w:r>
    </w:p>
    <w:p>
      <w:pPr>
        <w:pStyle w:val="BookText"/>
        <w:rPr/>
      </w:pPr>
      <w:r>
        <w:rPr>
          <w:rFonts w:ascii="IRNazanin" w:hAnsi="IRNazanin" w:eastAsia="IRNazanin"/>
          <w:color w:val="111111"/>
          <w:sz w:val="28"/>
          <w:sz w:val="28"/>
          <w:szCs w:val="28"/>
          <w:rtl w:val="true"/>
          <w:lang w:bidi="fa-IR"/>
        </w:rPr>
        <w:t>بردن کدام یک صحیح‌تر است؟ از این رو، لازم است جداگانه هر دو عنوان را مورد توضیح قرار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مصدر میمی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اسم مصدر می‌دانند، مثل صناعت و حیاکت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تجارت، سه استعمال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تجارت به معنای مطلق کسب و معاوضه؛ بر طبق این معنا تمام معاملات از قبیل بیع، اجاره، صلح، هبۀ معوّضه و مانند آن، تحت عنوان تجارت قرار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تجارت به معنای معاوضه‌ای که به قصد سود باشد؛ برای نمونه هنگامی که گفته می‌شود شخصی تجارت می‌کند، معنایش این است که معاوضه‌ای به قصد سود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وقتی در کتاب زکات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التجارة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بیشتر همین معنا اراده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تجارت به معنای بیع؛ شیخ طوسی قدس سره در دو کتاب المبسوط‌</w:t>
      </w:r>
      <w:r>
        <w:rPr>
          <w:rStyle w:val="FootnoteAnchor"/>
          <w:rtl w:val="true"/>
        </w:rPr>
        <w:footnoteReference w:id="12"/>
      </w:r>
      <w:r>
        <w:rPr>
          <w:rFonts w:ascii="IRNazanin" w:hAnsi="IRNazanin" w:eastAsia="IRNazanin"/>
          <w:color w:val="111111"/>
          <w:sz w:val="28"/>
          <w:sz w:val="28"/>
          <w:szCs w:val="28"/>
          <w:rtl w:val="true"/>
          <w:lang w:bidi="fa-IR"/>
        </w:rPr>
        <w:t>و الخلاف</w:t>
      </w:r>
      <w:r>
        <w:rPr>
          <w:rStyle w:val="FootnoteAnchor"/>
          <w:rtl w:val="true"/>
        </w:rPr>
        <w:footnoteReference w:id="13"/>
      </w:r>
      <w:r>
        <w:rPr>
          <w:rFonts w:ascii="IRNazanin" w:hAnsi="IRNazanin" w:eastAsia="IRNazanin"/>
          <w:color w:val="111111"/>
          <w:sz w:val="28"/>
          <w:sz w:val="28"/>
          <w:szCs w:val="28"/>
          <w:rtl w:val="true"/>
          <w:lang w:bidi="fa-IR"/>
        </w:rPr>
        <w:t>همین معنا را مورد استفاده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مکسب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میمی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یطلب به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آن چیزی که به‌وسیلۀ آن، مال طلب می‌شود و مال از آن به دست می‌آید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البتّه هرچند برخی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معنا نموده‌اند، لیکن ظاهر آن است که کسب به معنای طلب و سعی در طلب رزق، و معنای اصلی آن، جمع کردن است</w:t>
      </w:r>
      <w:r>
        <w:rPr>
          <w:rFonts w:eastAsia="IRNazanin" w:cs="IRNazanin"/>
          <w:color w:val="111111"/>
          <w:sz w:val="28"/>
          <w:szCs w:val="28"/>
          <w:rtl w:val="true"/>
          <w:lang w:bidi="fa-IR"/>
        </w:rPr>
        <w:t>.</w:t>
      </w:r>
      <w:r>
        <w:rPr>
          <w:rStyle w:val="FootnoteAnchor"/>
          <w:rtl w:val="true"/>
        </w:rPr>
        <w:footnoteReference w:id="15"/>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با توجّه به مطالب گفته شده، باید دید کدام یک از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این بحث مناسب‌تر است؟ آیا سخن شهید ثانی قدس سره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ترجیح داد، صحیح است یا سخن صاحب جواهر قدس سره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بهتر می‌داند؟</w:t>
      </w:r>
    </w:p>
    <w:p>
      <w:pPr>
        <w:pStyle w:val="BookText"/>
        <w:rPr/>
      </w:pPr>
      <w:r>
        <w:rPr>
          <w:rFonts w:ascii="IRNazanin" w:hAnsi="IRNazanin" w:eastAsia="IRNazanin"/>
          <w:color w:val="111111"/>
          <w:sz w:val="28"/>
          <w:sz w:val="28"/>
          <w:szCs w:val="28"/>
          <w:rtl w:val="true"/>
          <w:lang w:bidi="fa-IR"/>
        </w:rPr>
        <w:t xml:space="preserve">بیان شد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دنبال کلمه‌ای باشد، سه استعمال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این پرسش مطرح می‌شود که اگر بخواهیم عنوان بحث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 باید کدام یک از معانی و استعمالات تجارت را مدّ نظر قرار دهیم؟</w:t>
      </w:r>
    </w:p>
    <w:p>
      <w:pPr>
        <w:pStyle w:val="BookText"/>
        <w:rPr/>
      </w:pPr>
      <w:r>
        <w:rPr>
          <w:rFonts w:ascii="IRNazanin" w:hAnsi="IRNazanin" w:eastAsia="IRNazanin"/>
          <w:color w:val="111111"/>
          <w:sz w:val="28"/>
          <w:sz w:val="28"/>
          <w:szCs w:val="28"/>
          <w:rtl w:val="true"/>
          <w:lang w:bidi="fa-IR"/>
        </w:rPr>
        <w:t>روشن است که معنای نخست، با بحث مطابقت دارد، امّا با رجوع به آیات و روایات دانسته می‌شود که معنای تجارت در این آیات و روایات، مطلق معاوضه نیست؛ بلکه تجارتِ به قصد سود مدّ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اگر معنای نخست را اراده کرده و بگوییم تجارت به معنای مطلق معاوضه است، با نظر مفسّران مخالفت کرده‌ایم؛ چراکه آنان در تفسیر آیۀ شریفۀ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 إِلاّ أَنْ تَکُونَ تِجارَةً عَنْ تَراضٍ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را مطلق معاوضه معنا نکرده‌اند؛ بلکه منظور از تجارت در این آیه و آیات و روایات دیگر، معامله و تجارت به قصد 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برخی ادّعا کرده‌اند که لفظ تجارت از معنای اوّلش به معنای دیگری نقل داده شده است و تجارت را در جایی استعمال می‌کنند که صنعت و حرفه باشد؛</w:t>
      </w:r>
      <w:r>
        <w:rPr>
          <w:rStyle w:val="FootnoteAnchor"/>
          <w:rtl w:val="true"/>
        </w:rPr>
        <w:footnoteReference w:id="16"/>
      </w:r>
      <w:r>
        <w:rPr>
          <w:rFonts w:ascii="IRNazanin" w:hAnsi="IRNazanin" w:eastAsia="IRNazanin"/>
          <w:color w:val="111111"/>
          <w:sz w:val="28"/>
          <w:sz w:val="28"/>
          <w:szCs w:val="28"/>
          <w:rtl w:val="true"/>
          <w:lang w:bidi="fa-IR"/>
        </w:rPr>
        <w:t>یعنی هنگامی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تاجر است، منظور این است که او به حرفۀ تجارت اشتغال دارد، در حالی که در مکاسب محرّمه از مواردی بحث می‌شود که اصلاً حرفه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بحث از این‌که عبادت استیجاری صحیح است یا خیر، عمل شخص متعلّق اجاره قرار می‌گیرد، هرچند حرفۀ او نباشد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 نظر گرفتن این مطلب 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استعمالات گوناگونی دارد و با توجّه به این‌که ادّعای نقل در آن مطرح شده است،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خالی از این دو جهت است، مناسب‌تر از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شاید بر همین اساس، شیخ انصاری قدس سره این عنوان را برگزیده است</w:t>
      </w:r>
      <w:r>
        <w:rPr>
          <w:rFonts w:eastAsia="IRNazanin" w:cs="IRNazanin"/>
          <w:color w:val="111111"/>
          <w:sz w:val="28"/>
          <w:szCs w:val="28"/>
          <w:rtl w:val="true"/>
          <w:lang w:bidi="fa-IR"/>
        </w:rPr>
        <w:t>.</w:t>
      </w:r>
      <w:bookmarkStart w:id="18" w:name="pg13785_134888"/>
    </w:p>
    <w:p>
      <w:pPr>
        <w:pStyle w:val="Heading2"/>
        <w:numPr>
          <w:ilvl w:val="1"/>
          <w:numId w:val="1"/>
        </w:numPr>
        <w:rPr/>
      </w:pPr>
      <w:bookmarkStart w:id="19" w:name="__RefHeading___Toc2530703_1468164448"/>
      <w:bookmarkStart w:id="20" w:name="_Toc7"/>
      <w:bookmarkEnd w:id="18"/>
      <w:bookmarkEnd w:id="19"/>
      <w:r>
        <w:rPr>
          <w:rtl w:val="true"/>
        </w:rPr>
        <w:t>بخش اول</w:t>
      </w:r>
      <w:r>
        <w:rPr>
          <w:rtl w:val="true"/>
        </w:rPr>
        <w:t xml:space="preserve">: </w:t>
      </w:r>
      <w:r>
        <w:rPr>
          <w:rtl w:val="true"/>
        </w:rPr>
        <w:t>کلیات</w:t>
      </w:r>
      <w:bookmarkEnd w:id="20"/>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2530705_1468164448"/>
      <w:bookmarkStart w:id="22" w:name="_Toc8"/>
      <w:bookmarkEnd w:id="21"/>
      <w:r>
        <w:rPr>
          <w:rtl w:val="true"/>
        </w:rPr>
        <w:t>اشارة</w:t>
      </w:r>
      <w:bookmarkStart w:id="23" w:name="pg13785_134890"/>
      <w:bookmarkEnd w:id="22"/>
    </w:p>
    <w:p>
      <w:pPr>
        <w:pStyle w:val="Heading3"/>
        <w:numPr>
          <w:ilvl w:val="2"/>
          <w:numId w:val="1"/>
        </w:numPr>
        <w:rPr/>
      </w:pPr>
      <w:bookmarkStart w:id="24" w:name="__RefHeading___Toc2530707_1468164448"/>
      <w:bookmarkStart w:id="25" w:name="_Toc9"/>
      <w:bookmarkEnd w:id="23"/>
      <w:bookmarkEnd w:id="24"/>
      <w:r>
        <w:rPr>
          <w:rtl w:val="true"/>
        </w:rPr>
        <w:t>فصل اوّل</w:t>
      </w:r>
      <w:r>
        <w:rPr>
          <w:rtl w:val="true"/>
        </w:rPr>
        <w:t xml:space="preserve">: </w:t>
      </w:r>
      <w:r>
        <w:rPr>
          <w:rtl w:val="true"/>
        </w:rPr>
        <w:t>روایات عام</w:t>
      </w:r>
      <w:bookmarkEnd w:id="25"/>
    </w:p>
    <w:p>
      <w:pPr>
        <w:pStyle w:val="Heading4"/>
        <w:numPr>
          <w:ilvl w:val="3"/>
          <w:numId w:val="1"/>
        </w:numPr>
        <w:rPr/>
      </w:pPr>
      <w:bookmarkStart w:id="26" w:name="__RefHeading___Toc2530709_1468164448"/>
      <w:bookmarkStart w:id="27" w:name="_Toc10"/>
      <w:bookmarkEnd w:id="26"/>
      <w:r>
        <w:rPr>
          <w:rtl w:val="true"/>
        </w:rPr>
        <w:t>اشارة</w:t>
      </w:r>
      <w:bookmarkEnd w:id="27"/>
    </w:p>
    <w:p>
      <w:pPr>
        <w:pStyle w:val="BookText"/>
        <w:rPr/>
      </w:pPr>
      <w:r>
        <w:rPr>
          <w:rFonts w:ascii="IRNazanin" w:hAnsi="IRNazanin" w:eastAsia="IRNazanin"/>
          <w:color w:val="111111"/>
          <w:sz w:val="28"/>
          <w:sz w:val="28"/>
          <w:szCs w:val="28"/>
          <w:rtl w:val="true"/>
          <w:lang w:bidi="fa-IR"/>
        </w:rPr>
        <w:t>شیخ انصاری قدس سره در آغاز کتاب المکاسب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أوّلاً التیمّن بذکر بعض الأخبار الواردة علی سبیل الضابطة للمکاسب، من حیث الحلّ والحرمة، فنقول مستعیناً باللّه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الوسائل والحدائق عن الحسن بن علیّ بن شعبة فی کتاب تحف العقول عن مولانا الصادق صلوات اللّه وسلامه علیه حیث سُئل عن معایش العباد،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جمیع المعایش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شایسته است که تبرّک بجوییم با ذکر برخی از اخباری که ضوابطی را برای مکاسب، از حیث حلال یا حرام بودن بر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وسائل الشیعة و الحدائق از حسن بن علی بن شعبه در کتاب تحف العقول از امام صادق علیه السلام چنین نقل شده است که از ایشان دربارۀ کسب درآمد بندگان پرسیدند، پس فرمودند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چهار خبر از اخبار عام را می‌آورد و ادّعا می‌کند که این اخبار در بردارندۀ ضوابطی برای معاملات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إن شاء اللّه این اخبار را ذکر کرده و مورد بررسی</w:t>
      </w:r>
      <w:bookmarkStart w:id="28" w:name="pg13785_134891"/>
    </w:p>
    <w:p>
      <w:pPr>
        <w:pStyle w:val="BookText"/>
        <w:rPr/>
      </w:pPr>
      <w:bookmarkEnd w:id="28"/>
      <w:r>
        <w:rPr>
          <w:rFonts w:ascii="IRNazanin" w:hAnsi="IRNazanin" w:eastAsia="IRNazanin"/>
          <w:color w:val="111111"/>
          <w:sz w:val="28"/>
          <w:sz w:val="28"/>
          <w:szCs w:val="28"/>
          <w:rtl w:val="true"/>
          <w:lang w:bidi="fa-IR"/>
        </w:rPr>
        <w:t>قرار خواهیم داد؛ ولی پیش از آن، باید بدانیم که برخی از بزرگان در مقام اشکال به شیخ انصاری قدس سره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مطرح کردن روایات عام، باید آیات شریفۀ مربوط به معاملات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می‌شد؛ زیرا رجوع به قرآن مقدّم بر رجوع به این روایات است</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لیکن این اشکال پذیرفتنی نیست؛ چراکه شیخ انصاری قدس سره این روایات را به دلیل ضوابط موجود در آنها مطرح می‌کند، حال آن‌که آیات ذکر شده در بردارندۀ چنین ضوابطی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ملاک صحّت و فساد در معاملات، دلالت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هرچند خود آنها به عنوان دلیل عام در بسیاری از مباحث، مورد استدلال قرار می‌گیرند</w:t>
      </w:r>
      <w:r>
        <w:rPr>
          <w:rFonts w:eastAsia="IRNazanin" w:cs="IRNazanin"/>
          <w:color w:val="111111"/>
          <w:sz w:val="28"/>
          <w:szCs w:val="28"/>
          <w:rtl w:val="true"/>
          <w:lang w:bidi="fa-IR"/>
        </w:rPr>
        <w:t>.</w:t>
      </w:r>
    </w:p>
    <w:p>
      <w:pPr>
        <w:pStyle w:val="Heading4"/>
        <w:numPr>
          <w:ilvl w:val="3"/>
          <w:numId w:val="1"/>
        </w:numPr>
        <w:rPr/>
      </w:pPr>
      <w:bookmarkStart w:id="29" w:name="__RefHeading___Toc2530711_1468164448"/>
      <w:bookmarkStart w:id="30" w:name="_Toc11"/>
      <w:bookmarkEnd w:id="29"/>
      <w:r>
        <w:rPr>
          <w:rtl w:val="true"/>
        </w:rPr>
        <w:t>گفتار اوّل</w:t>
      </w:r>
      <w:r>
        <w:rPr>
          <w:rtl w:val="true"/>
        </w:rPr>
        <w:t xml:space="preserve">: </w:t>
      </w:r>
      <w:r>
        <w:rPr>
          <w:rtl w:val="true"/>
        </w:rPr>
        <w:t>روایت تحف العقول</w:t>
      </w:r>
      <w:bookmarkEnd w:id="30"/>
    </w:p>
    <w:p>
      <w:pPr>
        <w:pStyle w:val="Heading5"/>
        <w:numPr>
          <w:ilvl w:val="4"/>
          <w:numId w:val="1"/>
        </w:numPr>
        <w:rPr/>
      </w:pPr>
      <w:bookmarkStart w:id="31" w:name="__RefHeading___Toc2530713_1468164448"/>
      <w:bookmarkStart w:id="32" w:name="_Toc12"/>
      <w:bookmarkEnd w:id="31"/>
      <w:r>
        <w:rPr>
          <w:rtl w:val="true"/>
        </w:rPr>
        <w:t>اشارة</w:t>
      </w:r>
      <w:bookmarkEnd w:id="32"/>
    </w:p>
    <w:p>
      <w:pPr>
        <w:pStyle w:val="BookText"/>
        <w:rPr/>
      </w:pPr>
      <w:r>
        <w:rPr>
          <w:rFonts w:ascii="IRNazanin" w:hAnsi="IRNazanin" w:eastAsia="IRNazanin"/>
          <w:color w:val="111111"/>
          <w:sz w:val="28"/>
          <w:sz w:val="28"/>
          <w:szCs w:val="28"/>
          <w:rtl w:val="true"/>
          <w:lang w:bidi="fa-IR"/>
        </w:rPr>
        <w:t>نخستین روایت در کتاب تحف العقول آمده است و آن را صاحب وسائل</w:t>
      </w:r>
      <w:r>
        <w:rPr>
          <w:rStyle w:val="FootnoteAnchor"/>
          <w:rtl w:val="true"/>
        </w:rPr>
        <w:footnoteReference w:id="20"/>
      </w:r>
      <w:r>
        <w:rPr>
          <w:rFonts w:ascii="IRNazanin" w:hAnsi="IRNazanin" w:eastAsia="IRNazanin"/>
          <w:color w:val="111111"/>
          <w:sz w:val="28"/>
          <w:sz w:val="28"/>
          <w:szCs w:val="28"/>
          <w:rtl w:val="true"/>
          <w:lang w:bidi="fa-IR"/>
        </w:rPr>
        <w:t>و صاحب حدائق قدس سرهما</w:t>
      </w:r>
      <w:r>
        <w:rPr>
          <w:rStyle w:val="FootnoteAnchor"/>
          <w:rtl w:val="true"/>
        </w:rPr>
        <w:footnoteReference w:id="21"/>
      </w:r>
      <w:r>
        <w:rPr>
          <w:rFonts w:ascii="IRNazanin" w:hAnsi="IRNazanin" w:eastAsia="IRNazanin"/>
          <w:color w:val="111111"/>
          <w:sz w:val="28"/>
          <w:sz w:val="28"/>
          <w:szCs w:val="28"/>
          <w:rtl w:val="true"/>
          <w:lang w:bidi="fa-IR"/>
        </w:rPr>
        <w:t>نیز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بسیار مفصّل است و در صورتی که بتوان به آن عمل کرد، در فقه و در بسیاری از مباحث نو و فروعات جدید، ضابطه‌ساز خواهد بود؛ امّا از یک سو سند این حدیث محلّ بحث است و از سوی دیگر، دلالت این حدیث نیز می‌بایست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پس از بیان متن روایت، نخست بحث سند این روایت را مطرح می‌کنیم تا اگر از نظر سندی قابل اعتماد بود، به بحث دلالت حدیث بپردازیم</w:t>
      </w:r>
      <w:r>
        <w:rPr>
          <w:rFonts w:eastAsia="IRNazanin" w:cs="IRNazanin"/>
          <w:color w:val="111111"/>
          <w:sz w:val="28"/>
          <w:szCs w:val="28"/>
          <w:rtl w:val="true"/>
          <w:lang w:bidi="fa-IR"/>
        </w:rPr>
        <w:t>.</w:t>
      </w:r>
    </w:p>
    <w:p>
      <w:pPr>
        <w:pStyle w:val="Heading5"/>
        <w:numPr>
          <w:ilvl w:val="4"/>
          <w:numId w:val="1"/>
        </w:numPr>
        <w:rPr/>
      </w:pPr>
      <w:bookmarkStart w:id="33" w:name="__RefHeading___Toc2530715_1468164448"/>
      <w:bookmarkStart w:id="34" w:name="_Toc13"/>
      <w:bookmarkEnd w:id="33"/>
      <w:r>
        <w:rPr>
          <w:rtl w:val="true"/>
        </w:rPr>
        <w:t>بند اوّل</w:t>
      </w:r>
      <w:r>
        <w:rPr>
          <w:rtl w:val="true"/>
        </w:rPr>
        <w:t xml:space="preserve">: </w:t>
      </w:r>
      <w:r>
        <w:rPr>
          <w:rtl w:val="true"/>
        </w:rPr>
        <w:t>متن روایت</w:t>
      </w:r>
      <w:bookmarkEnd w:id="3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سأله سائل فقال کم جهات معایش العباد الّتی فیها الاکتساب أو التّعامل</w:t>
      </w:r>
    </w:p>
    <w:p>
      <w:pPr>
        <w:pStyle w:val="BookText"/>
        <w:rPr/>
      </w:pPr>
      <w:r>
        <w:rPr>
          <w:rFonts w:ascii="IRNazanin" w:hAnsi="IRNazanin" w:eastAsia="IRNazanin"/>
          <w:color w:val="111111"/>
          <w:sz w:val="28"/>
          <w:sz w:val="28"/>
          <w:szCs w:val="28"/>
          <w:rtl w:val="true"/>
          <w:lang w:bidi="fa-IR"/>
        </w:rPr>
        <w:t>بینهم ووجوه النّفقات؟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المعایش کلّها من وجوه المعاملات فیما بینهم ممّا یکون لهم فیه المکاسب أربع جهات من 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 هؤلاء الأربعة الأجناس حلال أو کلّها حرام أو بعضها حلال وبعضها حرام؟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فی هؤلاء الأجناس الأربعة حلال من جهة حرام من جهة وهذه الأجناس مسمّیات معروفات الجهات؛ فأوّل هذه الجهات الأربعة الولایة وتولیة بعضهم علی بعض، فالأوّل ولایة الولاة وولاة الولاة إلی أدناهم باباً من أبواب الولایة علی من هو وال علیه، ثمّ التّجارة فی جمیع البیع والشّراء بعضهم من بعض، ثمّ الصّناعات فی جمیع صنوفها، ثمّ الإجارات فی کلّ ما یحتاج إلیه من الإجارات، وکلّ هذه الصّنوف تکون حلالاً من جهة وحراماً من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والفرض من اللّه علی العباد فی هذه المعاملات الدّخول فی جهات الحلال منها والعمل بذلک الحلال واجتناب جهات الحرام منها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معنی الولایات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جهتان، فإحدی الجهتین من الولایة ولایة ولاة العدل الّذین أمر اللّه بولایتهم وتولیتهم علی النّاس، وولایة ولاته وولاة ولاته إلی أدناهم باباً من أبواب الولایة علی من هو وال علیه، والجهة الأخری من الولایة ولایة ولاة الجور وولاة ولاته إلی أدناهم باباً من الأبواب الّتی هو وال علیه، فوجه الحلال من الولایة ولایة الوالی العادل الّذی أمر اللّه بمعرفته وولایته والعمل له فی ولایته وولایة ولاته و ولاة ولاته بجهة ما أمر اللّه به الوالی العادل بلا زیادة فیما أنزل اللّه به ولا نقصان منه ولا تحریف لقوله ولا تعدّ لأمره إلی غیره، فإذا صار الوالی والی عدل بهذه الجهة فالولایة له والعمل معه ومعونته فی ولایته و تقویته حلال محلّل وحلال الکسب معهم، وذلک أنّ فی ولایة والی العدل وولاته إحیاء کلّ حقّ وکلّ عدل وإماتة کلّ ظلم وجور وفساد، فلذلک کان السّاعی فی تقویة سلطانه والمعین له علی</w:t>
      </w:r>
    </w:p>
    <w:p>
      <w:pPr>
        <w:pStyle w:val="BookText"/>
        <w:rPr/>
      </w:pPr>
      <w:r>
        <w:rPr>
          <w:rFonts w:ascii="IRNazanin" w:hAnsi="IRNazanin" w:eastAsia="IRNazanin"/>
          <w:color w:val="111111"/>
          <w:sz w:val="28"/>
          <w:sz w:val="28"/>
          <w:szCs w:val="28"/>
          <w:rtl w:val="true"/>
          <w:lang w:bidi="fa-IR"/>
        </w:rPr>
        <w:t>ولایته ساعیاً إلی طاعة اللّه مقوّیاً لدینه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وجه الحرام من الولایة فولایة الوالی الجائر و ولایة ولاته الرّئیس منهم وأتباع الوالی فمن دونه من ولاة الولاة إلی أدناهم باباً من أبواب الولایة علی من هو وال علیه والعمل لهم والکسب معهم بجهة الولایة لهم حرام ومحرّم معذّب من فعل ذلک علی قلیل من فعله أو کثیر، لأنّ کلّ شیء من جهة المعونة معصیة کبیرة من الکبائر، وذلک أنّ فی ولایة الوالی الجائر دوس الحقّ کلّه وإحیاء الباطل کلّه وإظهار الظّلم والجور والفساد وإبطال الکتب وقتل الأنبیاء والمؤمنین وهدم المساجد وتبدیل سنّة اللّه وشرائعه، فلذلک حرم العمل معهم ومعونتهم والکسب معهم إلّابجهة الضّرورة نظیر الضّرورة إلی الدّم والمیتة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تفسیر التّجارات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البیوع ووجوه الحلال من وجه التّجارات الّتی یجوز للبائع أن یبیع ممّا لا یجوز له، وکذلک المشتری الّذی یجوز له شراؤه ممّا لا یجوز له، فکل مأمور به ممّا هو غذاء للعباد وقوامهم به فی أمورهم فی وجوه الصّلاح الّذی لا یقیمهم غیره ممّا یأکلون ویشربون و یلبسون وینکحون ویملکون ویستعملون من جهة ملکهم ویجوز لهم الإستعمال له من جمیع جهات المنافع الّتی لا یقیمهم غیرها من کلّ شیء یکون لهم فیه الصّلاح من جهة من الجهات فهذا کلّه حلال بیعه وشراؤه و إمساکه وإستعماله وهبته وعاریّته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وجوه الحرام من البیع والشّراء فکلّ أمر یکون فیه الفساد ممّا هو منهیّ عنه من جهة أکله وشربه أو کسبه أو نکاحه أو ملکه أو إمساکه أو هبته أو عاریته أو شیء یکون فیه وجه من وجوه الفساد نظیر البیع بالرّبا لما فی ذلک من الفساد أو البیع للمیتة أو الدّم أو لحم الخنزیر أو لحوم السّباع من صنوف سباع الوحش أو الطّیر أو جلودها أو الخمر أو شیء من وجوه النّجس فهذا کلّه حرام ومحرّم، لأنّ ذلک کلّه منهیّ عن أکله وشربه ولبسه</w:t>
      </w:r>
    </w:p>
    <w:p>
      <w:pPr>
        <w:pStyle w:val="BookText"/>
        <w:rPr/>
      </w:pPr>
      <w:r>
        <w:rPr>
          <w:rFonts w:ascii="IRNazanin" w:hAnsi="IRNazanin" w:eastAsia="IRNazanin"/>
          <w:color w:val="111111"/>
          <w:sz w:val="28"/>
          <w:sz w:val="28"/>
          <w:szCs w:val="28"/>
          <w:rtl w:val="true"/>
          <w:lang w:bidi="fa-IR"/>
        </w:rPr>
        <w:t>وملکه وإمساکه والتّقلّب فیه بوجه من الوجوه لما فیه من الفساد، فجمیع تقلّبه فی ذلک حرام، وکذلک کلّ بیع ملهوّ به وکلّ منهیّ عنه ممّا یتقرّب به لغیر اللّه أو یقوی به الکفر والشّرک من جمیع وجوه المعاصی أو باب من الأبواب یقوی به باب من أبواب الضّلالة أو باب من أبواب الباطل أو باب یوهن به الحقّ فهو حرام محرّم حرام بیعه وشراؤه وإمساکه وملکه وهبته وعاریّته وجمیع التّقلّب فیه إلّافی حال تدعو الضّرورة فیه إلی ذلک</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تفسیر الإجارات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فإجارة الإنسان نفسه أو ما یملک أو یلی أمره من قرابته أو دابّته أو ثوبه بوجه الحلال من جهات الإجارات أن یؤجر نفسه أو داره أو أرضه أو شیئاً یملکه فیما ینتفع به من وجوه المنافع أو العمل بنفسه وولده ومملوکه أو أجیره من غیر أن یکون وکیلاً للوالی أو والیاً للوالی فلا بأس أن یکون أجیراً یؤجر نفسه أو ولده أو قرابته أو ملکه أو وکیله فی إجارته، لأنّهم وکلاء الأجیر من عنده لیس هم بولاة الوالی، نظیر الحمّال الّذی یحمل شیئاً بشیء معلوم إلی موضع معلوم فیحمل ذلک الشّیء الّذی یجوز له حمله بنفسه أو بملکه أو دابّته أو یؤاجر نفسه فی عمل یعمل ذلک العمل بنفسه أو بمملوکه أو قرابته أو بأجیر من قبله، فهذه وجوه من وجوه الإجارات حلال لمن کان من النّاس ملکاً أو سوقةً أو کافراً أو مؤمناً فحلال إجارته وحلال کسبه من هذه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وجوه الحرام من وجوه الإجارة نظیر أن یؤاجر نفسه علی حمل ما یحرّم علیه أکله أو شربه أو لبسه أو یؤاجر نفسه فی صنعة ذلک الشیء أو حفظه أو لبسه أو یؤاجر نفسه فی هدم المساجد ضراراً أو قتل النّفس بغیر حلّ أو حمل التّصاویر والأصنام والمزامیر والبرابط والخمر والخنازیر والمیتة والدّم أو شیء من وجوه الفساد الّذی کان محرّماً علیه من غیر جهة الإجارة فیه وکلّ أمر منهیّ عنه من جهة من الجهات فمحرّم</w:t>
      </w:r>
    </w:p>
    <w:p>
      <w:pPr>
        <w:pStyle w:val="BookText"/>
        <w:rPr/>
      </w:pPr>
      <w:r>
        <w:rPr>
          <w:rFonts w:ascii="IRNazanin" w:hAnsi="IRNazanin" w:eastAsia="IRNazanin"/>
          <w:color w:val="111111"/>
          <w:sz w:val="28"/>
          <w:sz w:val="28"/>
          <w:szCs w:val="28"/>
          <w:rtl w:val="true"/>
          <w:lang w:bidi="fa-IR"/>
        </w:rPr>
        <w:t>علی الإنسان إجارة نفسه فیه أو له أو شیء منه أو له، إلّالمنفعة من استأجرته کالّذی یستأجر الأجیر یحمل له المیتة ینجیها عن أذاه أو أذی غیره وما أشبه ذلک، والفرق بین معنی الولایة والإجارة وإن کان کلاهما یعملان بأجر أنّ معنی الولایة أن یلی الإنسان لوالی الولاة أو لولاة الولاة فیلی أمر غیره فی التّولیة علیه وتسلیطه وجواز أمره ونهیه وقیامه مقام الولیّ إلی الرّئیس أو مقام وکلائه فی أمره وتوکیده فی معونته وتسدید ولایته وإن کان أدناهم ولایةً فهو والٍ علی من هو والٍ علیه یجری مجری الولاة الکبار الّذین یلون ولایة النّاس فی قتلهم من قتلوا وإظهار الجور والفساد، وأمّا معنی الإجارة فعلی ما فسّرنا من إجارة الإنسان نفسه أو ما یملکه من قبل أن یؤاجر الشّیء من غیره فهو یملک یمینه، لأنّه لا یلی أمر نفسه وأمر ما یملک قبل أن یؤاجره ممّن هو آجره، و الوالی لا یملک من أمور النّاس شیئاً إلّابعد ما یلی امورهم ویملک تولیتهم، وکلّ من آجر نفسه أو آجر ما یملک نفسه أو یلی أمره من کافر أو مؤمن أو ملک أو سوقة علی ما فسّرنا ممّا تجوز الإجارة فیه فحلال محلّل فعله وکسبه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تفسیر الصّناعات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ما یتعلّم العباد أو یعلّمون غیرهم من صنوف الصّناعات مثل الکتابة والحساب والتّجارة والصّیاغة والسّراجة والبناء والحیاکة والقصارة والخیاطة وصنعة صنوف التّصاویر ما لم یکن مثل الرّوحانیّ وأنواع صنوف الآلات الّتی یحتاج إلیها العباد الّتی منها منافعهم وبها قوامهم وفیها بلغة جمیع حوائجهم فحلال فعله وتعلیمه والعمل به وفیه لنفسه أو لغیره، وإن کانت تلک الصّناعة وتلک الآلة قد یستعان بها علی وجوه الفساد ووجوه المعاصی ویکون معونةً علی الحقّ و الباطل فلا بأس بصناعته وتعلیمه، نظیر الکتابة الّتی هی علی وجه من وجوه الفساد من تقویة معونة ولاة الجور وکذلک السّکّین والسّیف</w:t>
      </w:r>
      <w:bookmarkStart w:id="35" w:name="pg13785_134896"/>
    </w:p>
    <w:p>
      <w:pPr>
        <w:pStyle w:val="BookText"/>
        <w:rPr/>
      </w:pPr>
      <w:bookmarkEnd w:id="35"/>
      <w:r>
        <w:rPr>
          <w:rFonts w:ascii="IRNazanin" w:hAnsi="IRNazanin" w:eastAsia="IRNazanin"/>
          <w:color w:val="111111"/>
          <w:sz w:val="28"/>
          <w:sz w:val="28"/>
          <w:szCs w:val="28"/>
          <w:rtl w:val="true"/>
          <w:lang w:bidi="fa-IR"/>
        </w:rPr>
        <w:t>والرّمح والقوس وغیر ذلک من وجوه الآلة الّتی قد تصرّف إلی جهات الصّلاح وجهات الفساد وتکون آلةً ومعونةً علیهما، فلا بأس بتعلیمه وتعلّمه وأخذ الأجر علیه وفیه والعمل به وفیه لمن کان له فیه جهات الصّلاح من جمیع الخلائق ومحرّم علیهم فیه تصریفه إلی جهات الفساد والمضارّ، فلیس علی العالم والمتعلّم إثم ولا وزر لما فیه من الرّجحان فی منافع جهات صلاحهم وقوامهم به وبقائهم، وإنّما الإثم والوزر علی المتصرّف بها فی وجوه الفساد والحرام؛ وذلک إنّما حرّم اللّه الصّناعة الّتی حرام هی کلّها الّتی یجیء منها الفساد محضاً نظیر البرابط والمزامیر و الشّطرنج وکلّ ملهوّ به والصّلبان والأصنام وما أشبه ذلک من صناعات الأشربة الحرام وما یکون منه وفیه الفساد محضاً ولا یکون فیه ولا منه شیء من وجوه الصّلاح فحرام تعلیمه وتعلّمه والعمل به وأخذ الأجر علیه وجمیع التّقلّب فیه من جمیع وجوه الحرکات کلّها إلّاأن تکون صناعةً قد تنصرف إلی جهات الصّنائع وإن کان قد یتصرّف بها ویتناول بها وجه من وجوه المعاصی، فلعلّه لما فیه من الصّلاح حلّ تعلّمه وتعلیمه و العمل به ویحرم علی من صرفه إلی غیر وجه الحقّ والصّلاح؛ فهذا تفسیر بیان وجه اکتساب معاش العباد وتعلیمهم فی جمیع وجوه اکتسابهم</w:t>
      </w:r>
      <w:r>
        <w:rPr>
          <w:rFonts w:eastAsia="IRNazanin" w:cs="IRNazanin"/>
          <w:color w:val="111111"/>
          <w:sz w:val="28"/>
          <w:szCs w:val="28"/>
          <w:rtl w:val="true"/>
          <w:lang w:bidi="fa-IR"/>
        </w:rPr>
        <w:t>.</w:t>
      </w:r>
      <w:r>
        <w:rPr>
          <w:rStyle w:val="FootnoteAnchor"/>
          <w:rtl w:val="true"/>
        </w:rPr>
        <w:footnoteReference w:id="22"/>
      </w:r>
    </w:p>
    <w:p>
      <w:pPr>
        <w:pStyle w:val="Heading5"/>
        <w:numPr>
          <w:ilvl w:val="4"/>
          <w:numId w:val="1"/>
        </w:numPr>
        <w:rPr/>
      </w:pPr>
      <w:bookmarkStart w:id="36" w:name="__RefHeading___Toc2530717_1468164448"/>
      <w:bookmarkStart w:id="37" w:name="_Toc14"/>
      <w:bookmarkEnd w:id="36"/>
      <w:r>
        <w:rPr>
          <w:rtl w:val="true"/>
        </w:rPr>
        <w:t>بند دوم</w:t>
      </w:r>
      <w:r>
        <w:rPr>
          <w:rtl w:val="true"/>
        </w:rPr>
        <w:t xml:space="preserve">: </w:t>
      </w:r>
      <w:r>
        <w:rPr>
          <w:rtl w:val="true"/>
        </w:rPr>
        <w:t>بررسی سند روایت</w:t>
      </w:r>
      <w:bookmarkEnd w:id="37"/>
    </w:p>
    <w:p>
      <w:pPr>
        <w:pStyle w:val="Heading6"/>
        <w:numPr>
          <w:ilvl w:val="5"/>
          <w:numId w:val="1"/>
        </w:numPr>
        <w:rPr/>
      </w:pPr>
      <w:bookmarkStart w:id="38" w:name="__RefHeading___Toc2530719_1468164448"/>
      <w:bookmarkStart w:id="39" w:name="_Toc15"/>
      <w:bookmarkEnd w:id="38"/>
      <w:r>
        <w:rPr>
          <w:rtl w:val="true"/>
        </w:rPr>
        <w:t>اشارة</w:t>
      </w:r>
      <w:bookmarkEnd w:id="3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ابو محمّد حسن بن علی بن حسین بن شعبۀ حلبی یا حرّانی، به صورت مرسل از امام صادق علیه السلام نقل کرده است</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این شخص مورد اعتماد علماست و علاوه بر آن، بزرگان نسبت به کتاب تحف العقول نیز مطالب بسیاری را عنوان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p>
    <w:p>
      <w:pPr>
        <w:pStyle w:val="BookText"/>
        <w:rPr/>
      </w:pPr>
      <w:r>
        <w:rPr>
          <w:rFonts w:ascii="IRNazanin" w:hAnsi="IRNazanin" w:eastAsia="IRNazanin"/>
          <w:color w:val="111111"/>
          <w:sz w:val="28"/>
          <w:sz w:val="28"/>
          <w:szCs w:val="28"/>
          <w:rtl w:val="true"/>
          <w:lang w:bidi="fa-IR"/>
        </w:rPr>
        <w:t>علاّمۀ مجلسی قدس سره در بحار الأنوار دربارۀ این کتاب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از اصولی است که در آن نیازی به سند نداریم</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شیخ حرّ عاملی قدس سره در أمل الآمل دربارۀ این کتاب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نیکو و بسیار پرفایده است</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محدّث قمی قدس سره نیز به نقل از شیخ مفید قدس سره در کتاب فوائد الرضویة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 العقول کتابی است که دهر مانند آن را ندیده است</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محقّق خوانساری قدس سره در کتاب روضات الجنّات پس از تعریف و تمجید از صاحب کتاب، دربارۀ تحف العقول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گسترده و بسیار پرفایده است و اصحاب امامیّه بر آن اعتماد دارند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و مرحوم سیّد حسن صدر قدس سره نیز در تأسیس الشیعة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کتابی است که مانند آن ننوشته‌اند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در مورد خود روایت، علاوه بر شیخ انصاری قدس سره که در اوّل کتاب المکاسب این روایت را نقل می‌کند و در موارد متعدّدی به این روایت استدلال می‌نماید، صاحب جواهر قدس سره نیز در مواردی به این روایت، تمسّک می‌جوید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محقّق نائینی قدس سره نیز در منیة الطالب به این روایت استدلال کرده</w:t>
      </w:r>
      <w:r>
        <w:rPr>
          <w:rStyle w:val="FootnoteAnchor"/>
          <w:rtl w:val="true"/>
        </w:rPr>
        <w:footnoteReference w:id="30"/>
      </w:r>
      <w:r>
        <w:rPr>
          <w:rFonts w:ascii="IRNazanin" w:hAnsi="IRNazanin" w:eastAsia="IRNazanin"/>
          <w:color w:val="111111"/>
          <w:sz w:val="28"/>
          <w:sz w:val="28"/>
          <w:szCs w:val="28"/>
          <w:rtl w:val="true"/>
          <w:lang w:bidi="fa-IR"/>
        </w:rPr>
        <w:t>و سیّد یزدی قدس سره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صدق از این روایت، هویداست</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والد معظّم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بحث مکاسب محرّمه، این روایت را قابل اعتماد دانسته است</w:t>
      </w:r>
      <w:r>
        <w:rPr>
          <w:rFonts w:eastAsia="IRNazanin" w:cs="IRNazanin"/>
          <w:color w:val="111111"/>
          <w:sz w:val="28"/>
          <w:szCs w:val="28"/>
          <w:rtl w:val="true"/>
          <w:lang w:bidi="fa-IR"/>
        </w:rPr>
        <w:t>.</w:t>
      </w:r>
      <w:r>
        <w:rPr>
          <w:rStyle w:val="FootnoteAnchor"/>
          <w:rtl w:val="true"/>
        </w:rPr>
        <w:footnoteReference w:id="3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مقابل، بزرگانی چون محقّق ایروانی قدس سره،</w:t>
      </w:r>
      <w:r>
        <w:rPr>
          <w:rStyle w:val="FootnoteAnchor"/>
          <w:rtl w:val="true"/>
        </w:rPr>
        <w:footnoteReference w:id="33"/>
      </w:r>
      <w:r>
        <w:rPr>
          <w:rFonts w:ascii="IRNazanin" w:hAnsi="IRNazanin" w:eastAsia="IRNazanin"/>
          <w:color w:val="111111"/>
          <w:sz w:val="28"/>
          <w:sz w:val="28"/>
          <w:szCs w:val="28"/>
          <w:rtl w:val="true"/>
          <w:lang w:bidi="fa-IR"/>
        </w:rPr>
        <w:t>محقّق خویی رحمه الله و شاگردان ایشان معتقدند که این روایت مرسل است و حدیث مرسل، مشمول ادلّۀ حجّیت خبر واحد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خویی قدس سره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یک از روایات تحف العقول قابل</w:t>
      </w:r>
      <w:bookmarkStart w:id="40" w:name="pg13785_134898"/>
    </w:p>
    <w:p>
      <w:pPr>
        <w:pStyle w:val="BookText"/>
        <w:rPr/>
      </w:pPr>
      <w:bookmarkEnd w:id="40"/>
      <w:r>
        <w:rPr>
          <w:rFonts w:ascii="IRNazanin" w:hAnsi="IRNazanin" w:eastAsia="IRNazanin"/>
          <w:color w:val="111111"/>
          <w:sz w:val="28"/>
          <w:sz w:val="28"/>
          <w:szCs w:val="28"/>
          <w:rtl w:val="true"/>
          <w:lang w:bidi="fa-IR"/>
        </w:rPr>
        <w:t>اعتنا نیست، زیرا همۀ روایات این کتاب مرسل است</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امام خمینی قدس سره نیز در کتاب المکاسب المحرّمة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این روایت در مقایسه با سایر روایات، مخفی‌تر و دلالت آن روشن‌تر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دیدگاه‌های گوناگونی دربارۀ این روایت وجود دارد؛ زیرا از یک‌سو صاحب جواهر، شیخ انصاری، محقّق نائینی و سیّد یزدی قدس سرهم به این روایت عمل می‌کنند و از سوی دیگر، جمعی از بزرگان مانند محقّق خویی، محقّق ایروانی و امام خمینی قدس سرهم این روایت را از حیث سند، مخدوش می‌دانند</w:t>
      </w:r>
      <w:r>
        <w:rPr>
          <w:rFonts w:eastAsia="IRNazanin" w:cs="IRNazanin"/>
          <w:color w:val="111111"/>
          <w:sz w:val="28"/>
          <w:szCs w:val="28"/>
          <w:rtl w:val="true"/>
          <w:lang w:bidi="fa-IR"/>
        </w:rPr>
        <w:t>.</w:t>
      </w:r>
    </w:p>
    <w:p>
      <w:pPr>
        <w:pStyle w:val="Heading6"/>
        <w:numPr>
          <w:ilvl w:val="5"/>
          <w:numId w:val="1"/>
        </w:numPr>
        <w:rPr/>
      </w:pPr>
      <w:bookmarkStart w:id="41" w:name="__RefHeading___Toc2530721_1468164448"/>
      <w:bookmarkStart w:id="42" w:name="_Toc16"/>
      <w:bookmarkEnd w:id="41"/>
      <w:r>
        <w:rPr>
          <w:rtl w:val="true"/>
        </w:rPr>
        <w:t>الف</w:t>
      </w:r>
      <w:r>
        <w:rPr>
          <w:rtl w:val="true"/>
        </w:rPr>
        <w:t xml:space="preserve">) </w:t>
      </w:r>
      <w:r>
        <w:rPr>
          <w:rtl w:val="true"/>
        </w:rPr>
        <w:t>اشکالات سندی</w:t>
      </w:r>
      <w:bookmarkEnd w:id="42"/>
    </w:p>
    <w:p>
      <w:pPr>
        <w:pStyle w:val="Heading6"/>
        <w:numPr>
          <w:ilvl w:val="5"/>
          <w:numId w:val="1"/>
        </w:numPr>
        <w:rPr/>
      </w:pPr>
      <w:bookmarkStart w:id="43" w:name="__RefHeading___Toc2530723_1468164448"/>
      <w:bookmarkStart w:id="44" w:name="_Toc17"/>
      <w:bookmarkEnd w:id="43"/>
      <w:r>
        <w:rPr/>
        <w:t>1</w:t>
      </w:r>
      <w:r>
        <w:rPr>
          <w:rtl w:val="true"/>
        </w:rPr>
        <w:t xml:space="preserve">- </w:t>
      </w:r>
      <w:r>
        <w:rPr>
          <w:rtl w:val="true"/>
        </w:rPr>
        <w:t>مرسل بودن روایت</w:t>
      </w:r>
      <w:bookmarkEnd w:id="44"/>
    </w:p>
    <w:p>
      <w:pPr>
        <w:pStyle w:val="BookText"/>
        <w:rPr/>
      </w:pPr>
      <w:r>
        <w:rPr>
          <w:rFonts w:ascii="IRNazanin" w:hAnsi="IRNazanin" w:eastAsia="IRNazanin"/>
          <w:color w:val="111111"/>
          <w:sz w:val="28"/>
          <w:sz w:val="28"/>
          <w:szCs w:val="28"/>
          <w:rtl w:val="true"/>
          <w:lang w:bidi="fa-IR"/>
        </w:rPr>
        <w:t>مهم‌ترین اشکال سند روایت تحف العقول، این است که حسن بن شعبه این حدیث را به صورت مرسل و بدون واسطه از امام صادق علیه السلام نقل کرده است؛ زیرا وی در عصر شیخ صدوق قدس سره می‌زیسته و میان وی و امام معصوم قدس سره دست‌کم چهار یا پنج راوی وجود دارد که نام هیچ یک از آنها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بزرگانی همچون محقّق ایروانی</w:t>
      </w:r>
      <w:r>
        <w:rPr>
          <w:rStyle w:val="FootnoteAnchor"/>
          <w:rtl w:val="true"/>
        </w:rPr>
        <w:footnoteReference w:id="36"/>
      </w:r>
      <w:r>
        <w:rPr>
          <w:rFonts w:ascii="IRNazanin" w:hAnsi="IRNazanin" w:eastAsia="IRNazanin"/>
          <w:color w:val="111111"/>
          <w:sz w:val="28"/>
          <w:sz w:val="28"/>
          <w:szCs w:val="28"/>
          <w:rtl w:val="true"/>
          <w:lang w:bidi="fa-IR"/>
        </w:rPr>
        <w:t>و محقّق خویی‌قدس سرهما</w:t>
      </w:r>
      <w:r>
        <w:rPr>
          <w:rStyle w:val="FootnoteAnchor"/>
          <w:rtl w:val="true"/>
        </w:rPr>
        <w:footnoteReference w:id="37"/>
      </w:r>
      <w:r>
        <w:rPr>
          <w:rFonts w:ascii="IRNazanin" w:hAnsi="IRNazanin" w:eastAsia="IRNazanin"/>
          <w:color w:val="111111"/>
          <w:sz w:val="28"/>
          <w:sz w:val="28"/>
          <w:szCs w:val="28"/>
          <w:rtl w:val="true"/>
          <w:lang w:bidi="fa-IR"/>
        </w:rPr>
        <w:t>، این اشکال را مطرح کرده‌اند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حجّیت خبر واحد، شامل این روایت نمی‌شود؛ زیرا بر اساس حجّیت خبر واحد، روایتی از حجّیت برخوردار است که راوی آن، عادل یا موثّق باشد، در حالی که وثوق و عدالت راویانی که در روایات مرسل حذف شده‌اند، قابل اثبات نیست؛ زیرا هویّت آنها نامشخّص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در مقابل این اشکال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شعبه قدس سره در مقدّمۀ تحف العقول تصریح می‌کند که اسانید را برای ایجاز و اختصار، حذف کرده است</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پس می‌توان</w:t>
      </w:r>
    </w:p>
    <w:p>
      <w:pPr>
        <w:pStyle w:val="BookText"/>
        <w:rPr/>
      </w:pPr>
      <w:r>
        <w:rPr>
          <w:rFonts w:ascii="IRNazanin" w:hAnsi="IRNazanin" w:eastAsia="IRNazanin"/>
          <w:color w:val="111111"/>
          <w:sz w:val="28"/>
          <w:sz w:val="28"/>
          <w:szCs w:val="28"/>
          <w:rtl w:val="true"/>
          <w:lang w:bidi="fa-IR"/>
        </w:rPr>
        <w:t>نتیجه گرفت که ایشان به راویانی که ذکر نکرده، اعتماد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سخن وی شبیه توثیق عام است که در مواردی همچون اسناد کامل الزّیارات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سخن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توثیق عام، بحثی مبنایی است و برخی از بزرگان همچون محقّق خویی قدس سره قائل به عدم اعتبار توثیقات عام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ابتدا معتقد بود که توثیقات عام مانند توثیقات خاص معتبر است،</w:t>
      </w:r>
      <w:r>
        <w:rPr>
          <w:rStyle w:val="FootnoteAnchor"/>
          <w:rtl w:val="true"/>
        </w:rPr>
        <w:footnoteReference w:id="39"/>
      </w:r>
      <w:r>
        <w:rPr>
          <w:rFonts w:ascii="IRNazanin" w:hAnsi="IRNazanin" w:eastAsia="IRNazanin"/>
          <w:color w:val="111111"/>
          <w:sz w:val="28"/>
          <w:sz w:val="28"/>
          <w:szCs w:val="28"/>
          <w:rtl w:val="true"/>
          <w:lang w:bidi="fa-IR"/>
        </w:rPr>
        <w:t>امّا بعداً از این دیدگاه عدول کرد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از کلام ابن شعبه توثیق عام را استفاده کرد؛ زیرا وی در مقدّمۀ کتاب فقط نوشته است که اسانید را برای اختصار حذف کرده‌ام و هرگز تصریح به وثاقت آنان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از کلام ایشان وثاقت را برداشت نمود،</w:t>
      </w:r>
      <w:r>
        <w:rPr>
          <w:rStyle w:val="FootnoteAnchor"/>
          <w:rtl w:val="true"/>
        </w:rPr>
        <w:footnoteReference w:id="41"/>
      </w:r>
      <w:r>
        <w:rPr>
          <w:rFonts w:ascii="IRNazanin" w:hAnsi="IRNazanin" w:eastAsia="IRNazanin"/>
          <w:color w:val="111111"/>
          <w:sz w:val="28"/>
          <w:sz w:val="28"/>
          <w:szCs w:val="28"/>
          <w:rtl w:val="true"/>
          <w:lang w:bidi="fa-IR"/>
        </w:rPr>
        <w:t>در حالی که صاحب کامل الزّیارات در مقدّمۀ 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راویانی که من از آنان اخبار را نقل کرده‌ام از نظر من موثّق هستند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روشن است که از کلام ابن شعبه، توثیق عام قابل استفاده نیست؛ ولی از سخن ابن قولویه، توثیق عام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کتاب شخصی است که بیشتر بزرگان او را بلند مرتبه و از نیکان روزگار می‌دانند؛ از این رو، باید روایاتی را که چنین شخصی در کتابش نقل می‌کند، قابل اعتماد دانست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 شأن، سبب پذیرش روایت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دو کتاب بحار الأنوار و وسائل الشیعة، هم روایات صحیح وجود دارد و هم روایات ضعیف و این گونه نیست که همۀ روایات به خاطر بزرگی نویسندگان، پذیرفته شود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در نتیجه، نه توثیق عام و نه جلالت شأن، نمی‌توانند مشکل ارسال این روایت را حل کنند</w:t>
      </w:r>
      <w:r>
        <w:rPr>
          <w:rFonts w:eastAsia="IRNazanin" w:cs="IRNazanin"/>
          <w:color w:val="111111"/>
          <w:sz w:val="28"/>
          <w:szCs w:val="28"/>
          <w:rtl w:val="true"/>
          <w:lang w:bidi="fa-IR"/>
        </w:rPr>
        <w:t>.</w:t>
      </w:r>
      <w:bookmarkStart w:id="45" w:name="pg13785_134900"/>
    </w:p>
    <w:p>
      <w:pPr>
        <w:pStyle w:val="Heading6"/>
        <w:numPr>
          <w:ilvl w:val="5"/>
          <w:numId w:val="1"/>
        </w:numPr>
        <w:rPr/>
      </w:pPr>
      <w:bookmarkStart w:id="46" w:name="__RefHeading___Toc2530725_1468164448"/>
      <w:bookmarkStart w:id="47" w:name="_Toc18"/>
      <w:bookmarkEnd w:id="45"/>
      <w:bookmarkEnd w:id="46"/>
      <w:r>
        <w:rPr/>
        <w:t>2</w:t>
      </w:r>
      <w:r>
        <w:rPr>
          <w:rtl w:val="true"/>
        </w:rPr>
        <w:t xml:space="preserve">- </w:t>
      </w:r>
      <w:r>
        <w:rPr>
          <w:rtl w:val="true"/>
        </w:rPr>
        <w:t>ذکر نشدن در جوامع روایی</w:t>
      </w:r>
      <w:bookmarkEnd w:id="47"/>
    </w:p>
    <w:p>
      <w:pPr>
        <w:pStyle w:val="BookText"/>
        <w:rPr/>
      </w:pPr>
      <w:r>
        <w:rPr>
          <w:rFonts w:ascii="IRNazanin" w:hAnsi="IRNazanin" w:eastAsia="IRNazanin"/>
          <w:color w:val="111111"/>
          <w:sz w:val="28"/>
          <w:sz w:val="28"/>
          <w:szCs w:val="28"/>
          <w:rtl w:val="true"/>
          <w:lang w:bidi="fa-IR"/>
        </w:rPr>
        <w:t>اشکال دیگر این است که این حدیث در بیشتر جوامع روایی،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پرسش مطرح می‌شود که چگونه فقهای بزرگ از وجود چنین روایت مهمّی، بی‌خبر بوده‌اند؟</w:t>
      </w:r>
      <w:r>
        <w:rPr>
          <w:rFonts w:eastAsia="IRNazanin" w:cs="IRNazanin"/>
          <w:color w:val="111111"/>
          <w:sz w:val="28"/>
          <w:szCs w:val="28"/>
          <w:rtl w:val="true"/>
          <w:lang w:bidi="fa-IR"/>
        </w:rPr>
        <w:t>!</w:t>
      </w:r>
    </w:p>
    <w:p>
      <w:pPr>
        <w:pStyle w:val="Heading6"/>
        <w:numPr>
          <w:ilvl w:val="5"/>
          <w:numId w:val="1"/>
        </w:numPr>
        <w:rPr/>
      </w:pPr>
      <w:bookmarkStart w:id="48" w:name="__RefHeading___Toc2530727_1468164448"/>
      <w:bookmarkStart w:id="49" w:name="_Toc19"/>
      <w:bookmarkEnd w:id="48"/>
      <w:r>
        <w:rPr>
          <w:rtl w:val="true"/>
        </w:rPr>
        <w:t>ب</w:t>
      </w:r>
      <w:r>
        <w:rPr>
          <w:rtl w:val="true"/>
        </w:rPr>
        <w:t xml:space="preserve">) </w:t>
      </w:r>
      <w:r>
        <w:rPr>
          <w:rtl w:val="true"/>
        </w:rPr>
        <w:t>راه‌های تصحیح سند روایت</w:t>
      </w:r>
      <w:bookmarkEnd w:id="49"/>
    </w:p>
    <w:p>
      <w:pPr>
        <w:pStyle w:val="BookText"/>
        <w:rPr/>
      </w:pPr>
      <w:r>
        <w:rPr>
          <w:rFonts w:ascii="IRNazanin" w:hAnsi="IRNazanin" w:eastAsia="IRNazanin"/>
          <w:color w:val="111111"/>
          <w:sz w:val="28"/>
          <w:sz w:val="28"/>
          <w:szCs w:val="28"/>
          <w:rtl w:val="true"/>
          <w:lang w:bidi="fa-IR"/>
        </w:rPr>
        <w:t>پس از بیان اشکالات سند این روایت، باید دید آیا راهی برای تصحیح سند آن وجود دارد یا خیر؟ از این رو در ادامه، سه راه برای تصحیح سند روایت ذکر می‌کنیم و آنها را مورد نقد و بررسی قرار می‌دهیم</w:t>
      </w:r>
      <w:r>
        <w:rPr>
          <w:rFonts w:eastAsia="IRNazanin" w:cs="IRNazanin"/>
          <w:color w:val="111111"/>
          <w:sz w:val="28"/>
          <w:szCs w:val="28"/>
          <w:rtl w:val="true"/>
          <w:lang w:bidi="fa-IR"/>
        </w:rPr>
        <w:t>:</w:t>
      </w:r>
    </w:p>
    <w:p>
      <w:pPr>
        <w:pStyle w:val="Heading6"/>
        <w:numPr>
          <w:ilvl w:val="5"/>
          <w:numId w:val="1"/>
        </w:numPr>
        <w:rPr/>
      </w:pPr>
      <w:bookmarkStart w:id="50" w:name="__RefHeading___Toc2530729_1468164448"/>
      <w:bookmarkStart w:id="51" w:name="_Toc20"/>
      <w:bookmarkEnd w:id="50"/>
      <w:r>
        <w:rPr/>
        <w:t>1</w:t>
      </w:r>
      <w:r>
        <w:rPr>
          <w:rtl w:val="true"/>
        </w:rPr>
        <w:t xml:space="preserve">- </w:t>
      </w:r>
      <w:r>
        <w:rPr>
          <w:rtl w:val="true"/>
        </w:rPr>
        <w:t>شهرت عملی</w:t>
      </w:r>
      <w:bookmarkEnd w:id="51"/>
    </w:p>
    <w:p>
      <w:pPr>
        <w:pStyle w:val="BookText"/>
        <w:rPr/>
      </w:pPr>
      <w:r>
        <w:rPr>
          <w:rFonts w:ascii="IRNazanin" w:hAnsi="IRNazanin" w:eastAsia="IRNazanin"/>
          <w:color w:val="111111"/>
          <w:sz w:val="28"/>
          <w:sz w:val="28"/>
          <w:szCs w:val="28"/>
          <w:rtl w:val="true"/>
          <w:lang w:bidi="fa-IR"/>
        </w:rPr>
        <w:t>در فقه گفته می‌شود که اگر در یک روایت، شرایط حجّیت موجود باشد، فقیه باید به آن عمل کند و اگر روایتی فاقد شرایط حجّیت باشد، فقیه نمی‌تواند به آن روایت عمل کند؛ ولی آیا شهرت می‌تواند جبران‌کنندۀ ضعف سند باشد؟ آیا عمل مشهور می‌تواند مشکل ارسال روایت تحف العقول را جبران کند؟</w:t>
      </w:r>
    </w:p>
    <w:p>
      <w:pPr>
        <w:pStyle w:val="BookText"/>
        <w:rPr/>
      </w:pPr>
      <w:r>
        <w:rPr>
          <w:rFonts w:ascii="IRNazanin" w:hAnsi="IRNazanin" w:eastAsia="IRNazanin"/>
          <w:color w:val="111111"/>
          <w:sz w:val="28"/>
          <w:sz w:val="28"/>
          <w:szCs w:val="28"/>
          <w:rtl w:val="true"/>
          <w:lang w:bidi="fa-IR"/>
        </w:rPr>
        <w:t>دربارۀ این موضوع دو دیدگاه کلّی در بین فقها وجود دارد که آثار و نتایج متفاوتی بر آنها مترتّب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محقّق خویی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بحث حجیّت خبر واحد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خبر دارای سند صحیح باشد، مشمول ادلّۀ حجّیت است و اگر سند صحیح نداشته باشد، مشمول ادلّۀ حجیّت نیست، خواه فقها به آن حدیث عمل کرده یا عمل نکرده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عقیدۀ ایشان، عمل مشهور ضعف سند را جبران نمی‌کند و در مقابل، اعراض مشهور نیز خدشه‌ای به اعتبار حدیث وارد نمی‌کند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پذیرش این مبنا مستلزم کنار گذاشتن بسیاری از روایات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محقّق بروجردی</w:t>
      </w:r>
    </w:p>
    <w:p>
      <w:pPr>
        <w:pStyle w:val="BookText"/>
        <w:rPr/>
      </w:pPr>
      <w:r>
        <w:rPr>
          <w:rFonts w:ascii="IRNazanin" w:hAnsi="IRNazanin" w:eastAsia="IRNazanin"/>
          <w:color w:val="111111"/>
          <w:sz w:val="28"/>
          <w:sz w:val="28"/>
          <w:szCs w:val="28"/>
          <w:rtl w:val="true"/>
          <w:lang w:bidi="fa-IR"/>
        </w:rPr>
        <w:t>جهت تبیین بهتر دیدگاه محقّق بروجردی قدس سره، ابتدا مقدّمه‌ای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در زمان ائمّۀ اطهار علیهم السلام، احکام و فتاوا را از ایشان دریافت کرده و عین این احکام را بدون تغییر برای شاگردان خود بیان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هیچ دوره‌ای متوقّف نشد و یکی از نقاط افتراق فقه شیعه و فقه اهل سنّت همین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اهل سنّت پس از حدود صد سال از زمان پیامبر اکرم صلی الله علیه و آله شروع شده است، امّا در فقه شیعه اصحاب از زمان پیامبر اکرم صلی الله علیه و آله و ائمّۀ معصومین علیهم السلام احکام را اخذ کرده و نسل به نسل به شاگردان خود، منتقل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تا زمان شیخ صدوق، شیخ مفید، سیّد مرتضی و عدّه‌ای دیگر از فقها قدس سرهم که اصطلاحاً به آنها قدمای از فقها گفته می‌شود، ادامه داشته است؛ یعنی شیخ صدوق قدس سره همان تعبیری را که راوی از استاد خود گرفته بود، بدون هیچ تغییری در کتابش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 در تدوین کتاب‌هایشان همان شیوۀ اصحاب را در پیش گرفتند و کتاب‌های المقنع و الهدایة شیخ صدوق، المقنعة شیخ مفید و الانتصار سیّد مرتضی قدس سرهم به همین شکل تدوین یافته‌اند؛ امّا پس از این دوره و از زمان محقّق حلّی قدس سره، فقها فروعاتی را به آن احکام و فتاوا ضمیمه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پیش از محقّق حلّی، شیخ طوسی قدس سره نیز در کتاب المبسوط تفریعاتی را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بروجردی قدس سره با اشاره به این مسئله در تاریخ فقه شیعه،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و احکامی که در دورۀ اصحاب و قدمای از فقها بیان شده است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الأصلیة المأثورة عن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می‌نهیم و از آنها به مسائل اصلی تعبیر می‌کنیم و از دستۀ دوم، که فروعی را به مسائل اصلی اضافه کرده‌اند،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تفریعی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ادامه اظهار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اصحاب و قدما عین عبارات ائمّۀ معصومین علیهم السلام یا واژه‌های نزدیک به آن را حفظ کرده و به نسل بعد منتقل می‌کردند، آنچه در میان آنها به عنوان اصول متلقّات شمرده می‌شد و میان آنها مشهور بوده است، برای فقهای متأخّر حجّیت دارد، هرچند سندش صحیح نباشد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پس طبق این دیدگاه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از اصول متلقّات به شمار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صاحب کتاب در زمان شیخ صدوق قدس سره می‌زیسته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ثابت شود که این روایت در میان قدما مشهور بوده است، در این‌صورت ضعف سندش، جبران شده و حجّیت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محقّق بروجردی قدس سره این است که شهرتِ بین قدما، در مسائل اصلی یا به تعبیر دیگر در اصول متلقّات از ائمّۀ معصومین علیهم السلام حجّیت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روایتی با سند صحیح داشته باشیم، امّا قدما بر طبق آن روایت عمل نکرده و در کتاب‌های فقهی خود بر طبق آن فتوا نداده باشند، این روایت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روایتی مرسل بوده یا سندی ضعیف داشته باشد، ولی قدما آن را به عنوان اصول متلقّات از ائمّۀ معصومین علیهم السلام مورد فتوا قرار داده باشند، این روایت حجّت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زمان محقّق حلّی قدس سره تا امروز، حتّی اجماع فقها نیز نافع نیست و تنها شهرت میان قدما در مسائل اصلی، حجّیت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بررسی دو دیدگاه</w:t>
      </w:r>
    </w:p>
    <w:p>
      <w:pPr>
        <w:pStyle w:val="BookText"/>
        <w:rPr/>
      </w:pPr>
      <w:r>
        <w:rPr>
          <w:rFonts w:ascii="IRNazanin" w:hAnsi="IRNazanin" w:eastAsia="IRNazanin"/>
          <w:color w:val="111111"/>
          <w:sz w:val="28"/>
          <w:sz w:val="28"/>
          <w:szCs w:val="28"/>
          <w:rtl w:val="true"/>
          <w:lang w:bidi="fa-IR"/>
        </w:rPr>
        <w:t>دیدگاه محقّق بروجردی قدس سره دست فقیه را باز می‌گذارد و فقهای بزرگی همچون امام خمینی قدس سره</w:t>
      </w:r>
      <w:r>
        <w:rPr>
          <w:rStyle w:val="FootnoteAnchor"/>
          <w:rtl w:val="true"/>
        </w:rPr>
        <w:footnoteReference w:id="46"/>
      </w:r>
      <w:r>
        <w:rPr>
          <w:rFonts w:ascii="IRNazanin" w:hAnsi="IRNazanin" w:eastAsia="IRNazanin"/>
          <w:color w:val="111111"/>
          <w:sz w:val="28"/>
          <w:sz w:val="28"/>
          <w:szCs w:val="28"/>
          <w:rtl w:val="true"/>
          <w:lang w:bidi="fa-IR"/>
        </w:rPr>
        <w:t xml:space="preserve">و والد معظّم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العالی </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آن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مبنا، می‌توان روایات مرسل و روایاتی را که سند و راوی آن مشخّص نیست، تصحیح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ضعف سند روایت تحف العقول به‌وسیلۀ شهرت میان قدما، جبران می‌شود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در مقابل، محقّق خویی قدس سره افزون بر این‌که دیدگاه محقّق بروجردی قدس سره را نمی‌پذیرد، این اشکال را وارد می‌کند که اصلاً شهرتی میان قدما در عمل به روایت تحف العقول وجود ندارد و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 به این روایت عمل کرده‌اند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به نظر ما</w:t>
      </w:r>
      <w:bookmarkStart w:id="52" w:name="pg13785_134903"/>
    </w:p>
    <w:p>
      <w:pPr>
        <w:pStyle w:val="BookText"/>
        <w:rPr/>
      </w:pPr>
      <w:bookmarkEnd w:id="52"/>
      <w:r>
        <w:rPr>
          <w:rFonts w:ascii="IRNazanin" w:hAnsi="IRNazanin" w:eastAsia="IRNazanin"/>
          <w:color w:val="111111"/>
          <w:sz w:val="28"/>
          <w:sz w:val="28"/>
          <w:szCs w:val="28"/>
          <w:rtl w:val="true"/>
          <w:lang w:bidi="fa-IR"/>
        </w:rPr>
        <w:t>نیز با ملاحظۀ کتب فقهی نمی‌توان گفت که شهرتی میان فقها در عمل به این روایت،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ادّعا نیازمند تتبّع بیشتر است</w:t>
      </w:r>
      <w:r>
        <w:rPr>
          <w:rFonts w:eastAsia="IRNazanin" w:cs="IRNazanin"/>
          <w:color w:val="111111"/>
          <w:sz w:val="28"/>
          <w:szCs w:val="28"/>
          <w:rtl w:val="true"/>
          <w:lang w:bidi="fa-IR"/>
        </w:rPr>
        <w:t>.</w:t>
      </w:r>
    </w:p>
    <w:p>
      <w:pPr>
        <w:pStyle w:val="Heading6"/>
        <w:numPr>
          <w:ilvl w:val="5"/>
          <w:numId w:val="1"/>
        </w:numPr>
        <w:rPr/>
      </w:pPr>
      <w:bookmarkStart w:id="53" w:name="__RefHeading___Toc2530731_1468164448"/>
      <w:bookmarkStart w:id="54" w:name="_Toc21"/>
      <w:bookmarkEnd w:id="53"/>
      <w:r>
        <w:rPr/>
        <w:t>2</w:t>
      </w:r>
      <w:r>
        <w:rPr>
          <w:rtl w:val="true"/>
        </w:rPr>
        <w:t xml:space="preserve">- </w:t>
      </w:r>
      <w:r>
        <w:rPr>
          <w:rtl w:val="true"/>
        </w:rPr>
        <w:t xml:space="preserve">استفاده از کلمۀ </w:t>
      </w:r>
      <w:r>
        <w:rPr>
          <w:rtl w:val="true"/>
        </w:rPr>
        <w:t>«</w:t>
      </w:r>
      <w:r>
        <w:rPr>
          <w:rtl w:val="true"/>
        </w:rPr>
        <w:t>قال</w:t>
      </w:r>
      <w:r>
        <w:rPr>
          <w:rtl w:val="true"/>
        </w:rPr>
        <w:t xml:space="preserve">» </w:t>
      </w:r>
      <w:r>
        <w:rPr>
          <w:rtl w:val="true"/>
        </w:rPr>
        <w:t>در روایت</w:t>
      </w:r>
      <w:bookmarkEnd w:id="54"/>
    </w:p>
    <w:p>
      <w:pPr>
        <w:pStyle w:val="BookText"/>
        <w:rPr/>
      </w:pPr>
      <w:r>
        <w:rPr>
          <w:rFonts w:ascii="IRNazanin" w:hAnsi="IRNazanin" w:eastAsia="IRNazanin"/>
          <w:color w:val="111111"/>
          <w:sz w:val="28"/>
          <w:sz w:val="28"/>
          <w:szCs w:val="28"/>
          <w:rtl w:val="true"/>
          <w:lang w:bidi="fa-IR"/>
        </w:rPr>
        <w:t>در احادیث مرسل، گاهی شخص مرسِل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الامام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مرسلات صدوق قدس سره ایشان در مواردی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برده و در مواردی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بحثی در علم رجال شکل گرفته است و شماری از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امام خمینی قدس سره و شاگردان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دو تعبیر تفاوت وجود دارد؛ یعنی آن‌جا که شیخ صدوق قدس سره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نظرش این است که در این روایت هیچ تردیدی وجود ندارد؛ ولی 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 خود ایشان نیز به این روایت اطمینان نداشته است</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از این رو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تحف العقول چون حسن بن علی بن شعبه قدس سره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 از نظر وی روایت، صحیح بوده و به آن اعتماد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این مطلب نیز اختلافی است و طبق مبنای محقّق خویی قدس سره و عدّه‌ای دیگر از فقها، در روایات مرسل، فرقی بین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روایات مرسل، به کلّی از دایرۀ اعتبار خارج‌اند</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بحث‌های خبر واحد در علم اصول، روشن نمودیم که مرسلات صدوق در کتاب من لا یحضره الفقیه حجّت است و فرقی میان این دو تعبیر در این کتاب، نیست</w:t>
      </w:r>
      <w:r>
        <w:rPr>
          <w:rFonts w:eastAsia="IRNazanin" w:cs="IRNazanin"/>
          <w:color w:val="111111"/>
          <w:sz w:val="28"/>
          <w:szCs w:val="28"/>
          <w:rtl w:val="true"/>
          <w:lang w:bidi="fa-IR"/>
        </w:rPr>
        <w:t>.</w:t>
      </w:r>
      <w:bookmarkStart w:id="55" w:name="pg13785_134904"/>
    </w:p>
    <w:p>
      <w:pPr>
        <w:pStyle w:val="Heading6"/>
        <w:numPr>
          <w:ilvl w:val="5"/>
          <w:numId w:val="1"/>
        </w:numPr>
        <w:rPr/>
      </w:pPr>
      <w:bookmarkStart w:id="56" w:name="__RefHeading___Toc2530733_1468164448"/>
      <w:bookmarkStart w:id="57" w:name="_Toc22"/>
      <w:bookmarkEnd w:id="55"/>
      <w:bookmarkEnd w:id="56"/>
      <w:r>
        <w:rPr/>
        <w:t>3</w:t>
      </w:r>
      <w:r>
        <w:rPr>
          <w:rtl w:val="true"/>
        </w:rPr>
        <w:t xml:space="preserve">- </w:t>
      </w:r>
      <w:r>
        <w:rPr>
          <w:rtl w:val="true"/>
        </w:rPr>
        <w:t>وثوق صدوری روایت</w:t>
      </w:r>
      <w:bookmarkEnd w:id="57"/>
    </w:p>
    <w:p>
      <w:pPr>
        <w:pStyle w:val="BookText"/>
        <w:rPr/>
      </w:pPr>
      <w:r>
        <w:rPr>
          <w:rFonts w:ascii="IRNazanin" w:hAnsi="IRNazanin" w:eastAsia="IRNazanin"/>
          <w:color w:val="111111"/>
          <w:sz w:val="28"/>
          <w:sz w:val="28"/>
          <w:szCs w:val="28"/>
          <w:rtl w:val="true"/>
          <w:lang w:bidi="fa-IR"/>
        </w:rPr>
        <w:t>در بحث خبر واحد، دیدگاه محقّقان این است که برای حجّیت خبر واحد، یا باید راوی آن موثّق باشد، یا وثوق به صدور روایت، وجود داشته باشد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حتّی محقّق خویی قدس سره نیز این دیدگاه را پذیرفته است</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بنا بر این، اگر حدیثی موثوق الصدور باشد حجّت است، حتّی اگر وثاقت راوی آن محرز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روایت تحف العقول هم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بردارندۀ مضامینی است که از غیر امام معصوم علیه السلام صادر نمی‌شود؛ یعنی ضوابط و تعابیری که در این روایت وجود دارد، صدور آن از جانب امام علیه السلام را محرز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یزدی قدس سره نیز از همین راه برای تصحیح روایت، کمک می‌گیرد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مضامین روایت، وثوق به صدور پیدا می‌کنیم</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نتیجه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راه برای تصحیح روایت تحف العقول گفته شد که از این میان، ممکن است راه نخست با اشکال صغروی مواجه باشد؛ یعنی روشن نیست که مشهور قدما به این روایت عمل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مطرح شده در راه دوم نیز مبنایی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مناسب‌ترین راه برای تصحیح روایت، بحث وثوق صدوری می‌باشد؛ ولی با این حال اشکالاتی بر محتوای روایت وارد شده که وثوق صدوری روایت را زیر سؤال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اشکالات مضمون این روایت، همچون اضطراب، تکرار، تعقید و مانند آن حل شود، می‌توان گفت که این روایت، حجّت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مطالب گفته شده، شیخ انصاری قدس سره در کتاب المکاسب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وحکاه غیر واحد عن رسالۀ المحکم والمتشابه؛</w:t>
      </w:r>
      <w:r>
        <w:rPr>
          <w:rStyle w:val="FootnoteAnchor"/>
          <w:rtl w:val="true"/>
        </w:rPr>
        <w:footnoteReference w:id="55"/>
      </w:r>
      <w:r>
        <w:rPr>
          <w:rFonts w:ascii="IRNazanin" w:hAnsi="IRNazanin" w:eastAsia="IRNazanin"/>
          <w:color w:val="111111"/>
          <w:sz w:val="28"/>
          <w:sz w:val="28"/>
          <w:szCs w:val="28"/>
          <w:rtl w:val="true"/>
          <w:lang w:bidi="fa-IR"/>
        </w:rPr>
        <w:t>این خبر را بیش از یک نفر از رسالۀ محکم و متشابه سیّد مرتضی قدس سره نقل کرده‌اند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بویژه آن‌که سیّد مرتضی قدس سره خبر واحد را حجّت نمی‌داند و آمدن این خبر در رسالۀ</w:t>
      </w:r>
      <w:bookmarkStart w:id="58" w:name="pg13785_134905"/>
    </w:p>
    <w:p>
      <w:pPr>
        <w:pStyle w:val="BookText"/>
        <w:rPr/>
      </w:pPr>
      <w:bookmarkEnd w:id="58"/>
      <w:r>
        <w:rPr>
          <w:rFonts w:ascii="IRNazanin" w:hAnsi="IRNazanin" w:eastAsia="IRNazanin"/>
          <w:color w:val="111111"/>
          <w:sz w:val="28"/>
          <w:sz w:val="28"/>
          <w:szCs w:val="28"/>
          <w:rtl w:val="true"/>
          <w:lang w:bidi="fa-IR"/>
        </w:rPr>
        <w:t>المحکم و المتشابه</w:t>
      </w:r>
      <w:r>
        <w:rPr>
          <w:rStyle w:val="FootnoteAnchor"/>
          <w:rtl w:val="true"/>
        </w:rPr>
        <w:footnoteReference w:id="56"/>
      </w:r>
      <w:r>
        <w:rPr>
          <w:rFonts w:ascii="IRNazanin" w:hAnsi="IRNazanin" w:eastAsia="IRNazanin"/>
          <w:color w:val="111111"/>
          <w:sz w:val="28"/>
          <w:sz w:val="28"/>
          <w:szCs w:val="28"/>
          <w:rtl w:val="true"/>
          <w:lang w:bidi="fa-IR"/>
        </w:rPr>
        <w:t>، نشان‌دهندۀ اعتماد ایشان به این روایت است</w:t>
      </w:r>
      <w:r>
        <w:rPr>
          <w:rFonts w:eastAsia="IRNazanin" w:cs="IRNazanin"/>
          <w:color w:val="111111"/>
          <w:sz w:val="28"/>
          <w:szCs w:val="28"/>
          <w:rtl w:val="true"/>
          <w:lang w:bidi="fa-IR"/>
        </w:rPr>
        <w:t>.</w:t>
      </w:r>
    </w:p>
    <w:p>
      <w:pPr>
        <w:pStyle w:val="Heading5"/>
        <w:numPr>
          <w:ilvl w:val="4"/>
          <w:numId w:val="1"/>
        </w:numPr>
        <w:rPr/>
      </w:pPr>
      <w:bookmarkStart w:id="59" w:name="__RefHeading___Toc2530735_1468164448"/>
      <w:bookmarkStart w:id="60" w:name="_Toc23"/>
      <w:bookmarkEnd w:id="59"/>
      <w:r>
        <w:rPr>
          <w:rtl w:val="true"/>
        </w:rPr>
        <w:t>بند سوم</w:t>
      </w:r>
      <w:r>
        <w:rPr>
          <w:rtl w:val="true"/>
        </w:rPr>
        <w:t xml:space="preserve">: </w:t>
      </w:r>
      <w:r>
        <w:rPr>
          <w:rtl w:val="true"/>
        </w:rPr>
        <w:t>بررسی مضمون روایت</w:t>
      </w:r>
      <w:bookmarkEnd w:id="60"/>
    </w:p>
    <w:p>
      <w:pPr>
        <w:pStyle w:val="Heading6"/>
        <w:numPr>
          <w:ilvl w:val="5"/>
          <w:numId w:val="1"/>
        </w:numPr>
        <w:rPr/>
      </w:pPr>
      <w:bookmarkStart w:id="61" w:name="__RefHeading___Toc2530737_1468164448"/>
      <w:bookmarkStart w:id="62" w:name="_Toc24"/>
      <w:bookmarkEnd w:id="61"/>
      <w:r>
        <w:rPr>
          <w:rtl w:val="true"/>
        </w:rPr>
        <w:t>اشارة</w:t>
      </w:r>
      <w:bookmarkEnd w:id="62"/>
    </w:p>
    <w:p>
      <w:pPr>
        <w:pStyle w:val="BookText"/>
        <w:rPr/>
      </w:pPr>
      <w:r>
        <w:rPr>
          <w:rFonts w:ascii="IRNazanin" w:hAnsi="IRNazanin" w:eastAsia="IRNazanin"/>
          <w:color w:val="111111"/>
          <w:sz w:val="28"/>
          <w:sz w:val="28"/>
          <w:szCs w:val="28"/>
          <w:rtl w:val="true"/>
          <w:lang w:bidi="fa-IR"/>
        </w:rPr>
        <w:t>همان‌گونه که گذشت، یکی از راه‌های تصحیح سند روایت تحف العقول، وثوق به صدور روایت از معصوم علیه السلام است؛ یعنی روایت در بر دارندۀ مطالبی است که تنها از معصوم علیه السلام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برخی از فقها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وجود تکرار، تعقید و اضطراب در متن روایت، نمی‌توان به صدور آن از معصوم علیه السلام مطمئن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باید متن روایت و اشکالات مطرح شده نسبت به آن بررسی شود تا در صورت پاسخ به این اشکالات، روایت تحف العقول معتبر گردد</w:t>
      </w:r>
      <w:r>
        <w:rPr>
          <w:rFonts w:eastAsia="IRNazanin" w:cs="IRNazanin"/>
          <w:color w:val="111111"/>
          <w:sz w:val="28"/>
          <w:szCs w:val="28"/>
          <w:rtl w:val="true"/>
          <w:lang w:bidi="fa-IR"/>
        </w:rPr>
        <w:t>.</w:t>
      </w:r>
    </w:p>
    <w:p>
      <w:pPr>
        <w:pStyle w:val="Heading6"/>
        <w:numPr>
          <w:ilvl w:val="5"/>
          <w:numId w:val="1"/>
        </w:numPr>
        <w:rPr/>
      </w:pPr>
      <w:bookmarkStart w:id="63" w:name="__RefHeading___Toc2530739_1468164448"/>
      <w:bookmarkStart w:id="64" w:name="_Toc25"/>
      <w:bookmarkEnd w:id="63"/>
      <w:r>
        <w:rPr>
          <w:rtl w:val="true"/>
        </w:rPr>
        <w:t>الف</w:t>
      </w:r>
      <w:r>
        <w:rPr>
          <w:rtl w:val="true"/>
        </w:rPr>
        <w:t xml:space="preserve">) </w:t>
      </w:r>
      <w:r>
        <w:rPr>
          <w:rtl w:val="true"/>
        </w:rPr>
        <w:t>اشکالات مربوط به متن روایت</w:t>
      </w:r>
      <w:bookmarkEnd w:id="64"/>
    </w:p>
    <w:p>
      <w:pPr>
        <w:pStyle w:val="Heading6"/>
        <w:numPr>
          <w:ilvl w:val="5"/>
          <w:numId w:val="1"/>
        </w:numPr>
        <w:rPr/>
      </w:pPr>
      <w:bookmarkStart w:id="65" w:name="__RefHeading___Toc2530741_1468164448"/>
      <w:bookmarkStart w:id="66" w:name="_Toc26"/>
      <w:bookmarkEnd w:id="65"/>
      <w:r>
        <w:rPr/>
        <w:t>1</w:t>
      </w:r>
      <w:r>
        <w:rPr>
          <w:rtl w:val="true"/>
        </w:rPr>
        <w:t xml:space="preserve">- </w:t>
      </w:r>
      <w:r>
        <w:rPr>
          <w:rtl w:val="true"/>
        </w:rPr>
        <w:t>اضطراب در متن روایت</w:t>
      </w:r>
      <w:bookmarkEnd w:id="66"/>
    </w:p>
    <w:p>
      <w:pPr>
        <w:pStyle w:val="BookText"/>
        <w:rPr/>
      </w:pPr>
      <w:r>
        <w:rPr>
          <w:rFonts w:ascii="IRNazanin" w:hAnsi="IRNazanin" w:eastAsia="IRNazanin"/>
          <w:color w:val="111111"/>
          <w:sz w:val="28"/>
          <w:sz w:val="28"/>
          <w:szCs w:val="28"/>
          <w:rtl w:val="true"/>
          <w:lang w:bidi="fa-IR"/>
        </w:rPr>
        <w:t>سیّد یزدی قدس سره روایت تحف العقول را معتبر دانسته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تعابیری وجود دارد که آثار صدق از آن هویداست</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محقّق خویی قدس سره در نقد این سخن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منظور سیّد یزدی قدس سره از آثار صدق چیست؟ آیا مراد ایشان، اضطراب موجود در متن روایت است، یا تکرار واژه‌ها و یا کثرت ضمیرها و پیچیدگی تعابیر آن؟</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پس به عقیدۀ محقّق خویی قدس سره در متن روایت اضطراب، تکرار و پیچیدگی وجود دارد و به همین دلیل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امام علیه السلام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پاسخ به این اشکال، باید به چند مطلب اشاره کرد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روایات نقل به معنا شده‌اند و راوی، عین الفاظ صادر شده از معصوم علیه السلام را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معتبر نیز آمده است که امام علیه السلام در جواب</w:t>
      </w:r>
      <w:bookmarkStart w:id="67" w:name="pg13785_134906"/>
    </w:p>
    <w:p>
      <w:pPr>
        <w:pStyle w:val="BookText"/>
        <w:rPr/>
      </w:pPr>
      <w:bookmarkEnd w:id="67"/>
      <w:r>
        <w:rPr>
          <w:rFonts w:ascii="IRNazanin" w:hAnsi="IRNazanin" w:eastAsia="IRNazanin"/>
          <w:color w:val="111111"/>
          <w:sz w:val="28"/>
          <w:sz w:val="28"/>
          <w:szCs w:val="28"/>
          <w:rtl w:val="true"/>
          <w:lang w:bidi="fa-IR"/>
        </w:rPr>
        <w:t>کسی که از ایشان سؤال می‌کند، آیا نقل به معنا جایز است یا خیر؟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بتوانید مقصود و مراد ما را برسانید، نقل به معنا اشکالی ندارد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در این صورت امکان دارد در روایاتی که نقل به معنا شده‌اند اضطراب، تعقید و تکرار به وجود آید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حدیث را از حجّیت ساقط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کتاب الحج و بحث حدّ مطاف، مشهور به چند روایت تمسّک می‌کنند که در متن آن روایات، اضطراب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مختصر در متن روایت، اعتبار را نقض نمی‌کند؛ بلکه اگر اضطراب در حدّی باشد که اصلاً چیزی فهمیده نشود، یا میان صدر و ذیل تناقض وجود داشته باشد، آن‌گاه اعتبار روایت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روایت تحف العقول اضطرابی وجود ندارد؛ زیرا معنای اضطراب این است که مثلاً در آغاز حدیث بگوید واجب است، سپس بگوید رجحان دارد و بعد از آن بگوید مرجوح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به چنین اختلافی در مضامین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روایت، چنین اضطرابی دیده نمی‌شود؛ بلکه فقط ممکن است در این روایت غموض، تکرار و چه بسا تعقید در ضمیرها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این‌که این روایتِ طولانی و مفصّل، نقل به معنا شده، طبیعی است که راوی، گرفتار تکرار، غموض و تعقید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اشکال وارد نیست</w:t>
      </w:r>
      <w:r>
        <w:rPr>
          <w:rFonts w:eastAsia="IRNazanin" w:cs="IRNazanin"/>
          <w:color w:val="111111"/>
          <w:sz w:val="28"/>
          <w:szCs w:val="28"/>
          <w:rtl w:val="true"/>
          <w:lang w:bidi="fa-IR"/>
        </w:rPr>
        <w:t>.</w:t>
      </w:r>
    </w:p>
    <w:p>
      <w:pPr>
        <w:pStyle w:val="Heading6"/>
        <w:numPr>
          <w:ilvl w:val="5"/>
          <w:numId w:val="1"/>
        </w:numPr>
        <w:rPr/>
      </w:pPr>
      <w:bookmarkStart w:id="68" w:name="__RefHeading___Toc2530743_1468164448"/>
      <w:bookmarkStart w:id="69" w:name="_Toc27"/>
      <w:bookmarkEnd w:id="68"/>
      <w:r>
        <w:rPr/>
        <w:t>2</w:t>
      </w:r>
      <w:r>
        <w:rPr>
          <w:rtl w:val="true"/>
        </w:rPr>
        <w:t xml:space="preserve">- </w:t>
      </w:r>
      <w:r>
        <w:rPr>
          <w:rtl w:val="true"/>
        </w:rPr>
        <w:t>فتوا ندادن فقها به برخی از بخش‌های روایت</w:t>
      </w:r>
      <w:bookmarkEnd w:id="69"/>
    </w:p>
    <w:p>
      <w:pPr>
        <w:pStyle w:val="BookText"/>
        <w:rPr/>
      </w:pPr>
      <w:r>
        <w:rPr>
          <w:rFonts w:ascii="IRNazanin" w:hAnsi="IRNazanin" w:eastAsia="IRNazanin"/>
          <w:color w:val="111111"/>
          <w:sz w:val="28"/>
          <w:sz w:val="28"/>
          <w:szCs w:val="28"/>
          <w:rtl w:val="true"/>
          <w:lang w:bidi="fa-IR"/>
        </w:rPr>
        <w:t>اشکال دیگری که نسبت به متن روایت وارد کرده‌اند، این است که در روایت تحف العقول مواردی وجود دارد که هیچ یک از فقها به آن فتوا نداده‌اند و این موجب می‌شود که روایت از حجیّت ساقط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عبارت‌اند از</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تصرّف از قبیل بیع، انتفاع، نگهداری و مانند آن در پوست درندگان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آنچه فقها فتوا داده‌اند، این است که</w:t>
      </w:r>
    </w:p>
    <w:p>
      <w:pPr>
        <w:pStyle w:val="BookText"/>
        <w:rPr/>
      </w:pPr>
      <w:r>
        <w:rPr>
          <w:rFonts w:ascii="IRNazanin" w:hAnsi="IRNazanin" w:eastAsia="IRNazanin"/>
          <w:color w:val="111111"/>
          <w:sz w:val="28"/>
          <w:sz w:val="28"/>
          <w:szCs w:val="28"/>
          <w:rtl w:val="true"/>
          <w:lang w:bidi="fa-IR"/>
        </w:rPr>
        <w:t>خواندن نماز در پوست درندگان جایز نیست و حتّی 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پوست درندگان نماز نخوانید، امّا سایر انتفاعات اشکالی ندارد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انتفاع از مردار حتّی اگر پاک باشد، حرام شمرده شده است، در صورتی که فقها به این مطلب فتوا نداده‌اند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تصرّف و نگهداری از هر چیزی که گونه‌ای از فساد را داشته باشد، حرام دانسته شده است؛ یعنی اگر چیزی فساد محض نباشد، ولی در جهت فساد هم بتوان از آن استفاده کرد، تصرّف در آن حرام است، در حالی که هیچ فقیهی چنین فتوایی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استفاده می‌شود که فروختن شیء نجس، خواه برای استفادۀ محلّل و خواه جهت استفادۀ غیر محلّل، حرام است که فقها به این مطلب نیز فتوا نداده‌اند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روایت، نگاه داشتن نجس حرام است و حرمت تکلیفی دارد، در حالی که فقها چنین فتوایی نداده‌اند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تعابیر به حرمت، ظهور در حرمت تکلیفی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روایت آمده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حرام بیعه و شرائه و إمساکه و التقلّب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بویژه آن‌که وقتی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از فلان شیء حرام است، دیگر معنا ندارد حرمت وضعی مدّ 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روایت، حرمت نگهداری وسیله‌ای همچون صنم و صلیب، حرمت تکلیفی است، درحالی که فقها در بسیاری از این موارد، حرمت تکلیفی را نپذیرفته و تنها قائل به حرمت وضعی هستند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پاسخ به این اشکال، به بحث اصولی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 در 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در فقه وجود دارد که فقها به بخشی از آنها استدلال و از بخش دیگر اعراض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بخشی از یک کلام، مشمول حجّیت باشد و بخش دیگر، مشمول حجّیت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علما نیز این را پذیرفته‌اند و قائل به</w:t>
      </w:r>
      <w:bookmarkStart w:id="70" w:name="pg13785_134908"/>
    </w:p>
    <w:p>
      <w:pPr>
        <w:pStyle w:val="BookText"/>
        <w:rPr/>
      </w:pPr>
      <w:bookmarkEnd w:id="70"/>
      <w:r>
        <w:rPr>
          <w:rFonts w:ascii="IRNazanin" w:hAnsi="IRNazanin" w:eastAsia="IRNazanin"/>
          <w:color w:val="111111"/>
          <w:sz w:val="28"/>
          <w:sz w:val="28"/>
          <w:szCs w:val="28"/>
          <w:rtl w:val="true"/>
          <w:lang w:bidi="fa-IR"/>
        </w:rPr>
        <w:t>تبعیض در حجّیت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مفصّل نیز ضوابط بسیاری داریم و اگر چند مورد پیدا شود که فقها بر طبق آن فتوا نداده‌اند، تنها همین موارد از اعتبار ساقط می‌شوند و به حجّیت بخش‌های دیگر خدشه‌ای وارد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می‌رسد این اشکال نیز وارد نیست</w:t>
      </w:r>
      <w:r>
        <w:rPr>
          <w:rFonts w:eastAsia="IRNazanin" w:cs="IRNazanin"/>
          <w:color w:val="111111"/>
          <w:sz w:val="28"/>
          <w:szCs w:val="28"/>
          <w:rtl w:val="true"/>
          <w:lang w:bidi="fa-IR"/>
        </w:rPr>
        <w:t>.</w:t>
      </w:r>
    </w:p>
    <w:p>
      <w:pPr>
        <w:pStyle w:val="Heading6"/>
        <w:numPr>
          <w:ilvl w:val="5"/>
          <w:numId w:val="1"/>
        </w:numPr>
        <w:rPr/>
      </w:pPr>
      <w:bookmarkStart w:id="71" w:name="__RefHeading___Toc2530745_1468164448"/>
      <w:bookmarkStart w:id="72" w:name="_Toc28"/>
      <w:bookmarkEnd w:id="71"/>
      <w:r>
        <w:rPr/>
        <w:t>3</w:t>
      </w:r>
      <w:r>
        <w:rPr>
          <w:rtl w:val="true"/>
        </w:rPr>
        <w:t xml:space="preserve">- </w:t>
      </w:r>
      <w:r>
        <w:rPr>
          <w:rtl w:val="true"/>
        </w:rPr>
        <w:t>صحیح نبودن تقسیم موجود در روایت</w:t>
      </w:r>
      <w:bookmarkEnd w:id="72"/>
    </w:p>
    <w:p>
      <w:pPr>
        <w:pStyle w:val="BookText"/>
        <w:rPr/>
      </w:pPr>
      <w:r>
        <w:rPr>
          <w:rFonts w:ascii="IRNazanin" w:hAnsi="IRNazanin" w:eastAsia="IRNazanin"/>
          <w:color w:val="111111"/>
          <w:sz w:val="28"/>
          <w:sz w:val="28"/>
          <w:szCs w:val="28"/>
          <w:rtl w:val="true"/>
          <w:lang w:bidi="fa-IR"/>
        </w:rPr>
        <w:t>در روایت تحف العقول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 الْمَعَایِشِ کُلِّهَا مِنْ وُجُوهِ الْمُعَامَلَاتِ فِیمَا بَیْنَهُمْ مِمَّا یَکُونُ لَهُمْ فِیهِ الْمَکَاسِبُ أَرْبَعُ جِهَاتٍ وَیَکُونُ مِنْهَا حَلَالٌ مِنْ جِهَةٍ حَرَامٌ مِنْ جِهَةٍ؛ فَأَوَّلُ هَذِهِ الْجِهَاتِ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ثُمَّ التِّجَارَةُ ثُمَّ الصِّنَاعَاتُ تَکُونُ حَلَالاً مِنْ جِهَةٍ حَرَاماً مِنْ جِهَةٍ ثُمَّ الْإِجَارَات؛ آن دسته از امور زندگی مردم که جنبۀ معاملاتی و کسب دارند، به چهار دسته تقسیم می‌شوند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ولایات، تجارات، اجارات، و صناعات در هر قسم، هم جهت حلال وجود دارد و هم جهت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نکته هم اشاره کنیم که مراد از معاملات در این‌جا، معامله به معنای اعمّ آن است که در مقابل عبادات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ولایات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و کمک والی عادل و کار کردن و اجیر شدن برای او حلال است و اگر این کارها برای والی ظالم انجام شود،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تجارات، تکیۀ روایت بر این مطلب است که چه چیزی را می‌توان مورد معامله قرار داد و ملاک حرمت یا حلّیت معامله، مبیع و متعلّق معامله،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روایت آمده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وَکُلُّ شَیْ‌ءٍ یَکُونُ لَهُمْ فِیهِ الصَّلَاحُ مِنْ جِهَةٍ مِنَ الْجِهَاتِ فَهَذَا کُلُّهُ حَلَالٌ بَیْعُهُ وَشِرَاؤُهُ وَإِمْسَاکُهُ وَاسْتِعْمَالُهُ وَهِبَتُهُ وَعَارِیَتُه؛ خرید و فروش،</w:t>
      </w:r>
    </w:p>
    <w:p>
      <w:pPr>
        <w:pStyle w:val="BookText"/>
        <w:rPr/>
      </w:pPr>
      <w:r>
        <w:rPr>
          <w:rFonts w:ascii="IRNazanin" w:hAnsi="IRNazanin" w:eastAsia="IRNazanin"/>
          <w:color w:val="111111"/>
          <w:sz w:val="28"/>
          <w:sz w:val="28"/>
          <w:szCs w:val="28"/>
          <w:rtl w:val="true"/>
          <w:lang w:bidi="fa-IR"/>
        </w:rPr>
        <w:t>نگهداری، هبه و عاریۀ هر چیزی که در آن مصلحتی برای مردم وجود دارد،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وُجُوهُ الْحَرَامِ مِنَ الْبَیْعِ وَالشِّرَاءِ فَکُلُّ أَمْرٍ یَکُونُ فِیهِ الْفَسَادُ مِمَّا هُوَ مَنْهِیٌّ عَنْهُ مِنْ جِهَةِ أَکْلِهِ أَوْ شُرْبِهِ أَوْ کَسْبِهِ أَوْ نِکَاحِه؛ خرید و فروش هر چیزی که در آن فسادی وجود دارد و از جهت خوردن یا نوشیدن یا کسب یا نکاحش، مورد نهی قرار گرفته است، از همان جهت مورد نهی،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مَنْهِیٍّ عَنْهُ مِمَّا یُتَقَرَّبُ بِهِ لِغَیْرِ اللّهِ أَوْ یُقَوَّی بِهِ الْکُفْرُ وَالشِّرْک؛ و هر چیزی که مورد نهی قرار گرفته و موجب تقرّب به غیر خداوند یا تقویت کفر و شرک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پرسش‌هایی که امروزه مطرح است، خرید کالاهای ساخته شده توسّط قدرت‌های مستکبر دنیاست، مانند کالاهایی که توسّط شرکت‌های صهیونیستی تولید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هر چیزی که سبب تقویت کفر شود،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 دیگری از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یُوهَنُ بِهِ الْحَقُّ فَهُوَ حَرَامٌ مُحَرَّمٌ بَیْعُهُ وَشِرَاؤُه؛ خرید و فروش هر چیزی که موجب وهن حق می‌شود، حرام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اجارات نیز به بیان این نکته می‌پردازد که در چه مواردی انسان می‌تواند خودش، مالش، عبدش یا مملوکش را اجاره دهد و در کدام موارد، اجاره دادن،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صناعات نیز به بیان این مطلب پرداخته شده است که آموزش و آموختن کدام صنعت، حلال و کدام صنعت،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این است که می‌توان قسم ولایات و قسم صناعات را داخل در قسم اجارات کرد و جدا کردن آنها وجهی ندارد؛ زیرا در باب ولایات آمده است که اگر شخصی برای والی عادل کار کند و یا اجیر او شود، پولی که دریافت می‌کند، حلال است؛ ولی اگر اجیر والی ظالم شود،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گفت قسم ولایات داخل در قسم اجارات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صناعات نیز اگر مراد، ذات صنعت باشد، نمی‌توان آن را یکی از معایش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مَقْسَم در روایت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موضوع خارجی است که به خودی خود، تا کسی آن را انجام ندهد، فایده‌ای برای مردم ایجاد نمی‌کند؛ ولی اگر مقصود، شخصی باشد که دارای این صنعت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فنّ خیاطت را می‌داند و خودش را اجاره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نیز داخل در قسم اجارات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سوم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می‌توان ولایات و صناعات را در قسم اجارات داخل کرد، تقسیم در روایت، یک تقسیم صحیح نیست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مستشکل در ادامه به عنوان تکمیل اشکال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در این روایت، حصر حقیقی نیست، بلکه حصر اضافی است؛ زیرا اموری وجود دارد که اصلاً در روایت نیامده است، مانند احیای موات و حیازات که نه در قسم ولایات است، نه در قسم اجارات و نه در قسم صناعات و تجارات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حصر اضافی از مطالب مشهور و نادرستی است که در کتاب‌های ادبیات و بر سر زبان‌ها، شایع و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 همیشه باید حقیقی باشد و اساساً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متناقضین است؛ چرا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اضافی بودن از جهت معنا،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گفته شود امام معصوم علیه السلام در این‌جا در مقام حصر حقیقی نبوده‌اند،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اضافی، هیچ پایه و اساسی ندارد و در شأن معصوم علیه السلام نیست که چنین بیانی داشته باشند</w:t>
      </w:r>
      <w:r>
        <w:rPr>
          <w:rFonts w:eastAsia="IRNazanin" w:cs="IRNazanin"/>
          <w:color w:val="111111"/>
          <w:sz w:val="28"/>
          <w:szCs w:val="28"/>
          <w:rtl w:val="true"/>
          <w:lang w:bidi="fa-IR"/>
        </w:rPr>
        <w:t>.</w:t>
      </w:r>
      <w:bookmarkStart w:id="73" w:name="pg13785_134911"/>
    </w:p>
    <w:p>
      <w:pPr>
        <w:pStyle w:val="BookText"/>
        <w:rPr/>
      </w:pPr>
      <w:bookmarkEnd w:id="73"/>
      <w:r>
        <w:rPr>
          <w:rFonts w:ascii="IRNazanin" w:hAnsi="IRNazanin" w:eastAsia="IRNazanin"/>
          <w:color w:val="111111"/>
          <w:sz w:val="28"/>
          <w:sz w:val="28"/>
          <w:szCs w:val="28"/>
          <w:rtl w:val="true"/>
          <w:lang w:bidi="fa-IR"/>
        </w:rPr>
        <w:t>در پاسخ به این اشکال سوم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 تحف العقول را با دقّت مورد مطالعه قرار دهیم، دانسته می‌شود که آنچه در باب اجارات اهمّیت دارد، این است که انسان چه چیزی را می‌تواند اجاره دهد؛ یعنی بحث پیرامون مورد و متعلّق اجاره است؛ لیکن در بخش ولایات گاهی اصلاً اجاره تصوّر نمی‌شود، مانند این‌که شخصی تبرّعاً برای یک والی کار نموده و او را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 از مواردِ باب ولایات را نمی‌توان در قسم اجارات داخل کرد، هرچند در مواردی نیز ممکن است داخل در قسم اجارات فرض شود؛ ولی باید توجّه داشت که میان آنها تفاوت وجود دارد؛ زیرا بحث اجاره از جهت این است که چه چیزی می‌تواند متعلّق اجاره باشد؛ امّا بحث در باب ولایت دربارۀ این است که کدام والی را می‌توان تقویت و تأیید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صناعات نیز بحث تعلیم و تعلّم مطرح است و اگر بحث اجاره به میان آید و صنعت‌گری بخواهد خود را اجاره دهد، در این‌جا آنچه مدّ نظر است، تعلیم و تعلّم حرفه‌های گوناگون و حرمت یا حلّیت آموزش دادن یا فرا گرفتن آنهاست؛ پس قسم صناعات نیز با قسم اجارات فرق دارد و در نتیجه، این اشکال سوم هم صحیح نیست</w:t>
      </w:r>
      <w:r>
        <w:rPr>
          <w:rFonts w:eastAsia="IRNazanin" w:cs="IRNazanin"/>
          <w:color w:val="111111"/>
          <w:sz w:val="28"/>
          <w:szCs w:val="28"/>
          <w:rtl w:val="true"/>
          <w:lang w:bidi="fa-IR"/>
        </w:rPr>
        <w:t>.</w:t>
      </w:r>
    </w:p>
    <w:p>
      <w:pPr>
        <w:pStyle w:val="Heading6"/>
        <w:numPr>
          <w:ilvl w:val="5"/>
          <w:numId w:val="1"/>
        </w:numPr>
        <w:rPr/>
      </w:pPr>
      <w:bookmarkStart w:id="74" w:name="__RefHeading___Toc2530747_1468164448"/>
      <w:bookmarkStart w:id="75" w:name="_Toc29"/>
      <w:bookmarkEnd w:id="74"/>
      <w:r>
        <w:rPr/>
        <w:t>4</w:t>
      </w:r>
      <w:r>
        <w:rPr>
          <w:rtl w:val="true"/>
        </w:rPr>
        <w:t xml:space="preserve">- </w:t>
      </w:r>
      <w:r>
        <w:rPr>
          <w:rtl w:val="true"/>
        </w:rPr>
        <w:t>تعارض بین فقرات روایت</w:t>
      </w:r>
      <w:bookmarkEnd w:id="75"/>
    </w:p>
    <w:p>
      <w:pPr>
        <w:pStyle w:val="BookText"/>
        <w:rPr/>
      </w:pPr>
      <w:r>
        <w:rPr>
          <w:rFonts w:ascii="IRNazanin" w:hAnsi="IRNazanin" w:eastAsia="IRNazanin"/>
          <w:color w:val="111111"/>
          <w:sz w:val="28"/>
          <w:sz w:val="28"/>
          <w:szCs w:val="28"/>
          <w:rtl w:val="true"/>
          <w:lang w:bidi="fa-IR"/>
        </w:rPr>
        <w:t>اشکال چهارم را محقّق ایروانی قدس سره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فرازهای روایت در رابطه با ضابطۀ حلّیت و حرمت متعارض‌اند؛ زیرا ضابطۀ حلّیت این است که در شیء جهتی از جهات صلاح باشد؛ ولی در ضابطۀ حرمت می‌فرماید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شیء باید داری یکی از وجوه فساد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چیزی که هم جهت فساد را به صورت مطلق و یا به صورت شایع، داراست و هم جهت صلاح دارد، این دو بخش روایت با هم تزاحم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یا باید ضابطۀ حلّیت را مقدّم نموده و بر اساس آنچه از قسم صنایع استفاده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جهت صلاح در شیء ذو جهتین بر جهت فساد مقدّم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به حلّیت کرد و یا به‌خاطر تزاحم این دو بخش، روایت دچار</w:t>
      </w:r>
    </w:p>
    <w:p>
      <w:pPr>
        <w:pStyle w:val="BookText"/>
        <w:rPr/>
      </w:pPr>
      <w:r>
        <w:rPr>
          <w:rFonts w:ascii="IRNazanin" w:hAnsi="IRNazanin" w:eastAsia="IRNazanin"/>
          <w:color w:val="111111"/>
          <w:sz w:val="28"/>
          <w:sz w:val="28"/>
          <w:szCs w:val="28"/>
          <w:rtl w:val="true"/>
          <w:lang w:bidi="fa-IR"/>
        </w:rPr>
        <w:t>اجمال می‌شود و باید به عمومات ادلّۀ تجارت و اصل حلّیت، رجوع کنیم</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به عقیدۀ محقّق ایروانی قدس سره فقرات روایت تحف العقول در بیان ضابطۀ حلّیت و حرمت با هم تعارض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ملاک حلّیتِ خرید و فروش و استعمال یک شیء، وجود جهت صلاح در آن است و در مقابل، وجود وجهی از وجوه فساد در یک شیء به عنوان ضابطه و ملاک حرمت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این پرسش مطرح می‌شود که حکم آلات مشترک چیست؟ یعنی در اشیای ذو جهتین که هم ملاک حرمت را دارند و هم ملاک حلّیت را، کدام جهت ترجیح داده می‌شود؟</w:t>
      </w:r>
    </w:p>
    <w:p>
      <w:p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در آلات مشترک، با تزاحم رو به رو می‌شویم و برای حلّ این مشکل دو راه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با توجّه به ذیل روایت در بحث صناعات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چیزی وجه صلاح وجود داشته باشد، همین وجه مقدّم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جانب حلّیت را ترجیح دهیم و یا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این موارد، مجمل است و در مورد شیء ذوجهتین، دلالتی ندارد و به خاطر همین باید به عمومات رجوع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 آلات مشترک که هم می‌توان در جهت صلاح از آن بهره گرفت و هم در جهت فساد، تعارض پیش می‌آید و با وجود این تعارض، نمی‌توان به متن روایت اطمینان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وثوق صدوری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بیان شده توسّط محقّق ایروانی قدس سره صحیح نیست؛ زیرا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مقام بیان ملاک حرمت، به این نکته نیز اشاره کرده است که اگر چیزی برای فساد محض استفاده شود و در غیر فساد استفاده‌ای نداشته باشد،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یَکُونُ مِنْهُ وَفِیهِ الْفَسَادُ مَحْضاً وَلَا یَکُونُ مِنْهُ وَلَا فِیهِ شَیْ‌ءٌ مِنْ وُجُوهِ الصَّلَاحِ فَحَرَام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مثال، خرید و فروش و هرگونه تصرّف در صنم، صلیب و مانند اینها،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قسمت از روایت این است که هرچه در فساد محض استفاده نشود، حتّی اگر وجهی از فساد در آن 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استفاده از مفهوم این قسمت از روایت به عنوان قرینه، می‌توانیم تعارض را بر طرف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مفهوم این بخش از روایت نیز قرینۀ خوبی برای ترجیح جانب حلّیت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روایت و در قسمت صناعات، به این نکته تصریح شده است که در آلات مشترک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برای جهت صلاح به کار می‌روند و هم جهت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شخصی به جهت صلاح توّجه داشته باشد و اقدام به یادگیری یا خرید و فروش آن کند، اشکالی ندارد و اگر بخواهد آن را در راه فساد صرف کند،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مهمّی که از این بخش از روایت استفاده می‌شود، آن است که لازم نیست این جهت صلاح، جهت غالب باشد؛ بلکه اگر نادر هم باشد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لازم نیست جهت حلال و صلاح، جهت غالب باشد؛ بلکه اگر یک شیء، ده درصد در حلال و نود درصد در حرام استفاده شود، جایز است که به قصد صلاح به کار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متن روایت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السِّکِّینُ وَالسَّیْفُ وَالرُّمْحُ وَالْقَوْسُ وَغَیْرُ ذَلِکَ مِنْ وُجُوهِ الْآلَةِ الَّتِی تُصْرَفُ إِلَی جِهَاتِ الصَّلَاحِ وَجِهَاتِ الْفَسَادِ وَتَکُونُ آلَةً وَمَعُونَةً عَلَیْهِمَا فَلَا بَأْسَ بِتَعْلِیمِهِ وَتَعَلُّمِهِ وَأَخْذِ الْأَجْرِ عَلَیْهِ وَالْعَمَلِ بِهِ وَفِیهِ لِمَنْ کَانَ لَهُ فِیهِ جِهَاتُ الصَّلَاحِ مِنْ جَمِیعِ الْخَلَائِقِ وَمُحَرَّمٌ عَلَیْهِمْ فِیهِ تَصْرِیفُهُ إِلَی جِهَاتِ الْفَسَاد؛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آموختن و فراگرفتن و دریافت دستمزد در مقابل چاقو، شمشیر، تیر و کمان و چیزهای دیگری که هم جهت صلاح در آنها وجود دارد و هم جهت فساد، و هم ابزار فساد هستند و هم ابزار صلاح، اشکالی ندارد و هر کسی که می‌خواهد از</w:t>
      </w:r>
      <w:bookmarkStart w:id="76" w:name="pg13785_134914"/>
    </w:p>
    <w:p>
      <w:pPr>
        <w:pStyle w:val="BookText"/>
        <w:rPr/>
      </w:pPr>
      <w:bookmarkEnd w:id="76"/>
      <w:r>
        <w:rPr>
          <w:rFonts w:ascii="IRNazanin" w:hAnsi="IRNazanin" w:eastAsia="IRNazanin"/>
          <w:color w:val="111111"/>
          <w:sz w:val="28"/>
          <w:sz w:val="28"/>
          <w:szCs w:val="28"/>
          <w:rtl w:val="true"/>
          <w:lang w:bidi="fa-IR"/>
        </w:rPr>
        <w:t>آنها در جهت صلاح استفاده کند، می‌تواند این کار را انجام دهد؛ ولی استفاده از آنها در جهت فساد،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با توجّه به این دو مطلب که از خود روایت برداشت می‌شود،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محقّق ایروانی قدس سره وارد نیست و تعارضی در روایت وجود ندارد</w:t>
      </w:r>
      <w:r>
        <w:rPr>
          <w:rFonts w:eastAsia="IRNazanin" w:cs="IRNazanin"/>
          <w:color w:val="111111"/>
          <w:sz w:val="28"/>
          <w:szCs w:val="28"/>
          <w:rtl w:val="true"/>
          <w:lang w:bidi="fa-IR"/>
        </w:rPr>
        <w:t>.</w:t>
      </w:r>
    </w:p>
    <w:p>
      <w:pPr>
        <w:pStyle w:val="Heading6"/>
        <w:numPr>
          <w:ilvl w:val="5"/>
          <w:numId w:val="1"/>
        </w:numPr>
        <w:rPr/>
      </w:pPr>
      <w:bookmarkStart w:id="77" w:name="__RefHeading___Toc2530749_1468164448"/>
      <w:bookmarkStart w:id="78" w:name="_Toc30"/>
      <w:bookmarkEnd w:id="77"/>
      <w:r>
        <w:rPr/>
        <w:t>5</w:t>
      </w:r>
      <w:r>
        <w:rPr>
          <w:rtl w:val="true"/>
        </w:rPr>
        <w:t xml:space="preserve">- </w:t>
      </w:r>
      <w:r>
        <w:rPr>
          <w:rtl w:val="true"/>
        </w:rPr>
        <w:t xml:space="preserve">روایت تنها بر </w:t>
      </w:r>
      <w:r>
        <w:rPr>
          <w:rtl w:val="true"/>
        </w:rPr>
        <w:t>«</w:t>
      </w:r>
      <w:r>
        <w:rPr>
          <w:rtl w:val="true"/>
        </w:rPr>
        <w:t>حرمت اعانۀ بر اثم</w:t>
      </w:r>
      <w:r>
        <w:rPr>
          <w:rtl w:val="true"/>
        </w:rPr>
        <w:t xml:space="preserve">» </w:t>
      </w:r>
      <w:r>
        <w:rPr>
          <w:rtl w:val="true"/>
        </w:rPr>
        <w:t>دلالت دارد</w:t>
      </w:r>
      <w:bookmarkEnd w:id="78"/>
    </w:p>
    <w:p>
      <w:pPr>
        <w:pStyle w:val="BookText"/>
        <w:rPr/>
      </w:pPr>
      <w:r>
        <w:rPr>
          <w:rFonts w:ascii="IRNazanin" w:hAnsi="IRNazanin" w:eastAsia="IRNazanin"/>
          <w:color w:val="111111"/>
          <w:sz w:val="28"/>
          <w:sz w:val="28"/>
          <w:szCs w:val="28"/>
          <w:rtl w:val="true"/>
          <w:lang w:bidi="fa-IR"/>
        </w:rPr>
        <w:t xml:space="preserve">پنجمین اشکال که محقّق ایروانی قدس سره مطرح کرده، این است که اگر سند و دلالت این حدیث را بپذیریم، لیکن از این روایت طولانی تنها یک مطلب برداشت می‌شود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إعانۀ بر 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هیچ جای این روایت، چیزی بیش از این مطلب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مفاد و مدلول روایت این است که فقط آن بخش از ولایات، اجارات، صناعات و تجارات که موجب اعانت بر اثم و گناه است، حرام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در نقد این کلام محقّق ایروانی قدس سره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روایت، چندین مورد نقض بر ادّعای ایشان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آموختن نجّاری، خیاطی، بنّایی و مانند آن، چه ارتباطی با اعانت بر اثم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یزدی قدس سره به دوازده قاعدۀ فقهی مهم اشاره می‌کند که می‌توان از این روایت، استفاده کرد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الدخول فی أعمال السلطان الجائر و حرمة التکسّب بهذه الجهة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اساس این قاعده، داخل شدن در کارهای سلطان جائر و کسب در آمد از این جهت،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نام خود را در دفتر سلطان جائر ثبت نماید، امّا برای او کار نکند و حتّی نام او موجب تقویت و کمک به سلطان نباشد نیز بر طبق این روایت، مرتکب حرام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الإعانة علی الإثم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اعانت بر اثم، حرام است</w:t>
      </w:r>
      <w:r>
        <w:rPr>
          <w:rFonts w:eastAsia="IRNazanin" w:cs="IRNazanin"/>
          <w:color w:val="111111"/>
          <w:sz w:val="28"/>
          <w:szCs w:val="28"/>
          <w:rtl w:val="true"/>
          <w:lang w:bidi="fa-IR"/>
        </w:rPr>
        <w:t>.</w:t>
      </w:r>
      <w:bookmarkStart w:id="79" w:name="pg13785_134915"/>
    </w:p>
    <w:p>
      <w:pPr>
        <w:pStyle w:val="BookText"/>
        <w:rPr/>
      </w:pPr>
      <w:bookmarkEnd w:id="79"/>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التجارة بکلّ ما فیه منفعة محلّلة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تجارت با هرچه منفعت محلّل دارد،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التجارة بما فیه مفسدة من هذه الجهة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تجارت با چیزی که مفسده دارد در جهت فسادش،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بیع الأعیان النجسة بل المتنجّسة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بیع اعیان نجس و اعیان متنجّس،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عمل یقوی به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حرمت عملی که موجب تقویت کفر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کلّ عمل یوهن به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حرمت هر عملی که حق با آن سست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الإجارة بالنسبة إلی کلّ منفعة محلّلة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اجاره نسبت به هر منفعت حلالی،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الإجارة فی کلّ ما یکون محرّماً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اجارۀ هر شیء محرّم،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الصناعات التی لا یترتّب علیه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حلال بودن صناعتی که مترتّب فساد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ما یکون محضاً للفساد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فساد محض است،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الصناعة المشتمله علی الجهتین بالقصد الجهة المحلّلة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صناعت‌هایی که دارای دو جهت حلال و حرام هستند، به قصد وجه حلال،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می‌کنید که از این دوازده قاعده، تنها سه یا چهار مورد به اعانت بر اثم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محقّق ایروانی قدس سره صحیح نیست</w:t>
      </w:r>
      <w:r>
        <w:rPr>
          <w:rFonts w:eastAsia="IRNazanin" w:cs="IRNazanin"/>
          <w:color w:val="111111"/>
          <w:sz w:val="28"/>
          <w:szCs w:val="28"/>
          <w:rtl w:val="true"/>
          <w:lang w:bidi="fa-IR"/>
        </w:rPr>
        <w:t>.</w:t>
      </w:r>
    </w:p>
    <w:p>
      <w:pPr>
        <w:pStyle w:val="Heading6"/>
        <w:numPr>
          <w:ilvl w:val="5"/>
          <w:numId w:val="1"/>
        </w:numPr>
        <w:rPr/>
      </w:pPr>
      <w:bookmarkStart w:id="80" w:name="__RefHeading___Toc2530751_1468164448"/>
      <w:bookmarkStart w:id="81" w:name="_Toc31"/>
      <w:bookmarkEnd w:id="80"/>
      <w:r>
        <w:rPr>
          <w:rtl w:val="true"/>
        </w:rPr>
        <w:t>ب</w:t>
      </w:r>
      <w:r>
        <w:rPr>
          <w:rtl w:val="true"/>
        </w:rPr>
        <w:t xml:space="preserve">) </w:t>
      </w:r>
      <w:r>
        <w:rPr>
          <w:rtl w:val="true"/>
        </w:rPr>
        <w:t>دیدگاه برگزیده</w:t>
      </w:r>
      <w:bookmarkEnd w:id="8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بیان شد، برای تصحیح سند روایت تحف العقول، نمی‌توان به شهرت تمسّک کرد؛ زیرا شهرت فتوایی در میان قدما محقّق نیست، یعنی نمی‌توان گفت قدما به این روایت عمل کرده و مطابق آن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تنها راه حجّیت بخشیدن به روایت تحف العقول، بحث موثوق الصدور بودن آن است؛ یعنی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مضامین</w:t>
      </w:r>
    </w:p>
    <w:p>
      <w:pPr>
        <w:pStyle w:val="BookText"/>
        <w:rPr/>
      </w:pPr>
      <w:r>
        <w:rPr>
          <w:rFonts w:ascii="IRNazanin" w:hAnsi="IRNazanin" w:eastAsia="IRNazanin"/>
          <w:color w:val="111111"/>
          <w:sz w:val="28"/>
          <w:sz w:val="28"/>
          <w:szCs w:val="28"/>
          <w:rtl w:val="true"/>
          <w:lang w:bidi="fa-IR"/>
        </w:rPr>
        <w:t>این روایت به گونه‌ای است که از غیر معصوم علیه السلام صادر نمی‌شود و روایت، در بر دارندۀ ضوابط و قواعدی است که با توجّه به آنها، می‌توان به صدور روایت از امام معصوم علیه السلام اطمینان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اشکالات وارد شده بر متن روایت را مورد مطالعه قرار دادیم؛ از جمله اشکال اضطراب در متن روایت، فتوا ندادن فقیهان به برخی از فقرات روایت، محصّل نبودن تفسیم، تعارض و اشکال اخیر که به نظر ما هیچ یک از اشکالات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کرد که این روایت مانند شمار زیادی از روایات، نقل به معنا شده است و از این رو، ممکن است دارای تکرار باشد؛ امّا تکرار موجب از بین رفتن حجّیت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این نکته نیز ضروری است که نقل به معنا این نیست که راوی کلّی را جزئی کند یا برعکس؛ بلکه ممکن است لفظی را که تقدّم و تأخّر آن خللی در معنا ایجاد نمی‌کند، مقدّم یا مؤخّر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اگر امام علیه السلام ابتدا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کرده و سپس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گفته باشد، اشکالی ندارد که راوی ابتدا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بیان شد، مضمون روایت به شکلی است که جز از معصوم علیه السلام صادر نمی‌شود و بیان چنین ضوابط دقیقی، کار یک انسان معمولی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برای یک فقیه که سال‌ها عمر خود را صرف تحصیل علم و فقاهت کرده نیز مشکل است با قطع نظر از ضوابط و قواعد موجود، یک ضابطه ارائه دهد، در حالی که از این روایت دوازده قاعدۀ فقهی به دست می‌آید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توجّه به مطالب بیان شده، این روایت برای ما قابل اعتماد است و می‌توانیم به عنوان مستند فقهی به آن استدلال کنیم، همان گونه که فقهای بزرگی همچون محقّق نراقی،</w:t>
      </w:r>
      <w:r>
        <w:rPr>
          <w:rStyle w:val="FootnoteAnchor"/>
          <w:rtl w:val="true"/>
        </w:rPr>
        <w:footnoteReference w:id="65"/>
      </w:r>
      <w:r>
        <w:rPr>
          <w:rFonts w:ascii="IRNazanin" w:hAnsi="IRNazanin" w:eastAsia="IRNazanin"/>
          <w:color w:val="111111"/>
          <w:sz w:val="28"/>
          <w:sz w:val="28"/>
          <w:szCs w:val="28"/>
          <w:rtl w:val="true"/>
          <w:lang w:bidi="fa-IR"/>
        </w:rPr>
        <w:t>صاحب جواهر،</w:t>
      </w:r>
      <w:r>
        <w:rPr>
          <w:rStyle w:val="FootnoteAnchor"/>
          <w:rtl w:val="true"/>
        </w:rPr>
        <w:footnoteReference w:id="66"/>
      </w:r>
      <w:r>
        <w:rPr>
          <w:rFonts w:ascii="IRNazanin" w:hAnsi="IRNazanin" w:eastAsia="IRNazanin"/>
          <w:color w:val="111111"/>
          <w:sz w:val="28"/>
          <w:sz w:val="28"/>
          <w:szCs w:val="28"/>
          <w:rtl w:val="true"/>
          <w:lang w:bidi="fa-IR"/>
        </w:rPr>
        <w:t>شیخ انصاری،</w:t>
      </w:r>
      <w:r>
        <w:rPr>
          <w:rStyle w:val="FootnoteAnchor"/>
          <w:rtl w:val="true"/>
        </w:rPr>
        <w:footnoteReference w:id="67"/>
      </w:r>
      <w:r>
        <w:rPr>
          <w:rFonts w:ascii="IRNazanin" w:hAnsi="IRNazanin" w:eastAsia="IRNazanin"/>
          <w:color w:val="111111"/>
          <w:sz w:val="28"/>
          <w:sz w:val="28"/>
          <w:szCs w:val="28"/>
          <w:rtl w:val="true"/>
          <w:lang w:bidi="fa-IR"/>
        </w:rPr>
        <w:t>محقّق نائینی</w:t>
      </w:r>
      <w:r>
        <w:rPr>
          <w:rStyle w:val="FootnoteAnchor"/>
          <w:rtl w:val="true"/>
        </w:rPr>
        <w:footnoteReference w:id="68"/>
      </w:r>
      <w:r>
        <w:rPr>
          <w:rFonts w:ascii="IRNazanin" w:hAnsi="IRNazanin" w:eastAsia="IRNazanin"/>
          <w:color w:val="111111"/>
          <w:sz w:val="28"/>
          <w:sz w:val="28"/>
          <w:szCs w:val="28"/>
          <w:rtl w:val="true"/>
          <w:lang w:bidi="fa-IR"/>
        </w:rPr>
        <w:t>و سیّد یزدی قدس سرهم</w:t>
      </w:r>
      <w:r>
        <w:rPr>
          <w:rStyle w:val="FootnoteAnchor"/>
          <w:rtl w:val="true"/>
        </w:rPr>
        <w:footnoteReference w:id="69"/>
      </w:r>
      <w:r>
        <w:rPr>
          <w:rFonts w:ascii="IRNazanin" w:hAnsi="IRNazanin" w:eastAsia="IRNazanin"/>
          <w:color w:val="111111"/>
          <w:sz w:val="28"/>
          <w:sz w:val="28"/>
          <w:szCs w:val="28"/>
          <w:rtl w:val="true"/>
          <w:lang w:bidi="fa-IR"/>
        </w:rPr>
        <w:t>به این روایت استدلال کرده‌اند</w:t>
      </w:r>
      <w:r>
        <w:rPr>
          <w:rFonts w:eastAsia="IRNazanin" w:cs="IRNazanin"/>
          <w:color w:val="111111"/>
          <w:sz w:val="28"/>
          <w:szCs w:val="28"/>
          <w:rtl w:val="true"/>
          <w:lang w:bidi="fa-IR"/>
        </w:rPr>
        <w:t>.</w:t>
      </w:r>
      <w:bookmarkStart w:id="82" w:name="pg13785_134917"/>
    </w:p>
    <w:p>
      <w:pPr>
        <w:pStyle w:val="Heading5"/>
        <w:numPr>
          <w:ilvl w:val="4"/>
          <w:numId w:val="1"/>
        </w:numPr>
        <w:rPr/>
      </w:pPr>
      <w:bookmarkStart w:id="83" w:name="__RefHeading___Toc2530753_1468164448"/>
      <w:bookmarkStart w:id="84" w:name="_Toc32"/>
      <w:bookmarkEnd w:id="82"/>
      <w:bookmarkEnd w:id="83"/>
      <w:r>
        <w:rPr>
          <w:rtl w:val="true"/>
        </w:rPr>
        <w:t>بند چهارم</w:t>
      </w:r>
      <w:r>
        <w:rPr>
          <w:rtl w:val="true"/>
        </w:rPr>
        <w:t xml:space="preserve">: </w:t>
      </w:r>
      <w:r>
        <w:rPr>
          <w:rtl w:val="true"/>
        </w:rPr>
        <w:t>نوع حکم شرعی مستفاد از روایت تحف العقول</w:t>
      </w:r>
      <w:bookmarkEnd w:id="84"/>
    </w:p>
    <w:p>
      <w:pPr>
        <w:pStyle w:val="Heading6"/>
        <w:numPr>
          <w:ilvl w:val="5"/>
          <w:numId w:val="1"/>
        </w:numPr>
        <w:rPr/>
      </w:pPr>
      <w:bookmarkStart w:id="85" w:name="__RefHeading___Toc2530755_1468164448"/>
      <w:bookmarkStart w:id="86" w:name="_Toc33"/>
      <w:bookmarkEnd w:id="85"/>
      <w:r>
        <w:rPr>
          <w:rtl w:val="true"/>
        </w:rPr>
        <w:t>اشارة</w:t>
      </w:r>
      <w:bookmarkEnd w:id="86"/>
    </w:p>
    <w:p>
      <w:pPr>
        <w:pStyle w:val="BookText"/>
        <w:rPr/>
      </w:pPr>
      <w:r>
        <w:rPr>
          <w:rFonts w:ascii="IRNazanin" w:hAnsi="IRNazanin" w:eastAsia="IRNazanin"/>
          <w:color w:val="111111"/>
          <w:sz w:val="28"/>
          <w:sz w:val="28"/>
          <w:szCs w:val="28"/>
          <w:rtl w:val="true"/>
          <w:lang w:bidi="fa-IR"/>
        </w:rPr>
        <w:t>شیخ انصاری قدس سره این روایت را به عنوان ضابطه‌ای برای معاملات آورده است؛ لیکن در این‌جا این پرسش مطرح می‌شود که ایشان قصد دارد چه نوع حکمی را از روایت برداشت کند؟ آیا تنها حکم تکلیفی را استفاده می‌کند و حکم وضعی را کنار می‌گذارد؟ یعنی از این روایت استفاده می‌کند که کدام معامله، تکلیفاً حلال و کدام معامله، تکلیفاً حرام است و دیگر کاری ندارد که معامله به حکم وضعی صحیح است یا فاسد؟</w:t>
      </w:r>
    </w:p>
    <w:p>
      <w:pPr>
        <w:pStyle w:val="BookText"/>
        <w:rPr/>
      </w:pPr>
      <w:r>
        <w:rPr>
          <w:rFonts w:ascii="IRNazanin" w:hAnsi="IRNazanin" w:eastAsia="IRNazanin"/>
          <w:color w:val="111111"/>
          <w:sz w:val="28"/>
          <w:sz w:val="28"/>
          <w:szCs w:val="28"/>
          <w:rtl w:val="true"/>
          <w:lang w:bidi="fa-IR"/>
        </w:rPr>
        <w:t>برخی مقصود اصلی شیخ انصاری قدس سره را بیان معاملات صحیح و فاسد دانسته‌اند و سپس در مقام اشکال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ظهور در حکم تکلیفی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محقّق ایروانی قدس سره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فحلال بیعه و شرائه واِمساکه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حلّیت تکلیفی است و مدّعای شیخ انصاری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حلّیت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نمی‌کند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ما در این‌جا به بیان راهکارهایی می‌پردازیم که برای اثبات استفادۀ حکم وضعی و تکلیفی از این روایت، ارائه شده است</w:t>
      </w:r>
      <w:r>
        <w:rPr>
          <w:rFonts w:eastAsia="IRNazanin" w:cs="IRNazanin"/>
          <w:color w:val="111111"/>
          <w:sz w:val="28"/>
          <w:szCs w:val="28"/>
          <w:rtl w:val="true"/>
          <w:lang w:bidi="fa-IR"/>
        </w:rPr>
        <w:t>:</w:t>
      </w:r>
    </w:p>
    <w:p>
      <w:pPr>
        <w:pStyle w:val="Heading6"/>
        <w:numPr>
          <w:ilvl w:val="5"/>
          <w:numId w:val="1"/>
        </w:numPr>
        <w:rPr/>
      </w:pPr>
      <w:bookmarkStart w:id="87" w:name="__RefHeading___Toc2530757_1468164448"/>
      <w:bookmarkStart w:id="88" w:name="_Toc34"/>
      <w:bookmarkEnd w:id="87"/>
      <w:r>
        <w:rPr>
          <w:rtl w:val="true"/>
        </w:rPr>
        <w:t>الف</w:t>
      </w:r>
      <w:r>
        <w:rPr>
          <w:rtl w:val="true"/>
        </w:rPr>
        <w:t xml:space="preserve">) </w:t>
      </w:r>
      <w:r>
        <w:rPr>
          <w:rtl w:val="true"/>
        </w:rPr>
        <w:t>راهکارهای سیّد یزدی</w:t>
      </w:r>
      <w:bookmarkEnd w:id="88"/>
    </w:p>
    <w:p>
      <w:pPr>
        <w:pStyle w:val="BookText"/>
        <w:rPr/>
      </w:pPr>
      <w:r>
        <w:rPr>
          <w:rFonts w:ascii="IRNazanin" w:hAnsi="IRNazanin" w:eastAsia="IRNazanin"/>
          <w:color w:val="111111"/>
          <w:sz w:val="28"/>
          <w:sz w:val="28"/>
          <w:szCs w:val="28"/>
          <w:rtl w:val="true"/>
          <w:lang w:bidi="fa-IR"/>
        </w:rPr>
        <w:t>سیّد یزدی قدس سره معتقد است علاوه بر حکم تکلیفی، حکم وضعی نیز از روایت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چهار دلیل برای اثبات مدّعای خود ذکر کرده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علیه السلام در ابتدای روایت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الْمَعَایِشِ کُلِّهَا مِنْ وُجُوهِ الْمُعَامَلاتِ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غرض اصلی‌شان این است که به مخاطب بگویند از چه راهی مال حلال به دست می‌آید و چه راهی انسان را به مال حرام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از این روایت حرمت و حلّیت وضعی هم برداشت می‌شود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نقد کلام ایشان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برخی از موارد، غرض امام علیه السلام روشن باشد، لیکن نمی‌توانیم این غرض و غایت را مستند فقهی قرار دهیم؛ چرا که غرض از</w:t>
      </w:r>
    </w:p>
    <w:p>
      <w:pPr>
        <w:pStyle w:val="BookText"/>
        <w:rPr/>
      </w:pPr>
      <w:r>
        <w:rPr>
          <w:rFonts w:ascii="IRNazanin" w:hAnsi="IRNazanin" w:eastAsia="IRNazanin"/>
          <w:color w:val="111111"/>
          <w:sz w:val="28"/>
          <w:sz w:val="28"/>
          <w:szCs w:val="28"/>
          <w:rtl w:val="true"/>
          <w:lang w:bidi="fa-IR"/>
        </w:rPr>
        <w:t>این جهت که ظهور روشنی ندارد، نمی‌تواند ابعاد مسئله را به عنوان یک دلیل برای فقیه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موارد، نیازمند دلیل هستیم و دلیل نیز باید تابع الفاظ موجود در روایت باشد و صرفاً با وجود غرض، نمی‌توان ثابت کرد که مراد از حلّیت در روایت، حلّیت وضعی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 الْعَمَلُ مَعَهُمْ وَمَعُونَتُهُمْ وَالْکَسْبُ مَعَهُ؛ عمل برای والی جائر و کمک کردن به او و کسب با او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سیّد یزدی قدس سره در مورد این بخش از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معنای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الکسب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اوّل این است که آن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الإکتسابُ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 یعنی اکتساب کردن و کار کردن برای والی ظالم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معنا مراد باشد، روایت تنها بر حکم تکلیفی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این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الکسبُ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المالُ المکتسبُ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معنا، مالی که برای والی ظالم کسب می‌شود، حرام است و این مال قابل تصرّف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ظهور در فساد دارد و اگر این معنا مراد باشد، حکم وضعی نیز از روایت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نظر می‌رسد که این سخن سیّد یزدی قدس سره نیز خالی از اشکال نیست؛ چون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الکسب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است و دو احتمال در مورد معنای آن وجود دارد و سیّد یزدی قدس سره خود نیز به این مطلب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معنای دوم در روایت، تصریح شده بود و امام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المال المکتسب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برای اثبات حکم وضعی و فساد چنین معامله‌ای باید این قاعدۀ اصولی که نهی در معاملات ظهور در فساد دارد را کنار آن قرار دهیم؛ چون بدون انضمام این قاعده نمی‌توان حکم وضعی را ثابت کرد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فحلالٌ بیعه وحلالٌ کسبه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می‌شود که روایت تحف العقول، دلالت بر حکم وضعی دلالت دارد</w:t>
      </w:r>
      <w:r>
        <w:rPr>
          <w:rFonts w:eastAsia="IRNazanin" w:cs="IRNazanin"/>
          <w:color w:val="111111"/>
          <w:sz w:val="28"/>
          <w:szCs w:val="28"/>
          <w:rtl w:val="true"/>
          <w:lang w:bidi="fa-IR"/>
        </w:rPr>
        <w:t>.</w:t>
      </w:r>
      <w:bookmarkStart w:id="89" w:name="pg13785_134919"/>
    </w:p>
    <w:p>
      <w:pPr>
        <w:pStyle w:val="BookText"/>
        <w:rPr/>
      </w:pPr>
      <w:bookmarkEnd w:id="89"/>
      <w:r>
        <w:rPr>
          <w:rFonts w:ascii="IRNazanin" w:hAnsi="IRNazanin" w:eastAsia="IRNazanin"/>
          <w:color w:val="111111"/>
          <w:sz w:val="28"/>
          <w:sz w:val="28"/>
          <w:szCs w:val="28"/>
          <w:rtl w:val="true"/>
          <w:lang w:bidi="fa-IR"/>
        </w:rPr>
        <w:t>به نظر می‌رسد که این دلیل، وجهی مستقل نیست و به دلیل دوم بر می‌گردد، اگر چه سیّد فرموده است که این وجه سوم از وجه دوم، اظهر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یزدی قدس سره به عنوان آخرین دلیل، به این بخش از روایت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التقلّب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کرده و اظهار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در روایت حکم وضعی را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کرد که از بخش‌های دیگر روایت،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فحلالٌ بیعه وحلالٌ کسبه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نمی‌توان حکم وضعی را استفاده نمود، چنان‌که شیخ انصاری قدس سره در کتاب المکاسب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حکم تکلیفی دلالت دارد؛ ولی با ملازمه، حکم وضعی را ثابت می‌کنیم</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xml:space="preserve">البتّه باید در اصول بحث شود که آیا این ملازمه ثابت است یا خیر؟ امّا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فحرامٌ جمیع التقلّب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معناست که معامله حرام است و هر گونه تصرّف در پولی که از این راه به دست می‌آید نیز حرام است؛ یعنی نگهداری، هبه و یا خرج کردن این پول،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معامله فاسد می‌شود و حکم وضعی نیز به دست می‌آید؛ چراکه اگر معامله فاسد نبود، مصرف پول به دست آمده در راه دیگر، اشکالی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استدلال،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تحف العقول، مقصود امام علیه السلام، هم بیان حکم تکلیفی است و هم بیان حکم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چهارم، محکم و متین است</w:t>
      </w:r>
      <w:r>
        <w:rPr>
          <w:rFonts w:eastAsia="IRNazanin" w:cs="IRNazanin"/>
          <w:color w:val="111111"/>
          <w:sz w:val="28"/>
          <w:szCs w:val="28"/>
          <w:rtl w:val="true"/>
          <w:lang w:bidi="fa-IR"/>
        </w:rPr>
        <w:t>.</w:t>
      </w:r>
    </w:p>
    <w:p>
      <w:pPr>
        <w:pStyle w:val="Heading6"/>
        <w:numPr>
          <w:ilvl w:val="5"/>
          <w:numId w:val="1"/>
        </w:numPr>
        <w:rPr/>
      </w:pPr>
      <w:bookmarkStart w:id="90" w:name="__RefHeading___Toc2530759_1468164448"/>
      <w:bookmarkStart w:id="91" w:name="_Toc35"/>
      <w:bookmarkEnd w:id="90"/>
      <w:r>
        <w:rPr>
          <w:rtl w:val="true"/>
        </w:rPr>
        <w:t>ب</w:t>
      </w:r>
      <w:r>
        <w:rPr>
          <w:rtl w:val="true"/>
        </w:rPr>
        <w:t xml:space="preserve">) </w:t>
      </w:r>
      <w:r>
        <w:rPr>
          <w:rtl w:val="true"/>
        </w:rPr>
        <w:t>عمومیت حلال و حرام نسبت به حکم تکلیفی و وضعی</w:t>
      </w:r>
      <w:bookmarkEnd w:id="91"/>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معانی عامّی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أطلقه الشارع بحسب ما یترقّب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ممکن است حلال تکلیفی باشد یا وضعی، و حرام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منعه الشارع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حرمت تکلیفی و وضعی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برای اثبات نظرشان می‌گویند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صدر اسلام و در آیات شریفۀ قرآن، تفکیکی میان حرمت تکلیفی و حرمت وضعی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آیۀ شریفۀ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 وَ حَرَّمَ الرِّبا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حکم</w:t>
      </w:r>
      <w:bookmarkStart w:id="92" w:name="pg13785_134920"/>
    </w:p>
    <w:p>
      <w:pPr>
        <w:pStyle w:val="BookText"/>
        <w:rPr/>
      </w:pPr>
      <w:bookmarkEnd w:id="92"/>
      <w:r>
        <w:rPr>
          <w:rFonts w:ascii="IRNazanin" w:hAnsi="IRNazanin" w:eastAsia="IRNazanin"/>
          <w:color w:val="111111"/>
          <w:sz w:val="28"/>
          <w:sz w:val="28"/>
          <w:szCs w:val="28"/>
          <w:rtl w:val="true"/>
          <w:lang w:bidi="fa-IR"/>
        </w:rPr>
        <w:t>تکلیفی و وضعی دارد و از روایت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هُوَ لک حَلالٌ حَتّی تَعلمَ أَنَّه حَرامٌ بِعَینِهِ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اصالة الحلیة به دست می‌آید که حلّیت وضعی را نیز شامل می‌شود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این بیان، در صورتی درست است که میان حکم تکلیفی و وضعی، قدر جامعی وجود داشته باشد 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قدر جامع استعمال شود، در حالی که این گونه نیست و قدر جامعی وجود ندارد؛ زیرا حکم تکلیفی از حیث موافقت و مخالفت با مولا و حکم وضعی از حیث صحّت و فساد و ترتّب آثار به موضوع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بیع صحیح یعنی بیعی که اثری بر آن مترتّب می‌شود و بیع فاسد، بیعی است که اثر بر آن مترتّب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بیع حرام یعنی بیعی که موجب معصیت است و بیع حلال، یعنی بیعی که موجب معصیت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میان حکم تکلیفی و وضعی، قدر جامعی تصوّر نمی‌شود تا بتوان از راه معنا و موضوعٌ لهِ حلّیت و حرمت، حکم وضعی را ثابت کرد</w:t>
      </w:r>
      <w:r>
        <w:rPr>
          <w:rFonts w:eastAsia="IRNazanin" w:cs="IRNazanin"/>
          <w:color w:val="111111"/>
          <w:sz w:val="28"/>
          <w:szCs w:val="28"/>
          <w:rtl w:val="true"/>
          <w:lang w:bidi="fa-IR"/>
        </w:rPr>
        <w:t>.</w:t>
      </w:r>
    </w:p>
    <w:p>
      <w:pPr>
        <w:pStyle w:val="Heading6"/>
        <w:numPr>
          <w:ilvl w:val="5"/>
          <w:numId w:val="1"/>
        </w:numPr>
        <w:rPr/>
      </w:pPr>
      <w:bookmarkStart w:id="93" w:name="__RefHeading___Toc2530761_1468164448"/>
      <w:bookmarkStart w:id="94" w:name="_Toc36"/>
      <w:bookmarkEnd w:id="93"/>
      <w:r>
        <w:rPr>
          <w:rtl w:val="true"/>
        </w:rPr>
        <w:t>ج</w:t>
      </w:r>
      <w:r>
        <w:rPr>
          <w:rtl w:val="true"/>
        </w:rPr>
        <w:t xml:space="preserve">) </w:t>
      </w:r>
      <w:r>
        <w:rPr>
          <w:rtl w:val="true"/>
        </w:rPr>
        <w:t>دیدگاه برگزیده</w:t>
      </w:r>
      <w:bookmarkEnd w:id="94"/>
    </w:p>
    <w:p>
      <w:pPr>
        <w:pStyle w:val="BookText"/>
        <w:rPr/>
      </w:pPr>
      <w:r>
        <w:rPr>
          <w:rFonts w:ascii="IRNazanin" w:hAnsi="IRNazanin" w:eastAsia="IRNazanin"/>
          <w:color w:val="111111"/>
          <w:sz w:val="28"/>
          <w:sz w:val="28"/>
          <w:szCs w:val="28"/>
          <w:rtl w:val="true"/>
          <w:lang w:bidi="fa-IR"/>
        </w:rPr>
        <w:t>با توجّه به مطالب گفته شده، می‌توان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تحف العقول شامل حکم تکلیفی و حکم وضعی می‌شود؛ زیرا همان گونه که سیّد یزدی قدس سره اشاره کرد،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التقلّب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این نکته را ثابت می‌کند؛ زیرا در این بیان نه نیازی به استناد به قاعدۀ اصولی داریم و نه نیازمند اثبات ملازمه میان حکم تکلیفی و وضعی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شیخ انصاری قدس سره معتقد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نیاز داریم که بگوییم حکم حلال از نظر لغوی عمومیت دارد و وضعی را هم شامل می‌شود؛ بلکه در این بیان فقط به این قسمت از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التقلّب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می‌نماییم</w:t>
      </w:r>
      <w:r>
        <w:rPr>
          <w:rFonts w:eastAsia="IRNazanin" w:cs="IRNazanin"/>
          <w:color w:val="111111"/>
          <w:sz w:val="28"/>
          <w:szCs w:val="28"/>
          <w:rtl w:val="true"/>
          <w:lang w:bidi="fa-IR"/>
        </w:rPr>
        <w:t>.</w:t>
      </w:r>
    </w:p>
    <w:p>
      <w:pPr>
        <w:pStyle w:val="Heading4"/>
        <w:numPr>
          <w:ilvl w:val="3"/>
          <w:numId w:val="1"/>
        </w:numPr>
        <w:rPr/>
      </w:pPr>
      <w:bookmarkStart w:id="95" w:name="__RefHeading___Toc2530763_1468164448"/>
      <w:bookmarkStart w:id="96" w:name="_Toc37"/>
      <w:bookmarkEnd w:id="95"/>
      <w:r>
        <w:rPr>
          <w:rtl w:val="true"/>
        </w:rPr>
        <w:t>گفتار دوم</w:t>
      </w:r>
      <w:r>
        <w:rPr>
          <w:rtl w:val="true"/>
        </w:rPr>
        <w:t xml:space="preserve">: </w:t>
      </w:r>
      <w:r>
        <w:rPr>
          <w:rtl w:val="true"/>
        </w:rPr>
        <w:t>روایت فقه الرضا علیه السلام</w:t>
      </w:r>
      <w:bookmarkEnd w:id="96"/>
    </w:p>
    <w:p>
      <w:pPr>
        <w:pStyle w:val="Heading5"/>
        <w:numPr>
          <w:ilvl w:val="4"/>
          <w:numId w:val="1"/>
        </w:numPr>
        <w:rPr/>
      </w:pPr>
      <w:bookmarkStart w:id="97" w:name="__RefHeading___Toc2530765_1468164448"/>
      <w:bookmarkStart w:id="98" w:name="_Toc38"/>
      <w:bookmarkEnd w:id="97"/>
      <w:r>
        <w:rPr>
          <w:rtl w:val="true"/>
        </w:rPr>
        <w:t>اشارة</w:t>
      </w:r>
      <w:bookmarkEnd w:id="9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دومین روایت عامّی که شیخ انصاری قدس سره از کتاب فقه الرضا علیه السلام نقل می‌کند، چنین</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إعْلَمْ یَرْحَمُکَ اللّهُ أَنَّ کُلَّ مَأْمُورٍ بِهِ مِمَّا هُوَ مَنٌّ عَلَی الْعِبَادِ وَقِوَامٌ لَهُمْ فِی أُمُورِهِمْ مِنْ وُجُوهِ الصَّلَاحِ الَّذِی لَایُقِیمُهُمْ غَیْرُهُ وَمِمَّا یَأْکُلُونَ وَیَشْرَبُونَ وَیَلْبَسُونَ وَیَنْکِحُونَ وَیَمْلِکُونَ وَیَسْتَعْمِلُونَ فَهَذَا کُلُّهُ حَلَالٌ بَیْعُهُ وَشِرَاؤُهُ وَهِبَتُهُ وَعَارِیَّتُهُ وَکُلُّ أَمْرٍ یَکُونُ فِیهِ الْفَسَادُ مِمَّا قَدْ نُهِیَ عَنْهُ مِنْ جِهَةِ أَکْلِهِ وَ شُرْبِهِ وَلُبْسِهِ وَنِکَاحِهِ وَإِمْسَاکِهِ لِوَجْهِ الْفَسَادِ وَمِثْلُ الْمَیْتَةِ وَالدَّمِ وَلَحْمِ الْخِنْزِیرِ وَالرِّبَا وَجَمِیعِ الْفَوَاحِشِ وَلُحُومِ السِّبَاعِ وَالْخَمْرِ وَمَا أَشْبَهَ ذَلِکَ فَحَرَامٌ ضَارٌّ لِلْجِسْمِ وَفَسَادٌ لِلنَّفْسِ؛</w:t>
      </w:r>
      <w:r>
        <w:rPr>
          <w:rStyle w:val="FootnoteAnchor"/>
          <w:rtl w:val="true"/>
        </w:rPr>
        <w:footnoteReference w:id="75"/>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هر چیزی که امور بندگان به آن وابسته و موجب امتنان بر آنان است و برای ایشان مصلحت دارد، مانند چیزهایی که می‌خورند و می‌آشامند و می‌پوشند و با آن ازدواج کرده یا مالک می‌شوند و از آنهااستفاده می‌کنند، خرید و فروشش، هبه و عاریه‌اش حلال است؛ و هر چیزی که در آن فساد باشد و از جهت خوردن، آشامیدن، پوشیدن، نکاح و نگهداری آن، مورد نهی قرار گرفته باشد و چیزهایی مانند مردار، خون، گوشت خوک، ربا، همۀ فواحش، گوشت درندگان، خمر و مانند آن، حرام است و به جسم ضرر رسانده و نفس را فاسد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نیز نوعی ضابطه ارائه شده است و بر طبق این روایت، خرید، فروش، هبه و عاریه هر چیزی که مطلوب بوده و قوام زندگی مردم به آن است، صحیح می‌باشد و در مقابل، تصرّف در چیزی که دارای فساد بوده و نهی به آن تعلّق گرفته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بررسی این روایت، باید به این نکته اشاره کرد که این روایت، به ظنّ قوی اصطیاد و اقتباسی از روایت تحف العقول است و با قطع نظر از عبارت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 لِلْجِسْمِ</w:t>
      </w:r>
      <w:bookmarkStart w:id="99" w:name="pg13785_134922"/>
    </w:p>
    <w:p>
      <w:pPr>
        <w:pStyle w:val="BookText"/>
        <w:rPr/>
      </w:pPr>
      <w:bookmarkEnd w:id="99"/>
      <w:r>
        <w:rPr>
          <w:rFonts w:ascii="IRNazanin" w:hAnsi="IRNazanin" w:eastAsia="IRNazanin"/>
          <w:color w:val="111111"/>
          <w:sz w:val="28"/>
          <w:sz w:val="28"/>
          <w:szCs w:val="28"/>
          <w:rtl w:val="true"/>
          <w:lang w:bidi="fa-IR"/>
        </w:rPr>
        <w:t>وَفَسَادٌ لِلنَّفْسِ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آخر این روایت آمده است، انسان ظنّ نزدیک به علم پیدا می‌کند که مطالب این روایت، همان مطالب بیان شده در روایت تحف العقول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نمی‌توان این روایت را دلیل و حجّت دیگری به شمار آورد حتّی اگر صحّت سند آن ثابت شود؛ امّا با این حال برای آشنایی بیشتر با کتاب فقه الرضا علیه السلام مطالبی را مطرح می‌کنیم</w:t>
      </w:r>
      <w:r>
        <w:rPr>
          <w:rFonts w:eastAsia="IRNazanin" w:cs="IRNazanin"/>
          <w:color w:val="111111"/>
          <w:sz w:val="28"/>
          <w:szCs w:val="28"/>
          <w:rtl w:val="true"/>
          <w:lang w:bidi="fa-IR"/>
        </w:rPr>
        <w:t>.</w:t>
      </w:r>
    </w:p>
    <w:p>
      <w:pPr>
        <w:pStyle w:val="Heading5"/>
        <w:numPr>
          <w:ilvl w:val="4"/>
          <w:numId w:val="1"/>
        </w:numPr>
        <w:rPr/>
      </w:pPr>
      <w:bookmarkStart w:id="100" w:name="__RefHeading___Toc2530767_1468164448"/>
      <w:bookmarkStart w:id="101" w:name="_Toc39"/>
      <w:bookmarkEnd w:id="100"/>
      <w:r>
        <w:rPr>
          <w:rtl w:val="true"/>
        </w:rPr>
        <w:t>بند اوّل</w:t>
      </w:r>
      <w:r>
        <w:rPr>
          <w:rtl w:val="true"/>
        </w:rPr>
        <w:t xml:space="preserve">: </w:t>
      </w:r>
      <w:r>
        <w:rPr>
          <w:rtl w:val="true"/>
        </w:rPr>
        <w:t>بررسی سند کتاب</w:t>
      </w:r>
      <w:bookmarkEnd w:id="101"/>
    </w:p>
    <w:p>
      <w:pPr>
        <w:pStyle w:val="Heading6"/>
        <w:numPr>
          <w:ilvl w:val="5"/>
          <w:numId w:val="1"/>
        </w:numPr>
        <w:rPr/>
      </w:pPr>
      <w:bookmarkStart w:id="102" w:name="__RefHeading___Toc2530769_1468164448"/>
      <w:bookmarkStart w:id="103" w:name="_Toc40"/>
      <w:bookmarkEnd w:id="102"/>
      <w:r>
        <w:rPr>
          <w:rtl w:val="true"/>
        </w:rPr>
        <w:t>الف</w:t>
      </w:r>
      <w:r>
        <w:rPr>
          <w:rtl w:val="true"/>
        </w:rPr>
        <w:t xml:space="preserve">) </w:t>
      </w:r>
      <w:r>
        <w:rPr>
          <w:rtl w:val="true"/>
        </w:rPr>
        <w:t>مأخذ کتاب</w:t>
      </w:r>
      <w:bookmarkEnd w:id="103"/>
    </w:p>
    <w:p>
      <w:pPr>
        <w:pStyle w:val="BookText"/>
        <w:rPr/>
      </w:pPr>
      <w:r>
        <w:rPr>
          <w:rFonts w:ascii="IRNazanin" w:hAnsi="IRNazanin" w:eastAsia="IRNazanin"/>
          <w:color w:val="111111"/>
          <w:sz w:val="28"/>
          <w:sz w:val="28"/>
          <w:szCs w:val="28"/>
          <w:rtl w:val="true"/>
          <w:lang w:bidi="fa-IR"/>
        </w:rPr>
        <w:t>در تاریخچۀ کتاب فقه الرضا علیه السلام دو منبع برای نقل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نام قاضی سیّد امیرحسین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فردی محدّث و فاضل بوده و نزد اصحاب و علما معتبر و ثقه شمرده می‌شده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سفر کرده و کتاب فقه الرضا علیه السلام را برای علاّمه محمّدتقی مجلسی قدس سره هدیّه می‌آورد و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حضورم در مکّه عدّه‌ای از اهالی قم پیش من آمدند و گفتند کتابی برایتان آورده‌ایم که از اجدادمان به ما رسیده و مربوط به امام هشتم علیه السلام است و از آن‌جا که شما محدّث هستید، آن کتاب را به شما هدیّه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علاّمۀ مجلسی اوّل قدس سره یک نسخه از کتاب قاضی سیّد امیرحسین استنساخ می‌کند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نراقی قدس سره در کتاب عوائد الأیّام نقل می‌کند که یک نسخه از فقه الرضا علیه السلام به خطّ کوفی در خزانۀ رضویّه بوده است که به مکّه برده شده و توسّط مولا مقدّس آقا میرزا محمّد ترجمه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این نسخۀ خطّ کوفی که به مکّه برده شده بود، یکی از کتاب‌های سیّد علی خان قدس سره، شارح صحیفۀ سجّادیه بوده است؛ چون در کتابخانه‌ای در طائف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کتاب‌های وی در آن‌جاست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 است</w:t>
      </w:r>
      <w:r>
        <w:rPr>
          <w:rFonts w:eastAsia="IRNazanin" w:cs="IRNazanin"/>
          <w:color w:val="111111"/>
          <w:sz w:val="28"/>
          <w:szCs w:val="28"/>
          <w:rtl w:val="true"/>
          <w:lang w:bidi="fa-IR"/>
        </w:rPr>
        <w:t>.</w:t>
      </w:r>
      <w:r>
        <w:rPr>
          <w:rStyle w:val="FootnoteAnchor"/>
          <w:rtl w:val="true"/>
        </w:rPr>
        <w:footnoteReference w:id="7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نکته قابل ذکر است که در نسخۀ خزانۀ رضویه، مطلب اضافه‌ای وجود</w:t>
      </w:r>
      <w:bookmarkStart w:id="104" w:name="pg13785_134923"/>
    </w:p>
    <w:p>
      <w:pPr>
        <w:pStyle w:val="BookText"/>
        <w:rPr/>
      </w:pPr>
      <w:bookmarkEnd w:id="104"/>
      <w:r>
        <w:rPr>
          <w:rFonts w:ascii="IRNazanin" w:hAnsi="IRNazanin" w:eastAsia="IRNazanin"/>
          <w:color w:val="111111"/>
          <w:sz w:val="28"/>
          <w:sz w:val="28"/>
          <w:szCs w:val="28"/>
          <w:rtl w:val="true"/>
          <w:lang w:bidi="fa-IR"/>
        </w:rPr>
        <w:t>دارد که در نسخۀ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نوشته شده است که امام هشتم علیه السلام این کتاب را برای احمد بن سکّین یا محمّد بن سکّین که نزد ایشان مقرّب بوده است، نگاشته‌اند</w:t>
      </w:r>
      <w:r>
        <w:rPr>
          <w:rFonts w:eastAsia="IRNazanin" w:cs="IRNazanin"/>
          <w:color w:val="111111"/>
          <w:sz w:val="28"/>
          <w:szCs w:val="28"/>
          <w:rtl w:val="true"/>
          <w:lang w:bidi="fa-IR"/>
        </w:rPr>
        <w:t>.</w:t>
      </w:r>
    </w:p>
    <w:p>
      <w:pPr>
        <w:pStyle w:val="Heading6"/>
        <w:numPr>
          <w:ilvl w:val="5"/>
          <w:numId w:val="1"/>
        </w:numPr>
        <w:rPr/>
      </w:pPr>
      <w:bookmarkStart w:id="105" w:name="__RefHeading___Toc2530771_1468164448"/>
      <w:bookmarkStart w:id="106" w:name="_Toc41"/>
      <w:bookmarkEnd w:id="105"/>
      <w:r>
        <w:rPr>
          <w:rtl w:val="true"/>
        </w:rPr>
        <w:t>ب</w:t>
      </w:r>
      <w:r>
        <w:rPr>
          <w:rtl w:val="true"/>
        </w:rPr>
        <w:t xml:space="preserve">) </w:t>
      </w:r>
      <w:r>
        <w:rPr>
          <w:rtl w:val="true"/>
        </w:rPr>
        <w:t>ویژگی‌های کتاب</w:t>
      </w:r>
      <w:bookmarkEnd w:id="106"/>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مطالعۀ فقه الرضا علیه السلام به این نکته پی می‌بریم که نویسندۀ کتاب بر فقه و روایات شیعه احاطۀ کامل دارد؛ زیرا در این کتاب هم فتوا وجود دارد و هم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بر موازین و وجوه جمع بین روایات متعارض، تسلّط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سند این کتاب صحیح باشد، در حلّ شمار بسیاری از مسائل فقهی مفید خواهد بود و در صورت معتبر بودن آن، شمار زیادی از فتاوای فقهای گذشته، قابل توجیه می‌شود؛ زیرا برای این فتاوا دلیلی جز آنچه در کتاب فقه الرضا علیه السلام آمده،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کتب صدوقین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حسین بن بابویه و پسر او شیخ صدوق قدس 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می‌یابیم که کتاب فقه الرضا علیه السلام نزد ایشان موجود بوده و صدوقین بر این کتاب اعتماد داشته‌اند؛ زیرا بسیاری از عبارات کتاب صدوقین با فقه الرضا علیه السلام مطابقت دارد و حتّی گاهی ایشان بر خلاف برخی از روایات صحیح، فتوا داده‌اند که با تفحّص مشخّص می‌شود که مستند آنها فقه الرضا علیه السلام بوده است و این بزرگان، مطالب این کتاب را بر روایات صحیح، مقدّم کرده‌اند</w:t>
      </w:r>
      <w:r>
        <w:rPr>
          <w:rFonts w:eastAsia="IRNazanin" w:cs="IRNazanin"/>
          <w:color w:val="111111"/>
          <w:sz w:val="28"/>
          <w:szCs w:val="28"/>
          <w:rtl w:val="true"/>
          <w:lang w:bidi="fa-IR"/>
        </w:rPr>
        <w:t>.</w:t>
      </w:r>
    </w:p>
    <w:p>
      <w:pPr>
        <w:pStyle w:val="Heading6"/>
        <w:numPr>
          <w:ilvl w:val="5"/>
          <w:numId w:val="1"/>
        </w:numPr>
        <w:rPr/>
      </w:pPr>
      <w:bookmarkStart w:id="107" w:name="__RefHeading___Toc2530773_1468164448"/>
      <w:bookmarkStart w:id="108" w:name="_Toc42"/>
      <w:bookmarkEnd w:id="107"/>
      <w:r>
        <w:rPr>
          <w:rtl w:val="true"/>
        </w:rPr>
        <w:t>ج</w:t>
      </w:r>
      <w:r>
        <w:rPr>
          <w:rtl w:val="true"/>
        </w:rPr>
        <w:t xml:space="preserve">) </w:t>
      </w:r>
      <w:r>
        <w:rPr>
          <w:rtl w:val="true"/>
        </w:rPr>
        <w:t>فقهایی که به این کتاب اعتماد کرده‌اند</w:t>
      </w:r>
      <w:bookmarkEnd w:id="108"/>
    </w:p>
    <w:p>
      <w:pPr>
        <w:pStyle w:val="BookText"/>
        <w:rPr/>
      </w:pPr>
      <w:r>
        <w:rPr>
          <w:rFonts w:ascii="IRNazanin" w:hAnsi="IRNazanin" w:eastAsia="IRNazanin"/>
          <w:color w:val="111111"/>
          <w:sz w:val="28"/>
          <w:sz w:val="28"/>
          <w:szCs w:val="28"/>
          <w:rtl w:val="true"/>
          <w:lang w:bidi="fa-IR"/>
        </w:rPr>
        <w:t>کتاب فقه الرضا علیه السلام تقریباً تا زمان مجلسی اوّل قدس سره، مجهول بوده و کسی از وجودش خبر نداشته است و برای نخستین بار، مجلسی اوّل متوجّه وجود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به بعد، مجلسی اوّل</w:t>
      </w:r>
      <w:r>
        <w:rPr>
          <w:rStyle w:val="FootnoteAnchor"/>
          <w:rtl w:val="true"/>
        </w:rPr>
        <w:footnoteReference w:id="78"/>
      </w:r>
      <w:r>
        <w:rPr>
          <w:rFonts w:ascii="IRNazanin" w:hAnsi="IRNazanin" w:eastAsia="IRNazanin"/>
          <w:color w:val="111111"/>
          <w:sz w:val="28"/>
          <w:sz w:val="28"/>
          <w:szCs w:val="28"/>
          <w:rtl w:val="true"/>
          <w:lang w:bidi="fa-IR"/>
        </w:rPr>
        <w:t>و دوم قدس سرهما</w:t>
      </w:r>
      <w:r>
        <w:rPr>
          <w:rStyle w:val="FootnoteAnchor"/>
          <w:rtl w:val="true"/>
        </w:rPr>
        <w:footnoteReference w:id="79"/>
      </w:r>
      <w:r>
        <w:rPr>
          <w:rFonts w:ascii="IRNazanin" w:hAnsi="IRNazanin" w:eastAsia="IRNazanin"/>
          <w:color w:val="111111"/>
          <w:sz w:val="28"/>
          <w:sz w:val="28"/>
          <w:szCs w:val="28"/>
          <w:rtl w:val="true"/>
          <w:lang w:bidi="fa-IR"/>
        </w:rPr>
        <w:t>به این کتاب اعتماد کرده‌اند و پس از ایشان فاضل هندی قدس سره نیز به این کتاب، عمل کرده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پیش از مجلسی اوّل، صدوقین، سیّد بحر العلوم، صاحب حدائق، صاحب</w:t>
      </w:r>
      <w:bookmarkStart w:id="109" w:name="pg13785_134924"/>
    </w:p>
    <w:p>
      <w:pPr>
        <w:pStyle w:val="BookText"/>
        <w:rPr/>
      </w:pPr>
      <w:bookmarkEnd w:id="109"/>
      <w:r>
        <w:rPr>
          <w:rFonts w:ascii="IRNazanin" w:hAnsi="IRNazanin" w:eastAsia="IRNazanin"/>
          <w:color w:val="111111"/>
          <w:sz w:val="28"/>
          <w:sz w:val="28"/>
          <w:szCs w:val="28"/>
          <w:rtl w:val="true"/>
          <w:lang w:bidi="fa-IR"/>
        </w:rPr>
        <w:t>ریاض، صاحب لوامع و شیخ مفید قدس سرهم هم در کتاب المقنعة در مواردی به مطالب این کتاب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بابویه پدر شیخ صدوق قدس سرهما کتابی به نام شرائع را به رشتۀ تحریر در آورده است و این کتاب مورد اعتماد فرزند بزرگوارش، شیخ صدوق قدس سره و دیگر فقهاست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قدس سره در مورد این کتاب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و بزرگان ما به کتاب شرائع عمل می‌کنند؛ زیرا مرجع شرائع کتاب فقه الرضا علیه السلام است</w:t>
      </w:r>
      <w:r>
        <w:rPr>
          <w:rFonts w:eastAsia="IRNazanin" w:cs="IRNazanin"/>
          <w:color w:val="111111"/>
          <w:sz w:val="28"/>
          <w:szCs w:val="28"/>
          <w:rtl w:val="true"/>
          <w:lang w:bidi="fa-IR"/>
        </w:rPr>
        <w:t>.</w:t>
      </w:r>
      <w:r>
        <w:rPr>
          <w:rStyle w:val="FootnoteAnchor"/>
          <w:rtl w:val="true"/>
        </w:rPr>
        <w:footnoteReference w:id="80"/>
      </w:r>
    </w:p>
    <w:p>
      <w:pPr>
        <w:pStyle w:val="Heading6"/>
        <w:numPr>
          <w:ilvl w:val="5"/>
          <w:numId w:val="1"/>
        </w:numPr>
        <w:rPr/>
      </w:pPr>
      <w:bookmarkStart w:id="110" w:name="__RefHeading___Toc2530775_1468164448"/>
      <w:bookmarkStart w:id="111" w:name="_Toc43"/>
      <w:bookmarkEnd w:id="110"/>
      <w:r>
        <w:rPr>
          <w:rtl w:val="true"/>
        </w:rPr>
        <w:t>د</w:t>
      </w:r>
      <w:r>
        <w:rPr>
          <w:rtl w:val="true"/>
        </w:rPr>
        <w:t xml:space="preserve">) </w:t>
      </w:r>
      <w:r>
        <w:rPr>
          <w:rtl w:val="true"/>
        </w:rPr>
        <w:t>مؤلّف کتاب</w:t>
      </w:r>
      <w:bookmarkEnd w:id="111"/>
    </w:p>
    <w:p>
      <w:pPr>
        <w:pStyle w:val="BookText"/>
        <w:rPr/>
      </w:pPr>
      <w:r>
        <w:rPr>
          <w:rFonts w:ascii="IRNazanin" w:hAnsi="IRNazanin" w:eastAsia="IRNazanin"/>
          <w:color w:val="111111"/>
          <w:sz w:val="28"/>
          <w:sz w:val="28"/>
          <w:szCs w:val="28"/>
          <w:rtl w:val="true"/>
          <w:lang w:bidi="fa-IR"/>
        </w:rPr>
        <w:t>در مورد مؤلّف کتاب فقه الرضا علیه السلام چهار دیدگاه بین علما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همچون صدوقین و مجلسیّین</w:t>
      </w:r>
      <w:r>
        <w:rPr>
          <w:rStyle w:val="FootnoteAnchor"/>
          <w:rtl w:val="true"/>
        </w:rPr>
        <w:footnoteReference w:id="81"/>
      </w:r>
      <w:r>
        <w:rPr>
          <w:rFonts w:ascii="IRNazanin" w:hAnsi="IRNazanin" w:eastAsia="IRNazanin"/>
          <w:color w:val="111111"/>
          <w:sz w:val="28"/>
          <w:sz w:val="28"/>
          <w:szCs w:val="28"/>
          <w:rtl w:val="true"/>
          <w:lang w:bidi="fa-IR"/>
        </w:rPr>
        <w:t>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تألیف امام علی بن موسی الرضا علیه السلام است و گروهی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همان کتاب شرایع علی بن بابویه قدس سره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 نیز همچون مرحوم صدر قدس سره چنین پنداشته‌اند که فقه الرضا علیه السلام همان کتاب التکلیف، نوشتۀ محمّد بن علی شلمقانی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چهارم هم این است که نمی‌توان تشخیص داد مؤلّف این کتاب کیست</w:t>
      </w:r>
      <w:r>
        <w:rPr>
          <w:rFonts w:eastAsia="IRNazanin" w:cs="IRNazanin"/>
          <w:color w:val="111111"/>
          <w:sz w:val="28"/>
          <w:szCs w:val="28"/>
          <w:rtl w:val="true"/>
          <w:lang w:bidi="fa-IR"/>
        </w:rPr>
        <w:t>.</w:t>
      </w:r>
    </w:p>
    <w:p>
      <w:pPr>
        <w:pStyle w:val="Heading6"/>
        <w:numPr>
          <w:ilvl w:val="5"/>
          <w:numId w:val="1"/>
        </w:numPr>
        <w:rPr/>
      </w:pPr>
      <w:bookmarkStart w:id="112" w:name="__RefHeading___Toc2530777_1468164448"/>
      <w:bookmarkStart w:id="113" w:name="_Toc44"/>
      <w:bookmarkEnd w:id="112"/>
      <w:r>
        <w:rPr/>
        <w:t>1</w:t>
      </w:r>
      <w:r>
        <w:rPr>
          <w:rtl w:val="true"/>
        </w:rPr>
        <w:t xml:space="preserve">- </w:t>
      </w:r>
      <w:r>
        <w:rPr>
          <w:rtl w:val="true"/>
        </w:rPr>
        <w:t>دیدگاه اوّل و نقد آن</w:t>
      </w:r>
      <w:bookmarkEnd w:id="11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صدوقین و مجلسیّین معتقدند که مؤلّف فقه الرضا علیه السلام، حضرت علی بن موسی الرضا علیه السلام است؛ چراکه قاضی امیرحسین که مردی ثقه، محدّث و عالم بوده، شهادت داده که این کتاب، تألیف امام علی بن موسی الرضا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امیرحسین به علاّمۀ مجلسی اوّل قدس سره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هم خطّ امام علیه السلام وجود دارد و هم خطوطی از اجازات علما</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به عبارت دیگر، قاضی امیرحسین از این خط و خطوطی که در کتاب بوده است و یا از راه‌های دیگر، علم پیدا کرده که کتاب مربوط به امام علیه السلام است و بدان شهادت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ادلّۀ حجّیت خبر واحد شامل این خبر شود، حجّت بوده و ثابت می‌شود کتاب متعلّق به امام رضا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و اشکال این نظر، روشن است؛ چراکه علم قاضی امیرحسین برای ما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از دست‌خطّ امام علیه السلام به علم رسیده است، شاید آن دست‌خط برای ما علم حاصل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ادلّۀ حجیّت خبر واحد شامل خبر حدسی نمی‌شود و فقط مربوط به اخبار حسّی است؛ یعنی اگر انسان چیزی را از روی حس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دید که زید عمرو را زد و از آن خبر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نقل، مشمول ادلّۀ حجیّت خبر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ادلّۀ حجّیت خبر واحد در اموری همچون شجاعت، سخاوت، عدالت و مانند آن‌که دیدنی نیستند، جریان دارد؟ برای مثال، هنگامی که می‌گوییم امیر المؤمنین علیه السلام شجاع بودند، با این‌که شجاعت امری غیر قابل رؤیت است، پس چرا مشمول ادلّۀ حجّیت خبر واحد است؟ در جواب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مقدّماتی حسّی دارند و بین این مقدّمات و نتیجه، ملازمۀ عادی برقرار است؛ یعنی وقتی شخص می‌بیند حضرت امیر المؤمنین علیه السلام در جنگی مقابل صد نفر قرار گرفته و به آنها هجوم می‌برد، به شجاعت ایشان پی می‌برد و این را برای هر کسی نقل کند، از این مقدّمات برای آنها نیز علم به شجاعت ایشان حاصل می‌شود؛ ولی در کتاب فقه الرضا علیه السلام تنها سخن قاضی امیرحسین، مبنی بر علم وی به تألیف کتاب توسّط امام علیه السلام وجود دارد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نکتۀ دیگر این‌که حاجی نوری قدس سره در مستدرک الوسائل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سیّد امیرحسین با وجود بیّنه و شهادت آن دو نفر از اهالی قم، علم پیدا کرده است و اعتماد او بر بیّنه بوده، نه بر مسئلۀ حدسی</w:t>
      </w:r>
      <w:r>
        <w:rPr>
          <w:rFonts w:eastAsia="IRNazanin" w:cs="IRNazanin"/>
          <w:color w:val="111111"/>
          <w:sz w:val="28"/>
          <w:szCs w:val="28"/>
          <w:rtl w:val="true"/>
          <w:lang w:bidi="fa-IR"/>
        </w:rPr>
        <w:t>.</w:t>
      </w:r>
      <w:r>
        <w:rPr>
          <w:rStyle w:val="FootnoteAnchor"/>
          <w:rtl w:val="true"/>
        </w:rPr>
        <w:footnoteReference w:id="84"/>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سخن صحیح نیست؛ چون همان گونه که مجلسی اوّل قدس سره در روضة المتقین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امیرحسین نگفته که آن دو نفر قمی شهادت دادند به این‌که کتاب برای امام علیه السلام است؛ در این مورد حاجی نوری قدس سره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w:t>
      </w:r>
    </w:p>
    <w:p>
      <w:pPr>
        <w:pStyle w:val="BookText"/>
        <w:rPr/>
      </w:pPr>
      <w:r>
        <w:rPr>
          <w:rFonts w:ascii="IRNazanin" w:hAnsi="IRNazanin" w:eastAsia="IRNazanin"/>
          <w:color w:val="111111"/>
          <w:sz w:val="28"/>
          <w:sz w:val="28"/>
          <w:szCs w:val="28"/>
          <w:rtl w:val="true"/>
          <w:lang w:bidi="fa-IR"/>
        </w:rPr>
        <w:t xml:space="preserve">این، سؤال پیش می‌آید که آن دو نفر قمی چگونه اشخاصی بودند؟ پدرانشان چه کسانی بودند؟ موثّق بودند یا خیر؟ البتّه قاضی امیرحسین در مورد آن دو نفر،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شخصین ثقتتین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می‌برد؛ ولی با این وجود نسبت به پدرانشان شناختی نداشته و آن دو نفر نیز این مطلب را از پدران خود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روی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امیرحسین از راه بیّنه، به چنین علمی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انتساب کتاب به امام رضا علیه السلام</w:t>
      </w:r>
    </w:p>
    <w:p>
      <w:pPr>
        <w:pStyle w:val="BookText"/>
        <w:rPr/>
      </w:pPr>
      <w:r>
        <w:rPr>
          <w:rFonts w:ascii="IRNazanin" w:hAnsi="IRNazanin" w:eastAsia="IRNazanin"/>
          <w:color w:val="111111"/>
          <w:sz w:val="28"/>
          <w:sz w:val="28"/>
          <w:szCs w:val="28"/>
          <w:rtl w:val="true"/>
          <w:lang w:bidi="fa-IR"/>
        </w:rPr>
        <w:t>در کتاب فقه الرضا علیه السلام قرائنی مبنی بر انتساب آن به امام رضا علیه السلام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اوّل کتاب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عبداللّه علیّ بن موسی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xml:space="preserve">یا در این کتاب،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أهل البیت</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أمرنی أبی</w:t>
      </w:r>
      <w:r>
        <w:rPr>
          <w:rFonts w:eastAsia="IRNazanin" w:cs="IRNazanin"/>
          <w:color w:val="111111"/>
          <w:sz w:val="28"/>
          <w:szCs w:val="28"/>
          <w:rtl w:val="true"/>
          <w:lang w:bidi="fa-IR"/>
        </w:rPr>
        <w:t>»</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اشاره به امام کاظم علیه السلام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اشاره به امام کاظم علیه السلام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می‌تواند قرینه بر انتساب این کتاب به امام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برخی تعابیر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جدّنا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آیا با وجود این قرائن، نمی‌توان گفت که این کتاب مربوط به امام رضا علیه السلام است؟</w:t>
      </w:r>
    </w:p>
    <w:p>
      <w:pPr>
        <w:pStyle w:val="BookText"/>
        <w:rPr/>
      </w:pPr>
      <w:r>
        <w:rPr>
          <w:rFonts w:ascii="IRNazanin" w:hAnsi="IRNazanin" w:eastAsia="IRNazanin"/>
          <w:color w:val="111111"/>
          <w:sz w:val="28"/>
          <w:sz w:val="28"/>
          <w:szCs w:val="28"/>
          <w:rtl w:val="true"/>
          <w:lang w:bidi="fa-IR"/>
        </w:rPr>
        <w:t>محقّق خویی قدس سره در مقام پاسخ به این سخن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مؤلّف این کتاب برای ما مجهول است و دافعی برای احتمال کذب بودن مطالب کتاب، وجود ندارد، ممکن است یکی از از رجال علوی یا سادات این کتاب را نوشته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نیز می‌توانند تعابیر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را به کار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فردی که نوۀ امام کاظم علیه السلام است می‌تواند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جدّنا</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عدم انتساب کتاب به امام رضا علیه السلام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گفته شد، برخی معتقدند این کتاب تألیف امام رضا علیه السلام است؛ ولی ما دلیل آنها را بیان و در آن مناقشه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علاوه بر اشکالاتی که بر این دیدگاه وارد</w:t>
      </w:r>
    </w:p>
    <w:p>
      <w:pPr>
        <w:pStyle w:val="BookText"/>
        <w:rPr/>
      </w:pPr>
      <w:r>
        <w:rPr>
          <w:rFonts w:ascii="IRNazanin" w:hAnsi="IRNazanin" w:eastAsia="IRNazanin"/>
          <w:color w:val="111111"/>
          <w:sz w:val="28"/>
          <w:sz w:val="28"/>
          <w:szCs w:val="28"/>
          <w:rtl w:val="true"/>
          <w:lang w:bidi="fa-IR"/>
        </w:rPr>
        <w:t>است، قرائنی در کتاب وجود دارد که به‌وسیلۀ این قرائن به عدم صدور کتاب از امام علیه السلام یقین پیدا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قرائن نشان می‌دهد که کتاب فقه الرضا علیه السلام یک رسالۀ عملیّه است که علاوه بر فتاوایی که در آن وجود دارد، روایاتی نیز در آن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تعابیر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فقه الرضا علیه السلام و نقل روایت از اشخاصی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قرینه‌ای است بر این‌که این کتاب تألیف خود امام علیه السلام نیست؛ زیرا نمی‌توان پذیرفت که امام علیه السلام از این اشخاص مطلبی را نقل کند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تعابیری در کتاب فقه الرضا علیه السلام وجود دارد که از امام علیه السلام صادر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کتاب آمده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جعلنی اللّه من السوء فداک؛ خداوند در بدی‌ها مرا فدای تو قرار دهد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xml:space="preserve">البتّه اگر معصوم نسبت به معصوم دیگر،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جعلنی اللّه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 مانعی ندارد؛ امّا در کتاب فقه الرضا علیه السلام مخاطب این عبارت، غیر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در کتاب مستدرک الوسائل آمده است،</w:t>
      </w:r>
      <w:r>
        <w:rPr>
          <w:rStyle w:val="FootnoteAnchor"/>
          <w:rtl w:val="true"/>
        </w:rPr>
        <w:footnoteReference w:id="93"/>
      </w:r>
      <w:r>
        <w:rPr>
          <w:rFonts w:ascii="IRNazanin" w:hAnsi="IRNazanin" w:eastAsia="IRNazanin"/>
          <w:color w:val="111111"/>
          <w:sz w:val="28"/>
          <w:sz w:val="28"/>
          <w:szCs w:val="28"/>
          <w:rtl w:val="true"/>
          <w:lang w:bidi="fa-IR"/>
        </w:rPr>
        <w:t>تعابیری در کتاب وجود دارد که مستلزم جهل مؤلّف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کتاب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فتصف لنا؛</w:t>
      </w:r>
      <w:r>
        <w:rPr>
          <w:rStyle w:val="FootnoteAnchor"/>
          <w:rtl w:val="true"/>
        </w:rPr>
        <w:footnoteReference w:id="94"/>
      </w:r>
      <w:r>
        <w:rPr>
          <w:rFonts w:ascii="IRNazanin" w:hAnsi="IRNazanin" w:eastAsia="IRNazanin"/>
          <w:color w:val="111111"/>
          <w:sz w:val="28"/>
          <w:sz w:val="28"/>
          <w:szCs w:val="28"/>
          <w:rtl w:val="true"/>
          <w:lang w:bidi="fa-IR"/>
        </w:rPr>
        <w:t>این را برایم روشن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چنین تعبیری در کتاب نشان می‌دهد که مؤلّف جاهل بوده و به دنبال بر طرف کردن جهل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برخی احکام متناقض در کتاب نیز قرینه‌ای بر عدم صدور آن از معصوم علیه السلام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احکامی وجود دارد که مخالف مذهب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باب وضو و تخلّی چنین آمده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غسلت قدمیک ونسیت المسح علیهما، فإنّ ذلک یجزیک، لأنّک قد أتیت بأکثر ممّا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اگر مسح پا را فراموش کردی و در عوض پاهایت را شستی، تو را</w:t>
      </w:r>
      <w:bookmarkStart w:id="114" w:name="pg13785_134928"/>
    </w:p>
    <w:p>
      <w:pPr>
        <w:pStyle w:val="BookText"/>
        <w:rPr/>
      </w:pPr>
      <w:bookmarkEnd w:id="114"/>
      <w:r>
        <w:rPr>
          <w:rFonts w:ascii="IRNazanin" w:hAnsi="IRNazanin" w:eastAsia="IRNazanin"/>
          <w:color w:val="111111"/>
          <w:sz w:val="28"/>
          <w:sz w:val="28"/>
          <w:szCs w:val="28"/>
          <w:rtl w:val="true"/>
          <w:lang w:bidi="fa-IR"/>
        </w:rPr>
        <w:t>کافی است؛ زیرا بیشتر از آنچه وظیفه‌ات بوده انجام 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جمله، حکم و دلیلی که برای آن آمده است، با فقه شیعه سازگاری ندارد و مثل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صبح را سه رکعتی خواندی،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مطالب دیگری از این دست نیز در کتاب،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جایی از قرائت معوّذتین در نماز نهی شده است، با این تعلیل که معوّذتین جزء قرآن نیست</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یا در جای دیگر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وانو عند افتتاح الصلاة ذکر اللّه وذکر رسول اللّه واجعل واحداً من الائمّة نصب عینک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در هنگام تکبیرة الإحرام یاد خدا و رسولش را نیت کن و یکی از امامان را مقابل روی خودت فرض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نه تنها توسّط فقه شیعه، بلکه از سوی هیچ یک از مذاهب اسلامی پذیرفته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مطالب پیشین،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این‌که امام علیه السلام این مطالب را در مقام تقیّه گفته باشند نیز بعید است؛ چون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علیه السلام بخواهد کتابی جامع، برای شیعیان بنویسد و این کتاب نزد شیعیان خاص باقی بماند، دلیلی برای تقیّه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کتاب در باب احکام عقد موقّت و مشروعیت آن، مطالبی آمده که طعنۀ روشنی بر اهل سنّت است و وجود آن، با احتمال تقیّه تنافی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وجود چنین قرائن و اشکالاتی، دیدگاه نخست، قابل قبول نیست و نمی‌توان پذیرفت که مؤلّف کتاب، امام رضا علیه السلام بوده است</w:t>
      </w:r>
      <w:r>
        <w:rPr>
          <w:rFonts w:eastAsia="IRNazanin" w:cs="IRNazanin"/>
          <w:color w:val="111111"/>
          <w:sz w:val="28"/>
          <w:szCs w:val="28"/>
          <w:rtl w:val="true"/>
          <w:lang w:bidi="fa-IR"/>
        </w:rPr>
        <w:t>.</w:t>
      </w:r>
    </w:p>
    <w:p>
      <w:pPr>
        <w:pStyle w:val="Heading6"/>
        <w:numPr>
          <w:ilvl w:val="5"/>
          <w:numId w:val="1"/>
        </w:numPr>
        <w:rPr/>
      </w:pPr>
      <w:bookmarkStart w:id="115" w:name="__RefHeading___Toc2530779_1468164448"/>
      <w:bookmarkStart w:id="116" w:name="_Toc45"/>
      <w:bookmarkEnd w:id="115"/>
      <w:r>
        <w:rPr/>
        <w:t>2</w:t>
      </w:r>
      <w:r>
        <w:rPr>
          <w:rtl w:val="true"/>
        </w:rPr>
        <w:t xml:space="preserve">- </w:t>
      </w:r>
      <w:r>
        <w:rPr>
          <w:rtl w:val="true"/>
        </w:rPr>
        <w:t>دیدگاه دوم</w:t>
      </w:r>
      <w:bookmarkEnd w:id="11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همان رسالۀ شرائع علی بن حسین بن بابویه قدس سره است که برای فرزندش صدوق رحمه الله نوشته است؛ چراکه این دو کتاب در بسیاری از تعابیر، مشابه یکدیگرند و</w:t>
      </w:r>
      <w:bookmarkStart w:id="117" w:name="pg13785_134929"/>
    </w:p>
    <w:p>
      <w:pPr>
        <w:pStyle w:val="BookText"/>
        <w:rPr/>
      </w:pPr>
      <w:bookmarkEnd w:id="117"/>
      <w:r>
        <w:rPr>
          <w:rFonts w:ascii="IRNazanin" w:hAnsi="IRNazanin" w:eastAsia="IRNazanin"/>
          <w:color w:val="111111"/>
          <w:sz w:val="28"/>
          <w:sz w:val="28"/>
          <w:szCs w:val="28"/>
          <w:rtl w:val="true"/>
          <w:lang w:bidi="fa-IR"/>
        </w:rPr>
        <w:t>از آن‌جا که نام پدر شیخ صدوق قدس سره، علی بن حسین بن موسی بن بابویه است، گمان کرده‌اند که مؤلّف این کتاب، امام رضا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عبداللّه افندی اصفهانی قدس سره این دیدگاه را پذیرفته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دو اشکال بر این دیدگاه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کتاب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علیّ بن موسی الرضا علیه السلام أمّا بعد إنّ أوّل ما افترض اللّه علی عباده و أوجب علی خلقه معرفة الوحدانی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که این تعبیر نشان‌دهندۀ نادرستی این دیدگاه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مؤلّف کتاب، پدر شیخ صدوق قدس سره باشد، وجود تعابیری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جدّنا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نبوده و قرینه‌ای بر عدم اسناد کتاب به وی به شمار می‌رود</w:t>
      </w:r>
      <w:r>
        <w:rPr>
          <w:rFonts w:eastAsia="IRNazanin" w:cs="IRNazanin"/>
          <w:color w:val="111111"/>
          <w:sz w:val="28"/>
          <w:szCs w:val="28"/>
          <w:rtl w:val="true"/>
          <w:lang w:bidi="fa-IR"/>
        </w:rPr>
        <w:t>.</w:t>
      </w:r>
    </w:p>
    <w:p>
      <w:pPr>
        <w:pStyle w:val="Heading6"/>
        <w:numPr>
          <w:ilvl w:val="5"/>
          <w:numId w:val="1"/>
        </w:numPr>
        <w:rPr/>
      </w:pPr>
      <w:bookmarkStart w:id="118" w:name="__RefHeading___Toc2530781_1468164448"/>
      <w:bookmarkStart w:id="119" w:name="_Toc46"/>
      <w:bookmarkEnd w:id="118"/>
      <w:r>
        <w:rPr/>
        <w:t>3</w:t>
      </w:r>
      <w:r>
        <w:rPr>
          <w:rtl w:val="true"/>
        </w:rPr>
        <w:t xml:space="preserve">- </w:t>
      </w:r>
      <w:r>
        <w:rPr>
          <w:rtl w:val="true"/>
        </w:rPr>
        <w:t>دیدگاه سوم</w:t>
      </w:r>
      <w:bookmarkEnd w:id="119"/>
    </w:p>
    <w:p>
      <w:pPr>
        <w:pStyle w:val="BookText"/>
        <w:rPr/>
      </w:pPr>
      <w:r>
        <w:rPr>
          <w:rFonts w:ascii="IRNazanin" w:hAnsi="IRNazanin" w:eastAsia="IRNazanin"/>
          <w:color w:val="111111"/>
          <w:sz w:val="28"/>
          <w:sz w:val="28"/>
          <w:szCs w:val="28"/>
          <w:rtl w:val="true"/>
          <w:lang w:bidi="fa-IR"/>
        </w:rPr>
        <w:t>جناب سیّد حسن صدر قدس سره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علیه السلام همان کتاب التکلیف محمّد بن علی شلمقانی است و با ملاحظۀ کتاب التکلیف، متوجّه می‌شویم که شلمقانی در برخی نظرات، متفرّد است و آن نظرات، هیچ مستندی غیر از فقه الرضا علیه السلام ندارد</w:t>
      </w:r>
      <w:r>
        <w:rPr>
          <w:rFonts w:eastAsia="IRNazanin" w:cs="IRNazanin"/>
          <w:color w:val="111111"/>
          <w:sz w:val="28"/>
          <w:szCs w:val="28"/>
          <w:rtl w:val="true"/>
          <w:lang w:bidi="fa-IR"/>
        </w:rPr>
        <w:t>.</w:t>
      </w:r>
      <w:r>
        <w:rPr>
          <w:rStyle w:val="FootnoteAnchor"/>
          <w:rtl w:val="true"/>
        </w:rPr>
        <w:footnoteReference w:id="101"/>
      </w:r>
    </w:p>
    <w:p>
      <w:pPr>
        <w:pStyle w:val="Heading6"/>
        <w:numPr>
          <w:ilvl w:val="5"/>
          <w:numId w:val="1"/>
        </w:numPr>
        <w:rPr/>
      </w:pPr>
      <w:bookmarkStart w:id="120" w:name="__RefHeading___Toc2530783_1468164448"/>
      <w:bookmarkStart w:id="121" w:name="_Toc47"/>
      <w:bookmarkEnd w:id="120"/>
      <w:r>
        <w:rPr/>
        <w:t>4</w:t>
      </w:r>
      <w:r>
        <w:rPr>
          <w:rtl w:val="true"/>
        </w:rPr>
        <w:t xml:space="preserve">- </w:t>
      </w:r>
      <w:r>
        <w:rPr>
          <w:rtl w:val="true"/>
        </w:rPr>
        <w:t>دیدگاه چهارم</w:t>
      </w:r>
      <w:bookmarkEnd w:id="12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در مورد مؤلّف کتاب، توقّف کرده‌اند و معتقدند که نمی‌توان مؤلّف کتاب فقه الرضا علیه السلام را تشخیص داد</w:t>
      </w:r>
      <w:r>
        <w:rPr>
          <w:rFonts w:eastAsia="IRNazanin" w:cs="IRNazanin"/>
          <w:color w:val="111111"/>
          <w:sz w:val="28"/>
          <w:szCs w:val="28"/>
          <w:rtl w:val="true"/>
          <w:lang w:bidi="fa-IR"/>
        </w:rPr>
        <w:t>.</w:t>
      </w:r>
      <w:r>
        <w:rPr>
          <w:rStyle w:val="FootnoteAnchor"/>
          <w:rtl w:val="true"/>
        </w:rPr>
        <w:footnoteReference w:id="102"/>
      </w:r>
      <w:bookmarkStart w:id="122" w:name="pg13785_134930"/>
    </w:p>
    <w:p>
      <w:pPr>
        <w:pStyle w:val="Heading6"/>
        <w:numPr>
          <w:ilvl w:val="5"/>
          <w:numId w:val="1"/>
        </w:numPr>
        <w:rPr/>
      </w:pPr>
      <w:bookmarkStart w:id="123" w:name="__RefHeading___Toc2530785_1468164448"/>
      <w:bookmarkStart w:id="124" w:name="_Toc48"/>
      <w:bookmarkEnd w:id="122"/>
      <w:bookmarkEnd w:id="123"/>
      <w:r>
        <w:rPr>
          <w:rtl w:val="true"/>
        </w:rPr>
        <w:t>ه</w:t>
      </w:r>
      <w:r>
        <w:rPr>
          <w:rtl w:val="true"/>
        </w:rPr>
        <w:t xml:space="preserve">) </w:t>
      </w:r>
      <w:r>
        <w:rPr>
          <w:rtl w:val="true"/>
        </w:rPr>
        <w:t>دیدگاه برگزیده</w:t>
      </w:r>
      <w:bookmarkEnd w:id="124"/>
    </w:p>
    <w:p>
      <w:pPr>
        <w:pStyle w:val="BookText"/>
        <w:rPr/>
      </w:pPr>
      <w:r>
        <w:rPr>
          <w:rFonts w:ascii="IRNazanin" w:hAnsi="IRNazanin" w:eastAsia="IRNazanin"/>
          <w:color w:val="111111"/>
          <w:sz w:val="28"/>
          <w:sz w:val="28"/>
          <w:szCs w:val="28"/>
          <w:rtl w:val="true"/>
          <w:lang w:bidi="fa-IR"/>
        </w:rPr>
        <w:t>به نظر ما در مورد سند این کتاب، نمی‌توان اظهار نظر کرد و دیدگاه‌های مطرح شده در مورد مؤلّف کتاب، بر پایۀ احتمالات استوار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نه می‌توان این کتاب را تألیف امام رضا علیه السلام دانست و نه می‌توان گفت نوشتۀ علی بن بابویه یا شلمقانی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روایات موجود در این کتاب، در حکم سایر روایات مرسل است و احکام و فتاوای ذکر شده در کتاب، به دلیل مطابقت با فتاوای صدوقین قدس سرهما کمتر از اخبار مرسل نیست؛ زیرا همان گونه که پیش از این بیان شد، فتاوای صدوقین، شیخ مفید و فقهای هم عصر ایشان قدس سرهم، عین تعابیر موجود در روایات است و از این رو، فتاوای ایشان از نظر اعتبار، همسطح اخبار مرسل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تکمیل مباحث گذشته، تذکّر این مطلب ضروری است که برخی از بزرگان اعتقاد دارند که تألیف و نوشتن کتاب توسّط ائمّۀ اطهار علیهم السلام مرسوم نبوده است؛ بلکه اصحاب، مطالب بیان شده توسّط ایشان را ثبت می‌کردند و ائمّۀ اطهار علیهم السلام غیر از مصحف فاطمه علیها السلام کتاب و تألیفی دیگر ندارند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سخن صحیح نیست؛ زیرا هرچند نمی‌توان اسناد کتاب فقه الرضا علیه السلام به امام علیه السلام را ثابت کرد، امّا شیخ صدوق قدس سره در عیون أخبار الرضا علیه السلام سه رساله را به سند صحیح از امام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رساله به محمّد بن سنان</w:t>
      </w:r>
      <w:r>
        <w:rPr>
          <w:rStyle w:val="FootnoteAnchor"/>
          <w:rtl w:val="true"/>
        </w:rPr>
        <w:footnoteReference w:id="103"/>
      </w:r>
      <w:r>
        <w:rPr>
          <w:rFonts w:ascii="IRNazanin" w:hAnsi="IRNazanin" w:eastAsia="IRNazanin"/>
          <w:color w:val="111111"/>
          <w:sz w:val="28"/>
          <w:sz w:val="28"/>
          <w:szCs w:val="28"/>
          <w:rtl w:val="true"/>
          <w:lang w:bidi="fa-IR"/>
        </w:rPr>
        <w:t>و فضل بن شاذان قدس سرهما</w:t>
      </w:r>
      <w:r>
        <w:rPr>
          <w:rStyle w:val="FootnoteAnchor"/>
          <w:rtl w:val="true"/>
        </w:rPr>
        <w:footnoteReference w:id="104"/>
      </w:r>
      <w:r>
        <w:rPr>
          <w:rFonts w:ascii="IRNazanin" w:hAnsi="IRNazanin" w:eastAsia="IRNazanin"/>
          <w:color w:val="111111"/>
          <w:sz w:val="28"/>
          <w:sz w:val="28"/>
          <w:szCs w:val="28"/>
          <w:rtl w:val="true"/>
          <w:lang w:bidi="fa-IR"/>
        </w:rPr>
        <w:t>که در خصوص علل احکام شرعی نوشته شده و رساله‌ای که امام رضا علیه السلام در مورد مسائل اسلام و دستورهای دینی، برای مأمون عباسی نوشته‌اند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همچنین بین بزرگان</w:t>
      </w:r>
      <w:bookmarkStart w:id="125" w:name="pg13785_134931"/>
    </w:p>
    <w:p>
      <w:pPr>
        <w:pStyle w:val="BookText"/>
        <w:rPr/>
      </w:pPr>
      <w:bookmarkEnd w:id="125"/>
      <w:r>
        <w:rPr>
          <w:rFonts w:ascii="IRNazanin" w:hAnsi="IRNazanin" w:eastAsia="IRNazanin"/>
          <w:color w:val="111111"/>
          <w:sz w:val="28"/>
          <w:sz w:val="28"/>
          <w:szCs w:val="28"/>
          <w:rtl w:val="true"/>
          <w:lang w:bidi="fa-IR"/>
        </w:rPr>
        <w:t>مشهور است که رسالۀ ذهبیّه تألیف امام رضا علیه السلام است و ایشان این رساله را به درخواست مأمون عباسی در باب طب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عدم امکان اسناد فقه الرضا علیه السلام به امام علیه السلام ثابت نمی‌کند که ایشان و دیگر ائمّۀ معصومین علیهم السلام، کتاب یا تألیف دیگری نداشته‌اند</w:t>
      </w:r>
      <w:r>
        <w:rPr>
          <w:rFonts w:eastAsia="IRNazanin" w:cs="IRNazanin"/>
          <w:color w:val="111111"/>
          <w:sz w:val="28"/>
          <w:szCs w:val="28"/>
          <w:rtl w:val="true"/>
          <w:lang w:bidi="fa-IR"/>
        </w:rPr>
        <w:t>.</w:t>
      </w:r>
    </w:p>
    <w:p>
      <w:pPr>
        <w:pStyle w:val="Heading5"/>
        <w:numPr>
          <w:ilvl w:val="4"/>
          <w:numId w:val="1"/>
        </w:numPr>
        <w:rPr/>
      </w:pPr>
      <w:bookmarkStart w:id="126" w:name="__RefHeading___Toc2530787_1468164448"/>
      <w:bookmarkStart w:id="127" w:name="_Toc49"/>
      <w:bookmarkEnd w:id="126"/>
      <w:r>
        <w:rPr>
          <w:rtl w:val="true"/>
        </w:rPr>
        <w:t>بند دوم</w:t>
      </w:r>
      <w:r>
        <w:rPr>
          <w:rtl w:val="true"/>
        </w:rPr>
        <w:t xml:space="preserve">: </w:t>
      </w:r>
      <w:r>
        <w:rPr>
          <w:rtl w:val="true"/>
        </w:rPr>
        <w:t>بررسی دلالت روایت فقه الرّضا علیه السلام</w:t>
      </w:r>
      <w:bookmarkEnd w:id="127"/>
    </w:p>
    <w:p>
      <w:pPr>
        <w:pStyle w:val="BookText"/>
        <w:rPr/>
      </w:pPr>
      <w:r>
        <w:rPr>
          <w:rFonts w:ascii="IRNazanin" w:hAnsi="IRNazanin" w:eastAsia="IRNazanin"/>
          <w:color w:val="111111"/>
          <w:sz w:val="28"/>
          <w:sz w:val="28"/>
          <w:szCs w:val="28"/>
          <w:rtl w:val="true"/>
          <w:lang w:bidi="fa-IR"/>
        </w:rPr>
        <w:t>در گفتار دوم، باید به این پرسش پاسخ دهیم که با فرض صحّت اسناد کتاب به امام رضا علیه السلام، آیا می‌توان به این روایت، به عنوان ضابطه‌ای در بحث مکاسب محرّمه استناد کرد؟</w:t>
      </w:r>
    </w:p>
    <w:p>
      <w:pPr>
        <w:pStyle w:val="BookText"/>
        <w:rPr/>
      </w:pPr>
      <w:r>
        <w:rPr>
          <w:rFonts w:ascii="IRNazanin" w:hAnsi="IRNazanin" w:eastAsia="IRNazanin"/>
          <w:color w:val="111111"/>
          <w:sz w:val="28"/>
          <w:sz w:val="28"/>
          <w:szCs w:val="28"/>
          <w:rtl w:val="true"/>
          <w:lang w:bidi="fa-IR"/>
        </w:rPr>
        <w:t>محقّق خویی قدس سره معتقد است که حتّی با فرض اعتبار سند روایت فقه الرضا علیه السلام، نمی‌توان به آن استناد کرد و چند اشکال را در همین مورد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استعمال و هرگونه تصرّف در چیزی که دارای فساد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توصیف باید نگه داشتن خون در خانه را حرام دانست، در حالی که هیچ یک از فقها چنین فتوایی نداده‌اند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وارد نیست؛ زیرا در روایت چنین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أمر یکون فیه الفساد ممّا قد نهی عنه لوجه الفساد فهی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کسی از خون در وجه فساد استفاده کند، مرتکب حرام شده است؛ نه این‌که مطلق استعمال خون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روایت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فحرامٌ لأنّه ضارٌّ للجسم وفسادٌ للنفس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چیزی که برای جسم ضرر داشته باشد یا فساد نفس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انسان را از خدا دور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حرام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خویی قدس سره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ملتزم شدن به این ضابطه این است که ارتکاب تمام مباحات را حرام بدانیم؛ زیرا هر مباحی ممکن است در مواردی مضر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این رو التزام به این ضابطه ما را با مشکل رو به رو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نکته نیز ضروری است که ملاک احکام، مصلحت و مفسده است و نمی‌توان ضرر و نفع را ملاک احکام قرار داد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از سوی دیگر، مواردی که در روایت به آنها اشاره شده است، یا اصلاً ضرری برای سلامت انسان ندارند و یا ضرر اندکی بر آنها مترتّب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روایت آمده است که هرگونه استعمال مردار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یکی از استعمالات مردار، دست زدن به آن است و دست زدن به گوسفند مرده، هیچ ضرری برای سلامت انسان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دیگری که در روایت به چشم می‌خورد، بستن مقداری از پوست خوک به دست است که این عمل نیز ضرر جسمی در پی ندارد، در حالی که طبق ضابطۀ موجود در روایت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موارد با ضرر جسمانی همراهند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این اشکال وارد است و محقّق خویی قدس سره به نکتۀ بسیار دقیقی اشاره کرده‌اند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نباید ضرر و نفع را ملاک احکام قرار دهد؛ بلکه ملاک احکام فقط دائر مدار حسن و قبح و مصلحت و مفسده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شخص، شب تا صبح نماز بخواند، هرچند ممکن است این کار متضمّن ضرر باشد، امّا این ضرر نمی‌تواند ملاک حرمت باشد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 للجسم وفسادٌ للنفس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ضابطه ذکر نشده است؛ بلکه ضابطۀ حلّیت و حرمت در ابتدای روایت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 للجسم وفسادٌ للنفس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این ضابطه است، به این معنا که ارتکاب محرّمات غالباً به فساد نفس و ضرر جسمی منتهی می‌شود و این آثار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اصلاً معنا ندارد در کنار یک ضابطه، ضابطه‌ای دیگر ذکر شود و نمی‌توان دو ملاک برای حرمت یا حلّیت در نظر گرفت، مگر آن‌که میان آن دو، قدر جامعی وجود داشته باشد که در این صورت، آن قدر جامع، ملاک حرمت و حلّیت خواهد بود</w:t>
      </w:r>
      <w:r>
        <w:rPr>
          <w:rFonts w:eastAsia="IRNazanin" w:cs="IRNazanin"/>
          <w:color w:val="111111"/>
          <w:sz w:val="28"/>
          <w:szCs w:val="28"/>
          <w:rtl w:val="true"/>
          <w:lang w:bidi="fa-IR"/>
        </w:rPr>
        <w:t>.</w:t>
      </w:r>
      <w:bookmarkStart w:id="128" w:name="pg13785_134933"/>
    </w:p>
    <w:p>
      <w:pPr>
        <w:pStyle w:val="Heading4"/>
        <w:numPr>
          <w:ilvl w:val="3"/>
          <w:numId w:val="1"/>
        </w:numPr>
        <w:rPr/>
      </w:pPr>
      <w:bookmarkStart w:id="129" w:name="__RefHeading___Toc2530789_1468164448"/>
      <w:bookmarkStart w:id="130" w:name="_Toc50"/>
      <w:bookmarkEnd w:id="128"/>
      <w:bookmarkEnd w:id="129"/>
      <w:r>
        <w:rPr>
          <w:rtl w:val="true"/>
        </w:rPr>
        <w:t>گفتار سوم</w:t>
      </w:r>
      <w:r>
        <w:rPr>
          <w:rtl w:val="true"/>
        </w:rPr>
        <w:t xml:space="preserve">: </w:t>
      </w:r>
      <w:r>
        <w:rPr>
          <w:rtl w:val="true"/>
        </w:rPr>
        <w:t>روایت دعائم الاسلام</w:t>
      </w:r>
      <w:bookmarkEnd w:id="130"/>
    </w:p>
    <w:p>
      <w:pPr>
        <w:pStyle w:val="Heading5"/>
        <w:numPr>
          <w:ilvl w:val="4"/>
          <w:numId w:val="1"/>
        </w:numPr>
        <w:rPr/>
      </w:pPr>
      <w:bookmarkStart w:id="131" w:name="__RefHeading___Toc2530791_1468164448"/>
      <w:bookmarkStart w:id="132" w:name="_Toc51"/>
      <w:bookmarkEnd w:id="131"/>
      <w:r>
        <w:rPr>
          <w:rtl w:val="true"/>
        </w:rPr>
        <w:t>اشارة</w:t>
      </w:r>
      <w:bookmarkEnd w:id="132"/>
    </w:p>
    <w:p>
      <w:pPr>
        <w:pStyle w:val="BookText"/>
        <w:rPr/>
      </w:pPr>
      <w:r>
        <w:rPr>
          <w:rFonts w:ascii="IRNazanin" w:hAnsi="IRNazanin" w:eastAsia="IRNazanin"/>
          <w:color w:val="111111"/>
          <w:sz w:val="28"/>
          <w:sz w:val="28"/>
          <w:szCs w:val="28"/>
          <w:rtl w:val="true"/>
          <w:lang w:bidi="fa-IR"/>
        </w:rPr>
        <w:t>شیخ انصاری قدس سره، سومین روایت عام را از کتاب دعائم الاسلام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الْحَلَالُ مِنَ الْبُیُوعِ کُلُّ مَا هُوَ حَلَالٌ مِنَ الْمَأْکُولِ وَالْمَشْرُوبِ وَغَیْرِ ذَلِکَ مِمَّا هُوَ قِوَامٌ لِلنَّاسِ وَصَلَاحٌ وَمُبَاحٌ لَهُمُ الاِنْتِفَاعُ بِهِ وَمَا کَانَ مُحَرَّماً أَصْلُهُ مَنْهِیّاً عَنْهُ لَمْ یَجُزْ بَیْعُهُ وَلَا شِرَاؤُهُ؛</w:t>
      </w:r>
      <w:r>
        <w:rPr>
          <w:rStyle w:val="FootnoteAnchor"/>
          <w:rtl w:val="true"/>
        </w:rPr>
        <w:footnoteReference w:id="108"/>
      </w:r>
      <w:r>
        <w:rPr>
          <w:rFonts w:ascii="IRNazanin" w:hAnsi="IRNazanin" w:eastAsia="IRNazanin"/>
          <w:color w:val="111111"/>
          <w:sz w:val="28"/>
          <w:sz w:val="28"/>
          <w:szCs w:val="28"/>
          <w:rtl w:val="true"/>
          <w:lang w:bidi="fa-IR"/>
        </w:rPr>
        <w:t>خرید و فروش آنچه حلال است، از خوردنی‌ها و آشامیدنی‌ها و هر آنچه زندگی مردم وابسته به آن و بهره‌برداری از آن مباح است، حلال و خرید و فروش چیزی که اصلش حرام و از آن نهی شده است،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می‌تواند در باب معاملات در راه شناخت بیع حلال و بیع حرام، برای فقیه مفید باشد؛ امّا باید توجّه کرد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دعائم الإسلام به احتمال زیاد بر گرفته از روایت تحف العقول است و همان گونه که پیش از این در مورد روایت فقه الرضا علیه السلام بیان شد، فقیه نمی‌تواند این روایت را دلیلی مستقلّ از روایت تحف العقول محسوب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و کتاب دعائم الإسلام باید مورد بررسی قرار گیرد و در صورت صحیح بودن سند، باید دید آیا می‌توان به این روایت استدلال کرد یا خیر؟</w:t>
      </w:r>
    </w:p>
    <w:p>
      <w:pPr>
        <w:pStyle w:val="Heading5"/>
        <w:numPr>
          <w:ilvl w:val="4"/>
          <w:numId w:val="1"/>
        </w:numPr>
        <w:rPr/>
      </w:pPr>
      <w:bookmarkStart w:id="133" w:name="__RefHeading___Toc2530793_1468164448"/>
      <w:bookmarkStart w:id="134" w:name="_Toc52"/>
      <w:bookmarkEnd w:id="133"/>
      <w:r>
        <w:rPr>
          <w:rtl w:val="true"/>
        </w:rPr>
        <w:t>بند اوّل</w:t>
      </w:r>
      <w:r>
        <w:rPr>
          <w:rtl w:val="true"/>
        </w:rPr>
        <w:t xml:space="preserve">: </w:t>
      </w:r>
      <w:r>
        <w:rPr>
          <w:rtl w:val="true"/>
        </w:rPr>
        <w:t>بررسی سند روایت</w:t>
      </w:r>
      <w:bookmarkEnd w:id="134"/>
    </w:p>
    <w:p>
      <w:pPr>
        <w:pStyle w:val="Heading6"/>
        <w:numPr>
          <w:ilvl w:val="5"/>
          <w:numId w:val="1"/>
        </w:numPr>
        <w:rPr/>
      </w:pPr>
      <w:bookmarkStart w:id="135" w:name="__RefHeading___Toc2530795_1468164448"/>
      <w:bookmarkStart w:id="136" w:name="_Toc53"/>
      <w:bookmarkEnd w:id="135"/>
      <w:r>
        <w:rPr>
          <w:rtl w:val="true"/>
        </w:rPr>
        <w:t>اشارة</w:t>
      </w:r>
      <w:bookmarkEnd w:id="136"/>
    </w:p>
    <w:p>
      <w:pPr>
        <w:pStyle w:val="BookText"/>
        <w:rPr/>
      </w:pPr>
      <w:r>
        <w:rPr>
          <w:rFonts w:ascii="IRNazanin" w:hAnsi="IRNazanin" w:eastAsia="IRNazanin"/>
          <w:color w:val="111111"/>
          <w:sz w:val="28"/>
          <w:sz w:val="28"/>
          <w:szCs w:val="28"/>
          <w:rtl w:val="true"/>
          <w:lang w:bidi="fa-IR"/>
        </w:rPr>
        <w:t>به منظور بررسی سند روایت دعائم الإسلام، باید به نکاتی پیرامون این کتاب اشاره کرد</w:t>
      </w:r>
      <w:r>
        <w:rPr>
          <w:rFonts w:eastAsia="IRNazanin" w:cs="IRNazanin"/>
          <w:color w:val="111111"/>
          <w:sz w:val="28"/>
          <w:szCs w:val="28"/>
          <w:rtl w:val="true"/>
          <w:lang w:bidi="fa-IR"/>
        </w:rPr>
        <w:t>.</w:t>
      </w:r>
    </w:p>
    <w:p>
      <w:pPr>
        <w:pStyle w:val="Heading6"/>
        <w:numPr>
          <w:ilvl w:val="5"/>
          <w:numId w:val="1"/>
        </w:numPr>
        <w:rPr/>
      </w:pPr>
      <w:bookmarkStart w:id="137" w:name="__RefHeading___Toc2530797_1468164448"/>
      <w:bookmarkStart w:id="138" w:name="_Toc54"/>
      <w:bookmarkEnd w:id="137"/>
      <w:r>
        <w:rPr>
          <w:rtl w:val="true"/>
        </w:rPr>
        <w:t>الف</w:t>
      </w:r>
      <w:r>
        <w:rPr>
          <w:rtl w:val="true"/>
        </w:rPr>
        <w:t xml:space="preserve">) </w:t>
      </w:r>
      <w:r>
        <w:rPr>
          <w:rtl w:val="true"/>
        </w:rPr>
        <w:t>مؤلّف کتاب</w:t>
      </w:r>
      <w:bookmarkEnd w:id="138"/>
    </w:p>
    <w:p>
      <w:pPr>
        <w:pStyle w:val="BookText"/>
        <w:rPr/>
      </w:pPr>
      <w:r>
        <w:rPr>
          <w:rFonts w:ascii="IRNazanin" w:hAnsi="IRNazanin" w:eastAsia="IRNazanin"/>
          <w:color w:val="111111"/>
          <w:sz w:val="28"/>
          <w:sz w:val="28"/>
          <w:szCs w:val="28"/>
          <w:rtl w:val="true"/>
          <w:lang w:bidi="fa-IR"/>
        </w:rPr>
        <w:t>مؤلّف کتاب دعائم الاسلام، ابو حنیفه نعمان بن محمّد بن منصور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عالم و مسلّط بر فقه و حدیث و یکی از قضات دولت اسماعیلیه در مصر بوده است</w:t>
      </w:r>
      <w:r>
        <w:rPr>
          <w:rFonts w:eastAsia="IRNazanin" w:cs="IRNazanin"/>
          <w:color w:val="111111"/>
          <w:sz w:val="28"/>
          <w:szCs w:val="28"/>
          <w:rtl w:val="true"/>
          <w:lang w:bidi="fa-IR"/>
        </w:rPr>
        <w:t>.</w:t>
      </w:r>
      <w:r>
        <w:rPr>
          <w:rStyle w:val="FootnoteAnchor"/>
          <w:rtl w:val="true"/>
        </w:rPr>
        <w:footnoteReference w:id="109"/>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این شخص توجّه به سه نکته ضروری است</w:t>
      </w:r>
      <w:r>
        <w:rPr>
          <w:rFonts w:eastAsia="IRNazanin" w:cs="IRNazanin"/>
          <w:color w:val="111111"/>
          <w:sz w:val="28"/>
          <w:szCs w:val="28"/>
          <w:rtl w:val="true"/>
          <w:lang w:bidi="fa-IR"/>
        </w:rPr>
        <w:t>:</w:t>
      </w:r>
      <w:bookmarkStart w:id="139" w:name="pg13785_134934"/>
    </w:p>
    <w:p>
      <w:pPr>
        <w:pStyle w:val="BookText"/>
        <w:rPr/>
      </w:pPr>
      <w:bookmarkEnd w:id="139"/>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نقل بر از موّرخان، او زمانی مالکی مذهب بوده و سپس مستبصر شده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برخی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 شده است؛ چراکه او در کتابش از ائمّۀ بعد از امام صادق علیه السلام روایتی نقل نمی‌کند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برخی نیز اعتقاد دارند او شیعۀ دوازده امامی شده است؛</w:t>
      </w:r>
      <w:r>
        <w:rPr>
          <w:rStyle w:val="FootnoteAnchor"/>
          <w:rtl w:val="true"/>
        </w:rPr>
        <w:footnoteReference w:id="111"/>
      </w:r>
      <w:r>
        <w:rPr>
          <w:rFonts w:ascii="IRNazanin" w:hAnsi="IRNazanin" w:eastAsia="IRNazanin"/>
          <w:color w:val="111111"/>
          <w:sz w:val="28"/>
          <w:sz w:val="28"/>
          <w:szCs w:val="28"/>
          <w:rtl w:val="true"/>
          <w:lang w:bidi="fa-IR"/>
        </w:rPr>
        <w:t>امّا با توّجه به قرائن موجود، بویژه اشکالاتی که نسبت به کتاب دعائم الإسلام مطرح است، نمی‌توان این مطلب را ثابت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علمای رجال به وثاقت قاضی نعمان، تصریح نکرده‌اند و اگر فقیهی در بحث حجّیت خبر واحد، توثیق راوی را شرط بداند، نمی‌تواند به روایات این کتاب عمل کند؛ زیرا با وجود مقام والای علمی قاضی نعمان، وی نه توثیق خاص شده است و نه توثیق عام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شواهدی که مرحوم نوری قدس سره</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آورده نیز اطمینان‌آور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فقط در صورتی که در باب حجّیت خبر واحد، صرف عدم قدح راوی را کافی بدانیم، روایات این کتاب، حجّیت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خلّکان در بحث معرّفی کتاب‌های قاضی نعمان، اشاره‌ای به کتاب دعائم الاسلام نکرده است؛ بلکه فقط سه کتاب الإقتصار فی الفقه، الأخبار و اختلاف اصول المذاهب را به عنوان تألیفات قاضی نعمان ذکر می‌کند،</w:t>
      </w:r>
      <w:r>
        <w:rPr>
          <w:rStyle w:val="FootnoteAnchor"/>
          <w:rtl w:val="true"/>
        </w:rPr>
        <w:footnoteReference w:id="113"/>
      </w:r>
      <w:r>
        <w:rPr>
          <w:rFonts w:ascii="IRNazanin" w:hAnsi="IRNazanin" w:eastAsia="IRNazanin"/>
          <w:color w:val="111111"/>
          <w:sz w:val="28"/>
          <w:sz w:val="28"/>
          <w:szCs w:val="28"/>
          <w:rtl w:val="true"/>
          <w:lang w:bidi="fa-IR"/>
        </w:rPr>
        <w:t>هرچند ممکن است کتاب دعائم الاسلام همان کتاب الأخبار باشد</w:t>
      </w:r>
      <w:r>
        <w:rPr>
          <w:rFonts w:eastAsia="IRNazanin" w:cs="IRNazanin"/>
          <w:color w:val="111111"/>
          <w:sz w:val="28"/>
          <w:szCs w:val="28"/>
          <w:rtl w:val="true"/>
          <w:lang w:bidi="fa-IR"/>
        </w:rPr>
        <w:t>.</w:t>
      </w:r>
    </w:p>
    <w:p>
      <w:pPr>
        <w:pStyle w:val="Heading6"/>
        <w:numPr>
          <w:ilvl w:val="5"/>
          <w:numId w:val="1"/>
        </w:numPr>
        <w:rPr/>
      </w:pPr>
      <w:bookmarkStart w:id="140" w:name="__RefHeading___Toc2530799_1468164448"/>
      <w:bookmarkStart w:id="141" w:name="_Toc55"/>
      <w:bookmarkEnd w:id="140"/>
      <w:r>
        <w:rPr>
          <w:rtl w:val="true"/>
        </w:rPr>
        <w:t>ب</w:t>
      </w:r>
      <w:r>
        <w:rPr>
          <w:rtl w:val="true"/>
        </w:rPr>
        <w:t xml:space="preserve">) </w:t>
      </w:r>
      <w:r>
        <w:rPr>
          <w:rtl w:val="true"/>
        </w:rPr>
        <w:t>ارسال روایات کتاب</w:t>
      </w:r>
      <w:bookmarkEnd w:id="141"/>
    </w:p>
    <w:p>
      <w:pPr>
        <w:pStyle w:val="BookText"/>
        <w:rPr/>
      </w:pPr>
      <w:r>
        <w:rPr>
          <w:rFonts w:ascii="IRNazanin" w:hAnsi="IRNazanin" w:eastAsia="IRNazanin"/>
          <w:color w:val="111111"/>
          <w:sz w:val="28"/>
          <w:sz w:val="28"/>
          <w:szCs w:val="28"/>
          <w:rtl w:val="true"/>
          <w:lang w:bidi="fa-IR"/>
        </w:rPr>
        <w:t>با فرض امامی و ثقه بودن قاضی نعمان، مشکل دیگر کتاب دعائم الاسلام، مرسل بودن تمام روایات موجود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نعمان در ابتدای کتاب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نقتصر فیه إلی الثابت الصحیح ما رویناه إلی الأئمّة من أهل بیت رسول اللّه صلی الله علیه و آله؛</w:t>
      </w:r>
      <w:r>
        <w:rPr>
          <w:rStyle w:val="FootnoteAnchor"/>
          <w:rtl w:val="true"/>
        </w:rPr>
        <w:footnoteReference w:id="114"/>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سندها را ذکر نکردیم، امّا تنها روایات صحیح ائمّه علیهم السلام را بیان کرده‌ایم</w:t>
      </w:r>
      <w:r>
        <w:rPr>
          <w:rFonts w:eastAsia="IRNazanin" w:cs="IRNazanin"/>
          <w:color w:val="111111"/>
          <w:sz w:val="28"/>
          <w:szCs w:val="28"/>
          <w:rtl w:val="true"/>
          <w:lang w:bidi="fa-IR"/>
        </w:rPr>
        <w:t>.</w:t>
      </w:r>
      <w:bookmarkStart w:id="142" w:name="pg13785_134935"/>
    </w:p>
    <w:p>
      <w:pPr>
        <w:pStyle w:val="BookText"/>
        <w:rPr/>
      </w:pPr>
      <w:bookmarkEnd w:id="142"/>
      <w:r>
        <w:rPr>
          <w:rFonts w:ascii="IRNazanin" w:hAnsi="IRNazanin" w:eastAsia="IRNazanin"/>
          <w:color w:val="111111"/>
          <w:sz w:val="28"/>
          <w:sz w:val="28"/>
          <w:szCs w:val="28"/>
          <w:rtl w:val="true"/>
          <w:lang w:bidi="fa-IR"/>
        </w:rPr>
        <w:t>امّا این تعبیر کافی نیست؛ زیرا ممکن است قرینه‌ای در روایت موجود بوده که قاضی نعمان با توجّه به آن قرائن، روایت را صحیح بداند، ولی این قرائن در صورت وصول برای ما اطمینان‌آور نباشد</w:t>
      </w:r>
      <w:r>
        <w:rPr>
          <w:rFonts w:eastAsia="IRNazanin" w:cs="IRNazanin"/>
          <w:color w:val="111111"/>
          <w:sz w:val="28"/>
          <w:szCs w:val="28"/>
          <w:rtl w:val="true"/>
          <w:lang w:bidi="fa-IR"/>
        </w:rPr>
        <w:t>.</w:t>
      </w:r>
    </w:p>
    <w:p>
      <w:pPr>
        <w:pStyle w:val="Heading6"/>
        <w:numPr>
          <w:ilvl w:val="5"/>
          <w:numId w:val="1"/>
        </w:numPr>
        <w:rPr/>
      </w:pPr>
      <w:bookmarkStart w:id="143" w:name="__RefHeading___Toc2530801_1468164448"/>
      <w:bookmarkStart w:id="144" w:name="_Toc56"/>
      <w:bookmarkEnd w:id="143"/>
      <w:r>
        <w:rPr>
          <w:rtl w:val="true"/>
        </w:rPr>
        <w:t>ج</w:t>
      </w:r>
      <w:r>
        <w:rPr>
          <w:rtl w:val="true"/>
        </w:rPr>
        <w:t xml:space="preserve">) </w:t>
      </w:r>
      <w:r>
        <w:rPr>
          <w:rtl w:val="true"/>
        </w:rPr>
        <w:t>فروع مخالف مذهب امامیّه در کتاب</w:t>
      </w:r>
      <w:bookmarkEnd w:id="144"/>
    </w:p>
    <w:p>
      <w:pPr>
        <w:pStyle w:val="BookText"/>
        <w:rPr/>
      </w:pPr>
      <w:r>
        <w:rPr>
          <w:rFonts w:ascii="IRNazanin" w:hAnsi="IRNazanin" w:eastAsia="IRNazanin"/>
          <w:color w:val="111111"/>
          <w:sz w:val="28"/>
          <w:sz w:val="28"/>
          <w:szCs w:val="28"/>
          <w:rtl w:val="true"/>
          <w:lang w:bidi="fa-IR"/>
        </w:rPr>
        <w:t>افزون بر اشکالاتی که پیش از این در مورد کتاب دعائم الاسلام و مؤلّف آن، ذکر شد، این کتاب مشتمل بر فروع متعدّدی است که خلاف مذهب امامیّه‌اند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فروع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کتاب، مشروعیت عقد موقّت انکار 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حالی که مشروعیت عقد موقّت از مسلّمات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قاضی نعمان در دو جا از عقد موقّت سخن به میان می‌آورد و فی الجمله آن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یک سو، داشتن همسر موقّت را موجب احصان نمی‌داند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با داشتن متعه زنا می‌کند، مرتکب زنای محصنه نشده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جای دیگر اظهار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موقّت، محلِّل محسوب نمی‌شود و زنی که سه بار طلاق داده شده، به واسطۀ عقد موقّت بر شوهر قبلی خود حلال نمی‌گردد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بیان شد، این پرسش مطرح می‌شود که اگر ایشان عقد موقّت را قبول ندارد، چرا در جای دیگر آن را مطرح می‌کند؟</w:t>
      </w:r>
      <w:bookmarkStart w:id="145" w:name="pg13785_134936"/>
    </w:p>
    <w:p>
      <w:pPr>
        <w:pStyle w:val="BookText"/>
        <w:rPr/>
      </w:pPr>
      <w:bookmarkEnd w:id="14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نعمان در کتاب دعائم الاسلام، مذی و وذی را ناقض وضو دانسته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حالی که اینها ناقض وضو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نعمان فتوا داده است که سجده بر لباس پشمی،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یجوز لبسه والصلاة فیه، یجوز السجود علیه؛</w:t>
      </w:r>
      <w:r>
        <w:rPr>
          <w:rStyle w:val="FootnoteAnchor"/>
          <w:rtl w:val="true"/>
        </w:rPr>
        <w:footnoteReference w:id="115"/>
      </w:r>
      <w:r>
        <w:rPr>
          <w:rFonts w:ascii="IRNazanin" w:hAnsi="IRNazanin" w:eastAsia="IRNazanin"/>
          <w:color w:val="111111"/>
          <w:sz w:val="28"/>
          <w:sz w:val="28"/>
          <w:szCs w:val="28"/>
          <w:rtl w:val="true"/>
          <w:lang w:bidi="fa-IR"/>
        </w:rPr>
        <w:t>هر چیزی که پوشیدن آن جایز باشد وبتوان با آن نماز خواند، سجده بر آن نیز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فتوا نیز مخالف مذهب امامیّه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کتاب آمده است که اگر شخص، از روی جهل یا نسیان پس از شستن صورت، ابتدا دست چپ را بشوید، وضو و نماز او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وجود این موارد مخالف مذهب امامیّه در کتاب دعائم الاسلام، موجب شده است که از اعتماد بزرگان نسبت به آن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شیخ حرّ عاملی در وسائل الشیعة روایتی را از کتاب دعائم الاسلام نقل نکرده است</w:t>
      </w:r>
      <w:r>
        <w:rPr>
          <w:rFonts w:eastAsia="IRNazanin" w:cs="IRNazanin"/>
          <w:color w:val="111111"/>
          <w:sz w:val="28"/>
          <w:szCs w:val="28"/>
          <w:rtl w:val="true"/>
          <w:lang w:bidi="fa-IR"/>
        </w:rPr>
        <w:t>.</w:t>
      </w:r>
    </w:p>
    <w:p>
      <w:pPr>
        <w:pStyle w:val="Heading5"/>
        <w:numPr>
          <w:ilvl w:val="4"/>
          <w:numId w:val="1"/>
        </w:numPr>
        <w:rPr/>
      </w:pPr>
      <w:bookmarkStart w:id="146" w:name="__RefHeading___Toc2530803_1468164448"/>
      <w:bookmarkStart w:id="147" w:name="_Toc57"/>
      <w:bookmarkEnd w:id="146"/>
      <w:r>
        <w:rPr>
          <w:rtl w:val="true"/>
        </w:rPr>
        <w:t>بند دوم</w:t>
      </w:r>
      <w:r>
        <w:rPr>
          <w:rtl w:val="true"/>
        </w:rPr>
        <w:t xml:space="preserve">: </w:t>
      </w:r>
      <w:r>
        <w:rPr>
          <w:rtl w:val="true"/>
        </w:rPr>
        <w:t>بررسی دلالت روایت</w:t>
      </w:r>
      <w:bookmarkEnd w:id="147"/>
    </w:p>
    <w:p>
      <w:pPr>
        <w:pStyle w:val="BookText"/>
        <w:rPr/>
      </w:pPr>
      <w:r>
        <w:rPr>
          <w:rFonts w:ascii="IRNazanin" w:hAnsi="IRNazanin" w:eastAsia="IRNazanin"/>
          <w:color w:val="111111"/>
          <w:sz w:val="28"/>
          <w:sz w:val="28"/>
          <w:szCs w:val="28"/>
          <w:rtl w:val="true"/>
          <w:lang w:bidi="fa-IR"/>
        </w:rPr>
        <w:t>اگر از همۀ اشکالات وارد بر کتاب دعائم الاسلام چشم پوشی کنیم، آیا می‌توان به روایت یاد شده، استدلال کرد؟ به عبارت دیگر، آیا این روایت از نظر دلالت، مدّعای شیخ انصاری قدس سره را ثابت می‌کند؟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خویی قدس سره معتقد است که این روایت، قابلیت استدلال ندارد؛ زیرا از روایت</w:t>
      </w:r>
    </w:p>
    <w:p>
      <w:pPr>
        <w:pStyle w:val="BookText"/>
        <w:rPr/>
      </w:pPr>
      <w:r>
        <w:rPr>
          <w:rFonts w:ascii="IRNazanin" w:hAnsi="IRNazanin" w:eastAsia="IRNazanin"/>
          <w:color w:val="111111"/>
          <w:sz w:val="28"/>
          <w:sz w:val="28"/>
          <w:szCs w:val="28"/>
          <w:rtl w:val="true"/>
          <w:lang w:bidi="fa-IR"/>
        </w:rPr>
        <w:t>استفاده می‌شود که فروختن چیزی که حتّی از یک جهت، متعلّق حرمت قرار گرفته، حرام است، در حالی که بسیاری از اشیا از یک جهت حرام بوده و از جهات دیگر دارای منافعی محلّل هستند و می‌توان آنها را خرید و فروش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چه بسا خوردن چیزی حرام باشد، امّا همین شیء منافع حلال دیگری داشته و بتوان از آن در امور دیگری استفاده نمود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لیکن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محقّق خویی قدس سره پذیرفتنی نیست؛ زیرا با دقّت و تأمّل در روایت دانسته می‌شود که فروختن یک شیء، فقط هنگامی حرام است که جهت معامله نیز نامشروع باشد؛ یعنی معامله در همان جهت حرام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معاملۀ خون به قصد خوردن آن، حرام است، ولی خرید و فروش آن در جهات دیگر مانعی ندارد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محرّماً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حرام بودن یکی از وجوه یک شیء، موجب فساد محض آن می‌شود و باقی منافع آن را نیز حرام می‌کند، سخن محقّق خویی قدس سره صحیح خواهد بود؛ امّا قرینۀ روشنی وجود دارد که نشان می‌دهد معنای عبارت این است که چیزی به عنوان خودش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هنگامی که 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این شیء حرام است، یعنی فروختن آن در جهت فسادش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دو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به معنای تمام و کمال باشد؛ یعنی چیزی که فقط فساد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فرمایش محقّق خویی قدس سره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به معنای چیزی باشد که به عنوان خودش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چنانچه بیع آن در همان جهت عنوان باشد حرام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قرینۀ مناسبت حکم و موضوع همین احتمال دوم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این بیان، اشکال محقّق خویی قدس سره رفع می‌شود</w:t>
      </w:r>
      <w:r>
        <w:rPr>
          <w:rFonts w:eastAsia="IRNazanin" w:cs="IRNazanin"/>
          <w:color w:val="111111"/>
          <w:sz w:val="28"/>
          <w:szCs w:val="28"/>
          <w:rtl w:val="true"/>
          <w:lang w:bidi="fa-IR"/>
        </w:rPr>
        <w:t>.</w:t>
      </w:r>
      <w:bookmarkStart w:id="148" w:name="pg13785_134938"/>
    </w:p>
    <w:p>
      <w:pPr>
        <w:pStyle w:val="Heading5"/>
        <w:numPr>
          <w:ilvl w:val="4"/>
          <w:numId w:val="1"/>
        </w:numPr>
        <w:rPr/>
      </w:pPr>
      <w:bookmarkStart w:id="149" w:name="__RefHeading___Toc2530805_1468164448"/>
      <w:bookmarkStart w:id="150" w:name="_Toc58"/>
      <w:bookmarkEnd w:id="148"/>
      <w:bookmarkEnd w:id="149"/>
      <w:r>
        <w:rPr>
          <w:rtl w:val="true"/>
        </w:rPr>
        <w:t>بند سوم</w:t>
      </w:r>
      <w:r>
        <w:rPr>
          <w:rtl w:val="true"/>
        </w:rPr>
        <w:t xml:space="preserve">: </w:t>
      </w:r>
      <w:r>
        <w:rPr>
          <w:rtl w:val="true"/>
        </w:rPr>
        <w:t>دیدگاه برگزیده</w:t>
      </w:r>
      <w:bookmarkEnd w:id="150"/>
    </w:p>
    <w:p>
      <w:pPr>
        <w:pStyle w:val="BookText"/>
        <w:rPr/>
      </w:pPr>
      <w:r>
        <w:rPr>
          <w:rFonts w:ascii="IRNazanin" w:hAnsi="IRNazanin" w:eastAsia="IRNazanin"/>
          <w:color w:val="111111"/>
          <w:sz w:val="28"/>
          <w:sz w:val="28"/>
          <w:szCs w:val="28"/>
          <w:rtl w:val="true"/>
          <w:lang w:bidi="fa-IR"/>
        </w:rPr>
        <w:t>هرچند این روایت بر مدّعای شیخ انصاری قدس سره دلالت می‌کند و بیانگر ضابطه‌ای برای بیع است، ولی اشکالات سندی آن قابل حلّ نیست؛ زیرا همان گونه که بیان شد، دلیل روشنی بر توثیق و امامی بودن قاضی نعمان، وجود ندارد و روایت نیز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کتاب دعائم الإسلام نیز مشتمل بر فروع مخالف مذهب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روایات این کتاب قابل اعتماد نیست و از مطالب این کتاب، تنها می‌توان برای تأیید استفاده نمود</w:t>
      </w:r>
      <w:r>
        <w:rPr>
          <w:rFonts w:eastAsia="IRNazanin" w:cs="IRNazanin"/>
          <w:color w:val="111111"/>
          <w:sz w:val="28"/>
          <w:szCs w:val="28"/>
          <w:rtl w:val="true"/>
          <w:lang w:bidi="fa-IR"/>
        </w:rPr>
        <w:t>.</w:t>
      </w:r>
    </w:p>
    <w:p>
      <w:pPr>
        <w:pStyle w:val="Heading4"/>
        <w:numPr>
          <w:ilvl w:val="3"/>
          <w:numId w:val="1"/>
        </w:numPr>
        <w:rPr/>
      </w:pPr>
      <w:bookmarkStart w:id="151" w:name="__RefHeading___Toc2530807_1468164448"/>
      <w:bookmarkStart w:id="152" w:name="_Toc59"/>
      <w:bookmarkEnd w:id="151"/>
      <w:r>
        <w:rPr>
          <w:rtl w:val="true"/>
        </w:rPr>
        <w:t>گفتار چهارم</w:t>
      </w:r>
      <w:r>
        <w:rPr>
          <w:rtl w:val="true"/>
        </w:rPr>
        <w:t xml:space="preserve">: </w:t>
      </w:r>
      <w:r>
        <w:rPr>
          <w:rtl w:val="true"/>
        </w:rPr>
        <w:t>روایت عوالی اللئالی</w:t>
      </w:r>
      <w:bookmarkEnd w:id="152"/>
    </w:p>
    <w:p>
      <w:pPr>
        <w:pStyle w:val="Heading5"/>
        <w:numPr>
          <w:ilvl w:val="4"/>
          <w:numId w:val="1"/>
        </w:numPr>
        <w:rPr/>
      </w:pPr>
      <w:bookmarkStart w:id="153" w:name="__RefHeading___Toc2530809_1468164448"/>
      <w:bookmarkStart w:id="154" w:name="_Toc60"/>
      <w:bookmarkEnd w:id="153"/>
      <w:r>
        <w:rPr>
          <w:rtl w:val="true"/>
        </w:rPr>
        <w:t>اشارة</w:t>
      </w:r>
      <w:bookmarkEnd w:id="154"/>
    </w:p>
    <w:p>
      <w:pPr>
        <w:pStyle w:val="BookText"/>
        <w:rPr/>
      </w:pPr>
      <w:r>
        <w:rPr>
          <w:rFonts w:ascii="IRNazanin" w:hAnsi="IRNazanin" w:eastAsia="IRNazanin"/>
          <w:color w:val="111111"/>
          <w:sz w:val="28"/>
          <w:sz w:val="28"/>
          <w:szCs w:val="28"/>
          <w:rtl w:val="true"/>
          <w:lang w:bidi="fa-IR"/>
        </w:rPr>
        <w:t>شیخ انصاری قدس سره نبوی مشهور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حَرَّمَ شَیْئاً حَرَّمَ ثَمَنَهُ</w:t>
      </w:r>
      <w:r>
        <w:rPr>
          <w:rFonts w:eastAsia="Amiri" w:cs="Amiri" w:ascii="Amiri" w:hAnsi="Amiri"/>
          <w:color w:val="111111"/>
          <w:sz w:val="28"/>
          <w:szCs w:val="28"/>
          <w:rtl w:val="true"/>
          <w:lang w:bidi="ar-SA"/>
        </w:rPr>
        <w:t>»</w:t>
      </w:r>
      <w:r>
        <w:rPr>
          <w:rStyle w:val="FootnoteAnchor"/>
          <w:rtl w:val="true"/>
        </w:rPr>
        <w:footnoteReference w:id="117"/>
      </w:r>
      <w:r>
        <w:rPr>
          <w:rFonts w:ascii="IRNazanin" w:hAnsi="IRNazanin" w:eastAsia="IRNazanin"/>
          <w:color w:val="111111"/>
          <w:sz w:val="28"/>
          <w:sz w:val="28"/>
          <w:szCs w:val="28"/>
          <w:rtl w:val="true"/>
          <w:lang w:bidi="fa-IR"/>
        </w:rPr>
        <w:t>را به عنوان چهارمین روایت عام، در ابتدای کتاب المکاسب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باطل و حرام شمردن معاملۀ شیء حرام، ملاک و ضابطۀ مهمّی را در بحث معاملات ارائه می‌کند</w:t>
      </w:r>
      <w:r>
        <w:rPr>
          <w:rFonts w:eastAsia="IRNazanin" w:cs="IRNazanin"/>
          <w:color w:val="111111"/>
          <w:sz w:val="28"/>
          <w:szCs w:val="28"/>
          <w:rtl w:val="true"/>
          <w:lang w:bidi="fa-IR"/>
        </w:rPr>
        <w:t>.</w:t>
      </w:r>
    </w:p>
    <w:p>
      <w:pPr>
        <w:pStyle w:val="Heading5"/>
        <w:numPr>
          <w:ilvl w:val="4"/>
          <w:numId w:val="1"/>
        </w:numPr>
        <w:rPr/>
      </w:pPr>
      <w:bookmarkStart w:id="155" w:name="__RefHeading___Toc2530811_1468164448"/>
      <w:bookmarkStart w:id="156" w:name="_Toc61"/>
      <w:bookmarkEnd w:id="155"/>
      <w:r>
        <w:rPr>
          <w:rtl w:val="true"/>
        </w:rPr>
        <w:t>بند اوّل</w:t>
      </w:r>
      <w:r>
        <w:rPr>
          <w:rtl w:val="true"/>
        </w:rPr>
        <w:t xml:space="preserve">: </w:t>
      </w:r>
      <w:r>
        <w:rPr>
          <w:rtl w:val="true"/>
        </w:rPr>
        <w:t>بررسی سند روایت</w:t>
      </w:r>
      <w:bookmarkEnd w:id="15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کتاب روایی شیعه که این روایت را نقل کرده، کتاب عوالی اللئالی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در هیچ یک از کتب اربعه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عدم ذکر یک روایت در کتب اربعه مساوی با عدم حجیّت آن نیست؛ زیرا پیش از کتب اربعه، اصول اربعمأة وجود داشته و چنین نیست که تمام اصول چهار صدگانه در کتب اربعه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نبودن یک روایت در کتب اربعه، ضرری به آن روایت وارد نمی‌کند؛ امّا از آن‌جا که روایات کتاب عوالی اللئالی مرسل است، بیشتر فقها به این کتاب و روایات آن اعتنا نمی‌کنند، هرچند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جمهور احسائی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انسانی موثّق و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شخصی است که بر منقول و معقول احاطه داشته و دارای تصانیف و مناظراتی در مباحث اعتقادی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نویسندۀ کتاب عوالی اللئالی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 جماعتی از اهل رجال، فردی موثّق و معتبر شمرده می‌شود </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در ابتدای کتاب، هفت طریق را برای نقل روایت از مشایخ خود بیان می‌کند</w:t>
      </w:r>
      <w:r>
        <w:rPr>
          <w:rStyle w:val="FootnoteAnchor"/>
          <w:rtl w:val="true"/>
        </w:rPr>
        <w:footnoteReference w:id="119"/>
      </w:r>
      <w:r>
        <w:rPr>
          <w:rFonts w:ascii="IRNazanin" w:hAnsi="IRNazanin" w:eastAsia="IRNazanin"/>
          <w:color w:val="111111"/>
          <w:sz w:val="28"/>
          <w:sz w:val="28"/>
          <w:szCs w:val="28"/>
          <w:rtl w:val="true"/>
          <w:lang w:bidi="fa-IR"/>
        </w:rPr>
        <w:t>که دو طریق از آنها به علاّمۀ حلّی، شیخ طوسی قدس سرهما و سپس ائمّۀ معصومین علیهم السلام ختم می‌شود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مؤلّف، همۀ طُرُق خود به مشایخ روایی را در مقدّمۀ کتاب آورده است و در ادامه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فبهذه الطرق وبما اشتملت علیه من الأسانید المتّصلة المعنعنة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أروی جمیع ما أرویه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فجمیع ما أنا ذاکره فی هذا الکتاب من الأحادیث النبویّة والامامیّة، طریقی فی روایتها واسنادها وتصحیحها، هذه الطرق المذکورة عن هؤلاء المشایخ المشهورین، بالعلم والفضل والعدالة؛</w:t>
      </w:r>
      <w:r>
        <w:rPr>
          <w:rStyle w:val="FootnoteAnchor"/>
          <w:rtl w:val="true"/>
        </w:rPr>
        <w:footnoteReference w:id="121"/>
      </w:r>
      <w:r>
        <w:rPr>
          <w:rFonts w:ascii="IRNazanin" w:hAnsi="IRNazanin" w:eastAsia="IRNazanin"/>
          <w:color w:val="111111"/>
          <w:sz w:val="28"/>
          <w:sz w:val="28"/>
          <w:szCs w:val="28"/>
          <w:rtl w:val="true"/>
          <w:lang w:bidi="fa-IR"/>
        </w:rPr>
        <w:t>به‌وسیلۀ این طرق و آنچه این اسانید بر آن مشتمل است، روایت می‌کنم همۀ احادیث پیامبر اکرم صلی الله علیه و آله و ائمّه اطهار علیهم السلام را که در این کتاب ذکر کرده‌ام و همۀ این روایات را از بزرگانی نقل می‌کنم که مشهور به علم و فضل و عدالت‌اند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سخن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نیز همچون کامل الزیارات و تفسیر علی بن ابراهیم قدس سره، از توثیق عام برخوردار است؛ لیکن با این حال، حتّی فقهایی که توثیقات عام را معتبر می‌دانند نیز به این کتاب توجّهی نکرده‌اند و علّت آن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احتمال داده‌اند که علّت عدم توجّه به کتاب عوالی اللئالی، ورود صاحب کتاب به مباحث فلسفی بوده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دیگری که در مورد کتاب عوالی اللئالی باید به آن اشاره شود، روایات مسلّمی است که تنها در این کتاب وارد شده و فقیه نمی‌تواند نسبت به آن روایات، بی‌تفاوت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عبارت‌اند از</w:t>
      </w:r>
      <w:r>
        <w:rPr>
          <w:rFonts w:eastAsia="IRNazanin" w:cs="IRNazanin"/>
          <w:color w:val="111111"/>
          <w:sz w:val="28"/>
          <w:szCs w:val="28"/>
          <w:rtl w:val="true"/>
          <w:lang w:bidi="fa-IR"/>
        </w:rPr>
        <w:t>:</w:t>
      </w:r>
      <w:bookmarkStart w:id="157" w:name="pg13785_134940"/>
    </w:p>
    <w:p>
      <w:pPr>
        <w:pStyle w:val="BookText"/>
        <w:rPr/>
      </w:pPr>
      <w:bookmarkEnd w:id="15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که مستند قاعدۀ سلطنت است و تنها در کتاب عوالی اللئالی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تؤدّیه</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که مبنای قاعدۀ ید است و فقها از این قاعده، احکام فراوانی را برداشت می‌کنند نیز در هیچ یک از کتب روایی شیعه غیر از عوالی اللئالی نقل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سعة ما لم یعلموا</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که شیخ انصاری قدس سره در بحث برائت از آن استفاده می‌کند، در این کتاب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کما رأیتمونی اصلّی</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نیز تنها در این کتاب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مبنای قاعدۀ میسور یعنی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 المیسور بالمعسور</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نیز تنها در این کتاب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این کتاب در بردارندۀ روایات بسیار مهمّی است که نمی‌توان آنها را نادیده گرفت و از سوی دیگر، از توثیق عام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فقهای متأخّر، توجّه بیشتری نسبت به این کتاب و روایات آن نموده‌اند</w:t>
      </w:r>
      <w:r>
        <w:rPr>
          <w:rFonts w:eastAsia="IRNazanin" w:cs="IRNazanin"/>
          <w:color w:val="111111"/>
          <w:sz w:val="28"/>
          <w:szCs w:val="28"/>
          <w:rtl w:val="true"/>
          <w:lang w:bidi="fa-IR"/>
        </w:rPr>
        <w:t>.</w:t>
      </w:r>
    </w:p>
    <w:p>
      <w:pPr>
        <w:pStyle w:val="Heading5"/>
        <w:numPr>
          <w:ilvl w:val="4"/>
          <w:numId w:val="1"/>
        </w:numPr>
        <w:rPr/>
      </w:pPr>
      <w:bookmarkStart w:id="158" w:name="__RefHeading___Toc2530813_1468164448"/>
      <w:bookmarkStart w:id="159" w:name="_Toc62"/>
      <w:bookmarkEnd w:id="158"/>
      <w:r>
        <w:rPr>
          <w:rtl w:val="true"/>
        </w:rPr>
        <w:t>بند دوم</w:t>
      </w:r>
      <w:r>
        <w:rPr>
          <w:rtl w:val="true"/>
        </w:rPr>
        <w:t xml:space="preserve">: </w:t>
      </w:r>
      <w:r>
        <w:rPr>
          <w:rtl w:val="true"/>
        </w:rPr>
        <w:t xml:space="preserve">اطلاق روایت و عدم وجود کلمۀ </w:t>
      </w:r>
      <w:r>
        <w:rPr>
          <w:rtl w:val="true"/>
        </w:rPr>
        <w:t>«</w:t>
      </w:r>
      <w:r>
        <w:rPr>
          <w:rtl w:val="true"/>
        </w:rPr>
        <w:t>أکل</w:t>
      </w:r>
      <w:r>
        <w:rPr>
          <w:rtl w:val="true"/>
        </w:rPr>
        <w:t xml:space="preserve">» </w:t>
      </w:r>
      <w:r>
        <w:rPr>
          <w:rtl w:val="true"/>
        </w:rPr>
        <w:t>در آن</w:t>
      </w:r>
      <w:bookmarkEnd w:id="159"/>
    </w:p>
    <w:p>
      <w:pPr>
        <w:pStyle w:val="Heading6"/>
        <w:numPr>
          <w:ilvl w:val="5"/>
          <w:numId w:val="1"/>
        </w:numPr>
        <w:rPr/>
      </w:pPr>
      <w:bookmarkStart w:id="160" w:name="__RefHeading___Toc2530815_1468164448"/>
      <w:bookmarkStart w:id="161" w:name="_Toc63"/>
      <w:bookmarkEnd w:id="160"/>
      <w:r>
        <w:rPr>
          <w:rtl w:val="true"/>
        </w:rPr>
        <w:t>اشارة</w:t>
      </w:r>
      <w:bookmarkEnd w:id="161"/>
    </w:p>
    <w:p>
      <w:pPr>
        <w:pStyle w:val="BookText"/>
        <w:rPr/>
      </w:pPr>
      <w:r>
        <w:rPr>
          <w:rFonts w:ascii="IRNazanin" w:hAnsi="IRNazanin" w:eastAsia="IRNazanin"/>
          <w:color w:val="111111"/>
          <w:sz w:val="28"/>
          <w:sz w:val="28"/>
          <w:szCs w:val="28"/>
          <w:rtl w:val="true"/>
          <w:lang w:bidi="fa-IR"/>
        </w:rPr>
        <w:t xml:space="preserve">این روایت در کتاب عوالی اللئالی به صورت مطلق و بدون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وارد شده است؛ امّا در برخی از کتب اهل سنّت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متن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مسند احمد بن حنبل از ابن عباس چنین نقل شده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رسول اللّه فی المسجد مستقبلاً الحجر فنظر إلی السّماء فضحک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الیهود، حرّمت علیهم الشّحوم فباعوها وأکل أثمانها إنّ اللّه عزّوجلّ إذا حرّم إلی قوم</w:t>
      </w:r>
      <w:bookmarkStart w:id="162" w:name="pg13785_134941"/>
    </w:p>
    <w:p>
      <w:pPr>
        <w:pStyle w:val="BookText"/>
        <w:rPr/>
      </w:pPr>
      <w:bookmarkEnd w:id="162"/>
      <w:r>
        <w:rPr>
          <w:rFonts w:ascii="IRNazanin" w:hAnsi="IRNazanin" w:eastAsia="IRNazanin"/>
          <w:color w:val="111111"/>
          <w:sz w:val="28"/>
          <w:sz w:val="28"/>
          <w:szCs w:val="28"/>
          <w:rtl w:val="true"/>
          <w:lang w:bidi="fa-IR"/>
        </w:rPr>
        <w:t>أکل شیءٍ حرّم علیهم ثمنه؛</w:t>
      </w:r>
      <w:r>
        <w:rPr>
          <w:rStyle w:val="FootnoteAnchor"/>
          <w:rtl w:val="true"/>
        </w:rPr>
        <w:footnoteReference w:id="127"/>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پیامبر صلی الله علیه و آله رو به روی حجره‌ها نشسته و به آسمان نگاه می‌کرد، خنده‌ای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یهود را لعنت کند، شحوم را بر آنان حرام کرد، امّا آن را فروخته و در پول آن تصرّف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خوردن چیزی را بر یک قوم حرام کند، ثمن آن را نیز حرام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بیشتر کتب روایی اهل سنّت، از جمله مغنی،</w:t>
      </w:r>
      <w:r>
        <w:rPr>
          <w:rStyle w:val="FootnoteAnchor"/>
          <w:rtl w:val="true"/>
        </w:rPr>
        <w:footnoteReference w:id="128"/>
      </w:r>
      <w:r>
        <w:rPr>
          <w:rFonts w:ascii="IRNazanin" w:hAnsi="IRNazanin" w:eastAsia="IRNazanin"/>
          <w:color w:val="111111"/>
          <w:sz w:val="28"/>
          <w:sz w:val="28"/>
          <w:szCs w:val="28"/>
          <w:rtl w:val="true"/>
          <w:lang w:bidi="fa-IR"/>
        </w:rPr>
        <w:t>الشرح الکبیر،</w:t>
      </w:r>
      <w:r>
        <w:rPr>
          <w:rStyle w:val="FootnoteAnchor"/>
          <w:rtl w:val="true"/>
        </w:rPr>
        <w:footnoteReference w:id="129"/>
      </w:r>
      <w:r>
        <w:rPr>
          <w:rFonts w:ascii="IRNazanin" w:hAnsi="IRNazanin" w:eastAsia="IRNazanin"/>
          <w:color w:val="111111"/>
          <w:sz w:val="28"/>
          <w:sz w:val="28"/>
          <w:szCs w:val="28"/>
          <w:rtl w:val="true"/>
          <w:lang w:bidi="fa-IR"/>
        </w:rPr>
        <w:t>کشّاف القناع،</w:t>
      </w:r>
      <w:r>
        <w:rPr>
          <w:rStyle w:val="FootnoteAnchor"/>
          <w:rtl w:val="true"/>
        </w:rPr>
        <w:footnoteReference w:id="130"/>
      </w:r>
      <w:r>
        <w:rPr>
          <w:rFonts w:ascii="Amiri" w:hAnsi="Amiri" w:eastAsia="Amiri" w:cs="Amiri"/>
          <w:color w:val="111111"/>
          <w:sz w:val="28"/>
          <w:sz w:val="28"/>
          <w:szCs w:val="28"/>
          <w:rtl w:val="true"/>
          <w:lang w:bidi="ar-SA"/>
        </w:rPr>
        <w:t>فقه السنة</w:t>
      </w:r>
      <w:r>
        <w:rPr>
          <w:rStyle w:val="FootnoteAnchor"/>
          <w:rtl w:val="true"/>
        </w:rPr>
        <w:footnoteReference w:id="131"/>
      </w:r>
      <w:r>
        <w:rPr>
          <w:rFonts w:ascii="IRNazanin" w:hAnsi="IRNazanin" w:eastAsia="IRNazanin"/>
          <w:color w:val="111111"/>
          <w:sz w:val="28"/>
          <w:sz w:val="28"/>
          <w:szCs w:val="28"/>
          <w:rtl w:val="true"/>
          <w:lang w:bidi="fa-IR"/>
        </w:rPr>
        <w:t>و در بخشی دیگر از مسند احمد بن حنبل،</w:t>
      </w:r>
      <w:r>
        <w:rPr>
          <w:rStyle w:val="FootnoteAnchor"/>
          <w:rtl w:val="true"/>
        </w:rPr>
        <w:footnoteReference w:id="132"/>
      </w:r>
      <w:r>
        <w:rPr>
          <w:rFonts w:ascii="IRNazanin" w:hAnsi="IRNazanin" w:eastAsia="IRNazanin"/>
          <w:color w:val="111111"/>
          <w:sz w:val="28"/>
          <w:sz w:val="28"/>
          <w:szCs w:val="28"/>
          <w:rtl w:val="true"/>
          <w:lang w:bidi="fa-IR"/>
        </w:rPr>
        <w:t>این روایت به صورت مطلق وارد شده است؛ امّا افزون بر آنچه از مسند احمد بن حنبل نقل شده در کتاب‌های مجموع</w:t>
      </w:r>
      <w:r>
        <w:rPr>
          <w:rStyle w:val="FootnoteAnchor"/>
          <w:rtl w:val="true"/>
        </w:rPr>
        <w:footnoteReference w:id="133"/>
      </w:r>
      <w:r>
        <w:rPr>
          <w:rFonts w:ascii="IRNazanin" w:hAnsi="IRNazanin" w:eastAsia="IRNazanin"/>
          <w:color w:val="111111"/>
          <w:sz w:val="28"/>
          <w:sz w:val="28"/>
          <w:szCs w:val="28"/>
          <w:rtl w:val="true"/>
          <w:lang w:bidi="fa-IR"/>
        </w:rPr>
        <w:t>و سنن الکبری</w:t>
      </w:r>
      <w:r>
        <w:rPr>
          <w:rStyle w:val="FootnoteAnchor"/>
          <w:rtl w:val="true"/>
        </w:rPr>
        <w:footnoteReference w:id="134"/>
      </w:r>
      <w:r>
        <w:rPr>
          <w:rFonts w:ascii="IRNazanin" w:hAnsi="IRNazanin" w:eastAsia="IRNazanin"/>
          <w:color w:val="111111"/>
          <w:sz w:val="28"/>
          <w:sz w:val="28"/>
          <w:szCs w:val="28"/>
          <w:rtl w:val="true"/>
          <w:lang w:bidi="fa-IR"/>
        </w:rPr>
        <w:t xml:space="preserve">نیز این روایت را همراه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این پرسش مطرح می‌شود که آیا روایت عوالی اللئالی به صورت مطلق وارد شده است یا مقیّد بوده و در نقل آن،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داشته است؟ این‌که روایتی در یک کتاب، واجد کلمه‌ای بوده و در کتاب و نقلی دیگر، فاقد آن کلمه باشد، زیاد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ممکن است یک روایت در کتاب کافی همراه با یک لفظ وارد شده باشد، در حالی که همین روایت در کتاب من لا یحضره الفقیه، فاقد آن لفظ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بررسی کنیم که در چنین مواردی کدام نقل ترجیح دارد؟ آیا نقلی که به صورت مطلق وارد شده و فاقد آن کلمه است، ترجیح داده می‌شود، یا نقلی که به‌طور مقیّد وارد شده و واجد آن کلمه است؟</w:t>
      </w:r>
    </w:p>
    <w:p>
      <w:pPr>
        <w:pStyle w:val="Heading6"/>
        <w:numPr>
          <w:ilvl w:val="5"/>
          <w:numId w:val="1"/>
        </w:numPr>
        <w:rPr/>
      </w:pPr>
      <w:bookmarkStart w:id="163" w:name="__RefHeading___Toc2530817_1468164448"/>
      <w:bookmarkStart w:id="164" w:name="_Toc64"/>
      <w:bookmarkEnd w:id="163"/>
      <w:r>
        <w:rPr>
          <w:rtl w:val="true"/>
        </w:rPr>
        <w:t>الف</w:t>
      </w:r>
      <w:r>
        <w:rPr>
          <w:rtl w:val="true"/>
        </w:rPr>
        <w:t xml:space="preserve">) </w:t>
      </w:r>
      <w:r>
        <w:rPr>
          <w:rtl w:val="true"/>
        </w:rPr>
        <w:t>اصل عدم زیاده و اصل عدم نقیصه</w:t>
      </w:r>
      <w:bookmarkEnd w:id="16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یا عدم وجود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عوالی اللئالی، مورد اختلاف و تردید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معنا که نمی‌دانیم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روایت وجود داشته، یا این‌که واژه‌ای اضافی است و دیگران آن را به روایت افزوده‌اند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در این‌جا امر دایر بین این است که یا در روایتِ دارای کلمه، اصل عدم زیاده را جاری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زائدی به روایت افزوده نشده 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روایت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روایت فاقد کلمه، اصل عدم نقیصه را جاری نماییم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روایت چیزی حذف نشده و اصل روایت بدون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گونه موارد اصل عدم زیاده، جاری می‌شود و نتیجۀ جریان این اصل، زائد نبودن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آن در اصل روایت است؛ امّا اشکال این سخن آن است که اصل عدم زیاده، همیشه با اصل عدم نقیصه در تعارض است؛ یعنی وقتی شک می‌کنیم که آیا در این روایت، چنین کلمه‌ای وجود داشته یا روایت به صورت مطلق وارد شده است، اصل عدم نقیصه جاری شده و نتیجۀ آن، مطلق بودن روایت و عدم نقص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دو اصل عدم زیاده و عدم نقیصه با هم در تعارض‌اند و نتیجۀ تعارض، تساقط هر دو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بحث، در فقه فراوان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کتاب طهارت و در بحث خمر و عصیر، روایتی وجود دارد که درآن روایت، شخصی از امام باقر علیه السلام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نوعی عصیر است،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نقل کتاب تهذیب، امام علیه السلام در پاسخ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خمر لا تشربه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 xml:space="preserve">امّا همین روایت در کتاب کافی، فاقد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جناب کلینی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می‌کند</w:t>
      </w:r>
      <w:r>
        <w:rPr>
          <w:rFonts w:eastAsia="IRNazanin" w:cs="IRNazanin"/>
          <w:color w:val="111111"/>
          <w:sz w:val="28"/>
          <w:szCs w:val="28"/>
          <w:rtl w:val="true"/>
          <w:lang w:bidi="fa-IR"/>
        </w:rPr>
        <w:t>.</w:t>
      </w:r>
      <w:r>
        <w:rPr>
          <w:rStyle w:val="FootnoteAnchor"/>
          <w:rtl w:val="true"/>
        </w:rPr>
        <w:footnoteReference w:id="13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این است که آیا فقیه در چنین مواردی، اصل عدم زیاده را جاری کند و نتیجه بگیرد که در نقل کتاب تهذیب،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کلام امام علیه السلام وجود داشته و راوی آن را اضافه نکرده است و در نقل دیگر این کلمه حذف شده است، یا اصل عدم نقیصه را در نقل کافی جاری کرده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امام علیه السلام نبوده و روایتی که شیخ کلینی قدس سره در کافی نقل می‌کند، هیچ نقصی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بسیار مهم و دارای ثمره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روایت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خمر باشد، نجاست آن نیز ثابت می‌شود؛ یعنی مطابق نقل شیخ طوسی قدس سره در تهذیب، علاوه بر این‌که نجاست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می‌شود، معاملۀ آن نیز حرام است؛ امّا اگر نقل شیخ کلینی قدس سره در کافی را معتبر بدانیم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روایت وجود نداشته است، در این‌صورت نجاست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بحث در روایت عوالی اللئالی نیز ثمرۀ مهمّی دارد؛ زیرا اگر بگوییم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روایت وارد شده است، دیگر روایتی در این بحث به صورت کلّی و عام نخواهیم داشت؛ امّا اگر ثابت شود که اصل روایت به صورت مطلق و فاقد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این‌صورت این روایت کلّی،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نفی نمی‌کند؛ یعنی ممکن است یک راوی در موردی،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قرینۀ مورد سؤال، در روایت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وقتی ثابت شد این روایت بدون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اطلاق روایت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آیۀ شریفۀ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تَأْکُلُوا أَمْوالَکُمْ بَیْنَکُمْ بِالْباطِلِ إِلاّ أَنْ تَکُونَ تِجارَةً عَنْ تَراضٍ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روایت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سخن وجهی ندارد و هرگز نمی‌توان ارتباط یا تناسبی میان این آیۀ شریفه و روایت عوالی اللئالی برقرار کرد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ممکن است کسی قائل به ترجیح اصل عدم زیاده بر اصل عدم نقیصه باشد، با این توجیه که بنای عقلا بر این است که هنگام نقل یک جمله، ممکن است یک یا چند کلمه را کم کنند؛ امّا این احتمال که کلمه‌ای را به آن اضافه نمایند،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چه بسا انسان در نقل کلام شخصی دیگر، کلمه‌ای را کم کند، ولی هیچ گاه چنین نیست که کلماتی را به آن مطلب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وقتی فردی داستانی را می‌شنود، ممکن است در هنگام نقل آن، کلماتی را حذف کند، ولی خلاف آن بعید است</w:t>
      </w:r>
      <w:r>
        <w:rPr>
          <w:rFonts w:eastAsia="IRNazanin" w:cs="IRNazanin"/>
          <w:color w:val="111111"/>
          <w:sz w:val="28"/>
          <w:szCs w:val="28"/>
          <w:rtl w:val="true"/>
          <w:lang w:bidi="fa-IR"/>
        </w:rPr>
        <w:t>.</w:t>
      </w:r>
      <w:bookmarkStart w:id="165" w:name="pg13785_134944"/>
    </w:p>
    <w:p>
      <w:pPr>
        <w:pStyle w:val="BookText"/>
        <w:rPr/>
      </w:pPr>
      <w:bookmarkEnd w:id="165"/>
      <w:r>
        <w:rPr>
          <w:rFonts w:ascii="IRNazanin" w:hAnsi="IRNazanin" w:eastAsia="IRNazanin"/>
          <w:color w:val="111111"/>
          <w:sz w:val="28"/>
          <w:sz w:val="28"/>
          <w:szCs w:val="28"/>
          <w:rtl w:val="true"/>
          <w:lang w:bidi="fa-IR"/>
        </w:rPr>
        <w:t>وجه ترجیح یاد شده نیز وجهی استحسانی است؛ زیرا همان طور که امکان حذف کلمات توسّط راوی وجود دارد، احتمال اضافه کردن کلمات توسّط وی نیز احتمالی عقلایی است و عقلایی دانستن فرض نخست و بعید دانستن فرض دوم،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با این وجه، اصل عدم زیاده را مقدّم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مانند روایت عوالی اللئالی می‌توان با توجّه به قرائن، به شکل صحیح روایت پی برد؛ امّا در مواردی که هیچ قرینه‌ای وجود ندارد و فقیه بین دو عبارت مردّد باشد، نمی‌توان هیچ یک از این دو اصل را بر دیگری مقدّم دانست و با توجّه به تعارض و تساقط این دو اصل، باید در هر مورد به سراغ اصل اوّلی رفت و آن را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اصل اوّلی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اصالة الطهارة است</w:t>
      </w:r>
      <w:r>
        <w:rPr>
          <w:rFonts w:eastAsia="IRNazanin" w:cs="IRNazanin"/>
          <w:color w:val="111111"/>
          <w:sz w:val="28"/>
          <w:szCs w:val="28"/>
          <w:rtl w:val="true"/>
          <w:lang w:bidi="fa-IR"/>
        </w:rPr>
        <w:t>.</w:t>
      </w:r>
    </w:p>
    <w:p>
      <w:pPr>
        <w:pStyle w:val="Heading6"/>
        <w:numPr>
          <w:ilvl w:val="5"/>
          <w:numId w:val="1"/>
        </w:numPr>
        <w:rPr/>
      </w:pPr>
      <w:bookmarkStart w:id="166" w:name="__RefHeading___Toc2530819_1468164448"/>
      <w:bookmarkStart w:id="167" w:name="_Toc65"/>
      <w:bookmarkEnd w:id="166"/>
      <w:r>
        <w:rPr>
          <w:rtl w:val="true"/>
        </w:rPr>
        <w:t>ب</w:t>
      </w:r>
      <w:r>
        <w:rPr>
          <w:rtl w:val="true"/>
        </w:rPr>
        <w:t xml:space="preserve">) </w:t>
      </w:r>
      <w:r>
        <w:rPr>
          <w:rtl w:val="true"/>
        </w:rPr>
        <w:t>دیدگاه محقّق خویی</w:t>
      </w:r>
      <w:bookmarkEnd w:id="167"/>
    </w:p>
    <w:p>
      <w:pPr>
        <w:pStyle w:val="BookText"/>
        <w:rPr/>
      </w:pPr>
      <w:r>
        <w:rPr>
          <w:rFonts w:ascii="IRNazanin" w:hAnsi="IRNazanin" w:eastAsia="IRNazanin"/>
          <w:color w:val="111111"/>
          <w:sz w:val="28"/>
          <w:sz w:val="28"/>
          <w:szCs w:val="28"/>
          <w:rtl w:val="true"/>
          <w:lang w:bidi="fa-IR"/>
        </w:rPr>
        <w:t xml:space="preserve">محقّق خویی قدس سره معتقد است که در اصل روایت،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و بر این اساس، وجود روایتی که فاقد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را نفی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اثبات مدّعای خود اظهار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روایاتِ نقل شده، چه به صورت مطلق و چه به صورت مقیّد، متعلّق به قضیّۀ واحدی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در همۀ آنها پیامبر صلی الله علیه و آله در مسجد نشسته و این سخن را فرموده‌اند و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مطلق در شرایطی دیگر نقل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همۀ کتب روایی اهل سنّت،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r>
        <w:rPr>
          <w:rStyle w:val="FootnoteAnchor"/>
          <w:rtl w:val="true"/>
        </w:rPr>
        <w:footnoteReference w:id="137"/>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به نظر می‌رسد که سخن محقّق خویی قدس سره قابل مناقشه است، به این بیان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قضیّه نمی‌تواند ثابت کند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روایت، موجود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اتّحاد قضیّه وجود دارد، امّا نمی‌توان گفت که اتّحاد قضیّه، وجود روایت مطلق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گفت که در همۀ کتاب‌های روایی اهل سنّت،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وارد شده است؛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پیش از این</w:t>
      </w:r>
      <w:bookmarkStart w:id="168" w:name="pg13785_134945"/>
    </w:p>
    <w:p>
      <w:pPr>
        <w:pStyle w:val="BookText"/>
        <w:rPr/>
      </w:pPr>
      <w:bookmarkEnd w:id="168"/>
      <w:r>
        <w:rPr>
          <w:rFonts w:ascii="IRNazanin" w:hAnsi="IRNazanin" w:eastAsia="IRNazanin"/>
          <w:color w:val="111111"/>
          <w:sz w:val="28"/>
          <w:sz w:val="28"/>
          <w:szCs w:val="28"/>
          <w:rtl w:val="true"/>
          <w:lang w:bidi="fa-IR"/>
        </w:rPr>
        <w:t xml:space="preserve">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کتب آنها، روایت به صورت مطلق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سخن محقّق خویی قدس سره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شیخ انصاری قدس سره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موجب تخصیص اکثر می‌شود</w:t>
      </w:r>
      <w:r>
        <w:rPr>
          <w:rFonts w:eastAsia="IRNazanin" w:cs="IRNazanin"/>
          <w:color w:val="111111"/>
          <w:sz w:val="28"/>
          <w:szCs w:val="28"/>
          <w:rtl w:val="true"/>
          <w:lang w:bidi="fa-IR"/>
        </w:rPr>
        <w:t>.</w:t>
      </w:r>
      <w:r>
        <w:rPr>
          <w:rStyle w:val="FootnoteAnchor"/>
          <w:rtl w:val="true"/>
        </w:rPr>
        <w:footnoteReference w:id="138"/>
      </w:r>
    </w:p>
    <w:p>
      <w:pPr>
        <w:pStyle w:val="Heading5"/>
        <w:numPr>
          <w:ilvl w:val="4"/>
          <w:numId w:val="1"/>
        </w:numPr>
        <w:rPr/>
      </w:pPr>
      <w:bookmarkStart w:id="169" w:name="__RefHeading___Toc2530821_1468164448"/>
      <w:bookmarkStart w:id="170" w:name="_Toc66"/>
      <w:bookmarkEnd w:id="169"/>
      <w:r>
        <w:rPr>
          <w:rtl w:val="true"/>
        </w:rPr>
        <w:t>بند سوم</w:t>
      </w:r>
      <w:r>
        <w:rPr>
          <w:rtl w:val="true"/>
        </w:rPr>
        <w:t xml:space="preserve">: </w:t>
      </w:r>
      <w:r>
        <w:rPr>
          <w:rtl w:val="true"/>
        </w:rPr>
        <w:t>شهرت عملی جابر ضعف سند روایت</w:t>
      </w:r>
      <w:bookmarkEnd w:id="170"/>
    </w:p>
    <w:p>
      <w:pPr>
        <w:pStyle w:val="BookText"/>
        <w:rPr/>
      </w:pPr>
      <w:r>
        <w:rPr>
          <w:rFonts w:ascii="IRNazanin" w:hAnsi="IRNazanin" w:eastAsia="IRNazanin"/>
          <w:color w:val="111111"/>
          <w:sz w:val="28"/>
          <w:sz w:val="28"/>
          <w:szCs w:val="28"/>
          <w:rtl w:val="true"/>
          <w:lang w:bidi="fa-IR"/>
        </w:rPr>
        <w:t>روایت عوالی اللئالی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تنها در صورتی می‌توان آن را معتبر شمرد که مشهور فقها، مطابق آن فتوا داده باشند تا شهرت عملی فتوایی، ضعف سند این روایت را جبران کند؛ لیکن فقط در صورتی شهرت، جابر سند یک روایت است که مشهور فقها با استناد به آن روایت، فتوا داده باشند؛ ولی اگر فقها فتوایی بدهند که مستندش دلیل دیگری باشد، این فتوا نمی‌تواند به این روایت ضعیف، اعتبار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محقّق خویی قدس سره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روایت عوالی اللئالی بدون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مطلق وارد شده باشد، امکان استدلال به آن وجود ندارد؛ زیرا این روایت مرسل است و نمی‌توان ثابت کرد که مشهور فقها در صدور فتاوای خود، به آن استناد کرده‌اند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شیء حرام، سه احتمال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نخست این است که همۀ منافع یک چیز حرام باشد، مانند آلت 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دوم در جایی است که بیشتر منافع چیزی حرام باشد، مانند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سوم این است که منافع نادر یک چیز حرام باشد، مانند چاقو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اخیر نمی‌توان به حرمت خرید و فروش فتوا داد؛ زیرا نمی‌توان گفت معاملۀ چیزی که دارای منافع نادرِ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چاقو که منفعت نادر آن، قتل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 فرض دیگر، فتوای فقهای شیعه، حرمت و بطلان معامله است؛ زیرا از نظر ایشان این‌گونه اشیا مالیّت ندارند؛ یعنی هر چیزی که جمیع منافع یا منافع غالبش حرام باشد، از نظر شرعی فاقد مالیّت</w:t>
      </w:r>
      <w:bookmarkStart w:id="171" w:name="pg13785_134946"/>
    </w:p>
    <w:p>
      <w:pPr>
        <w:pStyle w:val="BookText"/>
        <w:rPr/>
      </w:pPr>
      <w:bookmarkEnd w:id="171"/>
      <w:r>
        <w:rPr>
          <w:rFonts w:ascii="IRNazanin" w:hAnsi="IRNazanin" w:eastAsia="IRNazanin"/>
          <w:color w:val="111111"/>
          <w:sz w:val="28"/>
          <w:sz w:val="28"/>
          <w:szCs w:val="28"/>
          <w:rtl w:val="true"/>
          <w:lang w:bidi="fa-IR"/>
        </w:rPr>
        <w:t>است و عدم مالیّت موجب حرمت و بطلان معامله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این‌گونه نیست که فقها با استناد به روایت عوالی اللئالی چنین فتوایی داده باشند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در پاسخ به این سخن محقّق خویی قدس سره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نظر ایشان، فقها در موارد متعدّدی به این روایت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الخلاف،</w:t>
      </w:r>
      <w:r>
        <w:rPr>
          <w:rStyle w:val="FootnoteAnchor"/>
          <w:rtl w:val="true"/>
        </w:rPr>
        <w:footnoteReference w:id="140"/>
      </w:r>
      <w:r>
        <w:rPr>
          <w:rFonts w:ascii="IRNazanin" w:hAnsi="IRNazanin" w:eastAsia="IRNazanin"/>
          <w:color w:val="111111"/>
          <w:sz w:val="28"/>
          <w:sz w:val="28"/>
          <w:szCs w:val="28"/>
          <w:rtl w:val="true"/>
          <w:lang w:bidi="fa-IR"/>
        </w:rPr>
        <w:t>ابن زهره</w:t>
      </w:r>
      <w:r>
        <w:rPr>
          <w:rStyle w:val="FootnoteAnchor"/>
          <w:rtl w:val="true"/>
        </w:rPr>
        <w:footnoteReference w:id="141"/>
      </w:r>
      <w:r>
        <w:rPr>
          <w:rFonts w:ascii="IRNazanin" w:hAnsi="IRNazanin" w:eastAsia="IRNazanin"/>
          <w:color w:val="111111"/>
          <w:sz w:val="28"/>
          <w:sz w:val="28"/>
          <w:szCs w:val="28"/>
          <w:rtl w:val="true"/>
          <w:lang w:bidi="fa-IR"/>
        </w:rPr>
        <w:t>و ابن ادریس</w:t>
      </w:r>
      <w:r>
        <w:rPr>
          <w:rStyle w:val="FootnoteAnchor"/>
          <w:rtl w:val="true"/>
        </w:rPr>
        <w:footnoteReference w:id="142"/>
      </w:r>
      <w:r>
        <w:rPr>
          <w:rFonts w:ascii="IRNazanin" w:hAnsi="IRNazanin" w:eastAsia="IRNazanin"/>
          <w:color w:val="111111"/>
          <w:sz w:val="28"/>
          <w:sz w:val="28"/>
          <w:szCs w:val="28"/>
          <w:rtl w:val="true"/>
          <w:lang w:bidi="fa-IR"/>
        </w:rPr>
        <w:t>به این روایت عمل کرده‌اند و نکتۀ مهم این است که ابن ادریس خبر واحد را حجّت نمی‌داند و با این حال، به این روایت تمسّک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صاحب شرائع،</w:t>
      </w:r>
      <w:r>
        <w:rPr>
          <w:rStyle w:val="FootnoteAnchor"/>
          <w:rtl w:val="true"/>
        </w:rPr>
        <w:footnoteReference w:id="143"/>
      </w:r>
      <w:r>
        <w:rPr>
          <w:rFonts w:ascii="Amiri" w:hAnsi="Amiri" w:eastAsia="Amiri" w:cs="Amiri"/>
          <w:color w:val="111111"/>
          <w:sz w:val="28"/>
          <w:sz w:val="28"/>
          <w:szCs w:val="28"/>
          <w:rtl w:val="true"/>
          <w:lang w:bidi="ar-SA"/>
        </w:rPr>
        <w:t>علاّمۀ حلّی در مختلف،</w:t>
      </w:r>
      <w:r>
        <w:rPr>
          <w:rStyle w:val="FootnoteAnchor"/>
          <w:rtl w:val="true"/>
        </w:rPr>
        <w:footnoteReference w:id="144"/>
      </w:r>
      <w:r>
        <w:rPr>
          <w:rFonts w:ascii="IRNazanin" w:hAnsi="IRNazanin" w:eastAsia="IRNazanin"/>
          <w:color w:val="111111"/>
          <w:sz w:val="28"/>
          <w:sz w:val="28"/>
          <w:szCs w:val="28"/>
          <w:rtl w:val="true"/>
          <w:lang w:bidi="fa-IR"/>
        </w:rPr>
        <w:t>فخر المحقّقین،</w:t>
      </w:r>
      <w:r>
        <w:rPr>
          <w:rStyle w:val="FootnoteAnchor"/>
          <w:rtl w:val="true"/>
        </w:rPr>
        <w:footnoteReference w:id="145"/>
      </w:r>
      <w:r>
        <w:rPr>
          <w:rFonts w:ascii="IRNazanin" w:hAnsi="IRNazanin" w:eastAsia="IRNazanin"/>
          <w:color w:val="111111"/>
          <w:sz w:val="28"/>
          <w:sz w:val="28"/>
          <w:szCs w:val="28"/>
          <w:rtl w:val="true"/>
          <w:lang w:bidi="fa-IR"/>
        </w:rPr>
        <w:t>شهید ثانی،</w:t>
      </w:r>
      <w:r>
        <w:rPr>
          <w:rStyle w:val="FootnoteAnchor"/>
          <w:rtl w:val="true"/>
        </w:rPr>
        <w:footnoteReference w:id="146"/>
      </w:r>
      <w:r>
        <w:rPr>
          <w:rFonts w:ascii="IRNazanin" w:hAnsi="IRNazanin" w:eastAsia="IRNazanin"/>
          <w:color w:val="111111"/>
          <w:sz w:val="28"/>
          <w:sz w:val="28"/>
          <w:szCs w:val="28"/>
          <w:rtl w:val="true"/>
          <w:lang w:bidi="fa-IR"/>
        </w:rPr>
        <w:t>محقّق نراقی،</w:t>
      </w:r>
      <w:r>
        <w:rPr>
          <w:rStyle w:val="FootnoteAnchor"/>
          <w:rtl w:val="true"/>
        </w:rPr>
        <w:footnoteReference w:id="147"/>
      </w:r>
      <w:r>
        <w:rPr>
          <w:rFonts w:ascii="IRNazanin" w:hAnsi="IRNazanin" w:eastAsia="IRNazanin"/>
          <w:color w:val="111111"/>
          <w:sz w:val="28"/>
          <w:sz w:val="28"/>
          <w:szCs w:val="28"/>
          <w:rtl w:val="true"/>
          <w:lang w:bidi="fa-IR"/>
        </w:rPr>
        <w:t>صاحب حدائق</w:t>
      </w:r>
      <w:r>
        <w:rPr>
          <w:rStyle w:val="FootnoteAnchor"/>
          <w:rtl w:val="true"/>
        </w:rPr>
        <w:footnoteReference w:id="148"/>
      </w:r>
      <w:r>
        <w:rPr>
          <w:rFonts w:ascii="IRNazanin" w:hAnsi="IRNazanin" w:eastAsia="IRNazanin"/>
          <w:color w:val="111111"/>
          <w:sz w:val="28"/>
          <w:sz w:val="28"/>
          <w:szCs w:val="28"/>
          <w:rtl w:val="true"/>
          <w:lang w:bidi="fa-IR"/>
        </w:rPr>
        <w:t>و صاحب جواهر قدس سرهم</w:t>
      </w:r>
      <w:r>
        <w:rPr>
          <w:rStyle w:val="FootnoteAnchor"/>
          <w:rtl w:val="true"/>
        </w:rPr>
        <w:footnoteReference w:id="149"/>
      </w:r>
      <w:r>
        <w:rPr>
          <w:rFonts w:ascii="IRNazanin" w:hAnsi="IRNazanin" w:eastAsia="IRNazanin"/>
          <w:color w:val="111111"/>
          <w:sz w:val="28"/>
          <w:sz w:val="28"/>
          <w:szCs w:val="28"/>
          <w:rtl w:val="true"/>
          <w:lang w:bidi="fa-IR"/>
        </w:rPr>
        <w:t>نیز به این روایت استنادکرده‌اند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سره نیز در موارد متعدّدی به این روایت استدلال می‌کند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همچنین محقّق نائینی قدس سره اظهار می‌دارد که هم شیعه و هم اهل سنّت، به این روایت عمل کرده‌اند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پس شمار زیادی از فقها به این روایت استناد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قدس سره اوّلین شخصی است که به این روایت عمل کرده است و پس از ایشان ابن زهره، محقّق حلّی، علاّمۀ حلّی و دیگر فقها قدس سرهم نیز بر طبق این روایت فتوا داده‌اند</w:t>
      </w:r>
      <w:r>
        <w:rPr>
          <w:rFonts w:eastAsia="IRNazanin" w:cs="IRNazanin"/>
          <w:color w:val="111111"/>
          <w:sz w:val="28"/>
          <w:szCs w:val="28"/>
          <w:rtl w:val="true"/>
          <w:lang w:bidi="fa-IR"/>
        </w:rPr>
        <w:t>.</w:t>
      </w:r>
    </w:p>
    <w:p>
      <w:pPr>
        <w:pStyle w:val="Heading5"/>
        <w:numPr>
          <w:ilvl w:val="4"/>
          <w:numId w:val="1"/>
        </w:numPr>
        <w:rPr/>
      </w:pPr>
      <w:bookmarkStart w:id="172" w:name="__RefHeading___Toc2530823_1468164448"/>
      <w:bookmarkStart w:id="173" w:name="_Toc67"/>
      <w:bookmarkEnd w:id="172"/>
      <w:r>
        <w:rPr>
          <w:rtl w:val="true"/>
        </w:rPr>
        <w:t>بند چهارم</w:t>
      </w:r>
      <w:r>
        <w:rPr>
          <w:rtl w:val="true"/>
        </w:rPr>
        <w:t xml:space="preserve">: </w:t>
      </w:r>
      <w:r>
        <w:rPr>
          <w:rtl w:val="true"/>
        </w:rPr>
        <w:t>دیدگاه برگزیده</w:t>
      </w:r>
      <w:bookmarkEnd w:id="17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عوالی اللئالی همان گونه که در بیشتر کتاب‌های فقهی امامیّه و کتب روایی عامّه نقل شده، فاقد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ارسال روایت نیز با توجّه به توثیق عامّ کتاب عوالی اللئالی و شهرت عملیّه‌ای که بر طبق آن قائم است، جبران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w:t>
      </w:r>
      <w:bookmarkStart w:id="174" w:name="pg13785_134947"/>
    </w:p>
    <w:p>
      <w:pPr>
        <w:pStyle w:val="BookText"/>
        <w:rPr/>
      </w:pPr>
      <w:bookmarkEnd w:id="174"/>
      <w:r>
        <w:rPr>
          <w:rFonts w:ascii="IRNazanin" w:hAnsi="IRNazanin" w:eastAsia="IRNazanin"/>
          <w:color w:val="111111"/>
          <w:sz w:val="28"/>
          <w:sz w:val="28"/>
          <w:szCs w:val="28"/>
          <w:rtl w:val="true"/>
          <w:lang w:bidi="fa-IR"/>
        </w:rPr>
        <w:t>انصاری قدس سرهم نیز به این مطلب اشاره می‌کند و این روایت را روایتی مشهور، معرّفی می‌کند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منظور از شهرت نیز شهرت عملی فتوایی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می‌توان از این روایت به عنوان ضابطه‌ای کلّی در مباحث معاملات، استفاده کرد و به آن استناد نمود</w:t>
      </w:r>
      <w:r>
        <w:rPr>
          <w:rFonts w:eastAsia="IRNazanin" w:cs="IRNazanin"/>
          <w:color w:val="111111"/>
          <w:sz w:val="28"/>
          <w:szCs w:val="28"/>
          <w:rtl w:val="true"/>
          <w:lang w:bidi="fa-IR"/>
        </w:rPr>
        <w:t>.</w:t>
      </w:r>
    </w:p>
    <w:p>
      <w:pPr>
        <w:pStyle w:val="Heading4"/>
        <w:numPr>
          <w:ilvl w:val="3"/>
          <w:numId w:val="1"/>
        </w:numPr>
        <w:rPr/>
      </w:pPr>
      <w:bookmarkStart w:id="175" w:name="__RefHeading___Toc2530825_1468164448"/>
      <w:bookmarkStart w:id="176" w:name="_Toc68"/>
      <w:bookmarkEnd w:id="175"/>
      <w:r>
        <w:rPr>
          <w:rtl w:val="true"/>
        </w:rPr>
        <w:t>گفتار پنجم</w:t>
      </w:r>
      <w:r>
        <w:rPr>
          <w:rtl w:val="true"/>
        </w:rPr>
        <w:t xml:space="preserve">: </w:t>
      </w:r>
      <w:r>
        <w:rPr>
          <w:rtl w:val="true"/>
        </w:rPr>
        <w:t>برآیند بررسی روایات و اصل اوّلی در معاملات</w:t>
      </w:r>
      <w:bookmarkEnd w:id="176"/>
    </w:p>
    <w:p>
      <w:pPr>
        <w:pStyle w:val="Heading5"/>
        <w:numPr>
          <w:ilvl w:val="4"/>
          <w:numId w:val="1"/>
        </w:numPr>
        <w:rPr/>
      </w:pPr>
      <w:bookmarkStart w:id="177" w:name="__RefHeading___Toc2530827_1468164448"/>
      <w:bookmarkStart w:id="178" w:name="_Toc69"/>
      <w:bookmarkEnd w:id="177"/>
      <w:r>
        <w:rPr>
          <w:rtl w:val="true"/>
        </w:rPr>
        <w:t>بند اوّل</w:t>
      </w:r>
      <w:r>
        <w:rPr>
          <w:rtl w:val="true"/>
        </w:rPr>
        <w:t xml:space="preserve">: </w:t>
      </w:r>
      <w:r>
        <w:rPr>
          <w:rtl w:val="true"/>
        </w:rPr>
        <w:t>نتیجۀ بررسی روایات عام</w:t>
      </w:r>
      <w:bookmarkEnd w:id="178"/>
    </w:p>
    <w:p>
      <w:pPr>
        <w:pStyle w:val="BookText"/>
        <w:rPr/>
      </w:pPr>
      <w:r>
        <w:rPr>
          <w:rFonts w:ascii="IRNazanin" w:hAnsi="IRNazanin" w:eastAsia="IRNazanin"/>
          <w:color w:val="111111"/>
          <w:sz w:val="28"/>
          <w:sz w:val="28"/>
          <w:szCs w:val="28"/>
          <w:rtl w:val="true"/>
          <w:lang w:bidi="fa-IR"/>
        </w:rPr>
        <w:t>شیخ انصاری قدس سره چهار روایت را به عنوان ضابطه در ابتدای کتاب المکاسب ذکر می‌کند و ظاهر کلمات و استدلال‌های ایشان این است که به این چهار روایت،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برخی از فقها هیچ یک از این روایات را معتبر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مطابق تحقیقی که ارائه شد، به نظر می‌رسد بتوان به دو روایت تحف العقول و نبوی مشهور عوالی اللئالی عمل نمود و در مباحث مربوط به معاملات به آنها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فقه الرضا علیه السلام و دعائم الاسلام نیز همان طور که گفته شد، با اشکالاتی غیر قابل حل، رو به 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استناد به آنها صحیح نیست</w:t>
      </w:r>
      <w:r>
        <w:rPr>
          <w:rFonts w:eastAsia="IRNazanin" w:cs="IRNazanin"/>
          <w:color w:val="111111"/>
          <w:sz w:val="28"/>
          <w:szCs w:val="28"/>
          <w:rtl w:val="true"/>
          <w:lang w:bidi="fa-IR"/>
        </w:rPr>
        <w:t>.</w:t>
      </w:r>
    </w:p>
    <w:p>
      <w:pPr>
        <w:pStyle w:val="Heading5"/>
        <w:numPr>
          <w:ilvl w:val="4"/>
          <w:numId w:val="1"/>
        </w:numPr>
        <w:rPr/>
      </w:pPr>
      <w:bookmarkStart w:id="179" w:name="__RefHeading___Toc2530829_1468164448"/>
      <w:bookmarkStart w:id="180" w:name="_Toc70"/>
      <w:bookmarkEnd w:id="179"/>
      <w:r>
        <w:rPr>
          <w:rtl w:val="true"/>
        </w:rPr>
        <w:t>بند دوم</w:t>
      </w:r>
      <w:r>
        <w:rPr>
          <w:rtl w:val="true"/>
        </w:rPr>
        <w:t xml:space="preserve">: </w:t>
      </w:r>
      <w:r>
        <w:rPr>
          <w:rtl w:val="true"/>
        </w:rPr>
        <w:t>اصل اوّلی در معاملات</w:t>
      </w:r>
      <w:bookmarkEnd w:id="18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بحث پیرامون روایات عامّی که شیخ انصاری قدس سره در ابتدای کتاب المکاسب به آن اشاره کرده است، دو روایت تحف العقول و عوالی اللئالی را معتبر و قابل استناد دانستیم؛ ولی اگر این دو روایت نیز مورد پذیرش قرار نگیرد، هنگام شک در معاملاتی که دلیل خاصّی بر حرمت و فسادشان وجود ندارد، اصل اوّلی چیست؟ به عبارت روشن‌تر، از این دو روایت و به خصوص روایت مفصّل تحف العقول، ضوابط دقیق و روشنی در باب معاملات و مکاسب به دست می‌آید و این ضوابط در مورد معاملات جدیدی که دلیل خاصّی بر حرمت یا حلّیت آنها موجود نیست، به کمک فقیه می‌آید؛ امّا باید بررسی کنیم که اگر این روایات کنار گذاشته شوند، اصل اوّلی در موارد یاد شده، چه خواهد بود؟</w:t>
      </w:r>
    </w:p>
    <w:p>
      <w:pPr>
        <w:pStyle w:val="BookText"/>
        <w:rPr/>
      </w:pPr>
      <w:r>
        <w:rPr>
          <w:rFonts w:ascii="IRNazanin" w:hAnsi="IRNazanin" w:eastAsia="IRNazanin"/>
          <w:color w:val="111111"/>
          <w:sz w:val="28"/>
          <w:sz w:val="28"/>
          <w:szCs w:val="28"/>
          <w:rtl w:val="true"/>
          <w:lang w:bidi="fa-IR"/>
        </w:rPr>
        <w:t>شیخ انصاری قدس سره اصالة الفساد را اصل اوّلی در معاملات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وقتی معامله‌ای واقع می‌شود و شک می‌کنیم که آیا این معامله می‌تواند سبب نقل و انتقال باشد یا نه، استصحاب عدم نقل و انتقال جاری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معاملاتی که در عصر حاضر به نام شرکت‌های هرمی واقع می‌شود، اگر در وجود سبب نقل و انتقال شک کردیم، استصحاب عدم نقل و انتقال را جاری کرده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معامله‌ای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روشن است که اصل و استصحاب فقط هنگامی حجّیت دارند که عمومات و اماره‌ای در دست نباشد، در حالی که در باب معاملات عموماتی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در مقام شک به کمک فقیه می‌آید و مقتضای آنها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مورد حکم تکلیفی نیز اصل حلّیت دلالت روشنی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بسیاری از فقها اصل اوّلی را صحّت و حلّیت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می‌توان با استناد به آیۀ شریفۀ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تَأْکُلُوا أَمْوالَکُمْ بَیْنَکُمْ بِالْباطِلِ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الفساد را به عنوان اصل اوّلی در باب معاملات شناخت؟ محقّق ایروانی قدس سره پس از این‌که قبول می‌کند اصل اوّلی در معاملات، صحّت است؛ این مطلب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می‌کند که آیا می‌توان به مقتضای این آیۀ شریفه، قاعدۀ اوّلیه را اصالة الفساد دانست؟ به این بیان که در این آیه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مال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شده است و باطل، اعم از باطل شرعی و باطل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شرعی نیز آن چیزی است که دلیل شرعی بر صحّت آن وجود ندارد</w:t>
      </w:r>
      <w:r>
        <w:rPr>
          <w:rFonts w:eastAsia="IRNazanin" w:cs="IRNazanin"/>
          <w:color w:val="111111"/>
          <w:sz w:val="28"/>
          <w:szCs w:val="28"/>
          <w:rtl w:val="true"/>
          <w:lang w:bidi="fa-IR"/>
        </w:rPr>
        <w:t>.</w:t>
      </w:r>
      <w:r>
        <w:rPr>
          <w:rStyle w:val="FootnoteAnchor"/>
          <w:rtl w:val="true"/>
        </w:rPr>
        <w:footnoteReference w:id="153"/>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تصرّفی که باطل است، نهی می‌کند و باطل اعم از باطل شرعی و باطل عرفی بوده و باطل شرعی هم چیزی است که دلیل شرعی بر صحّت آن وجود ندارد، در این‌صورت معامله‌ای که دلیلی بر صحّت یا بطلان آن</w:t>
      </w:r>
    </w:p>
    <w:p>
      <w:pPr>
        <w:pStyle w:val="BookText"/>
        <w:rPr/>
      </w:pPr>
      <w:r>
        <w:rPr>
          <w:rFonts w:ascii="IRNazanin" w:hAnsi="IRNazanin" w:eastAsia="IRNazanin"/>
          <w:color w:val="111111"/>
          <w:sz w:val="28"/>
          <w:sz w:val="28"/>
          <w:szCs w:val="28"/>
          <w:rtl w:val="true"/>
          <w:lang w:bidi="fa-IR"/>
        </w:rPr>
        <w:t>وجود ندارد، باطل شرعی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آن‌جا که این آیۀ شریفه از تصرّف باطل نهی کرده است، اصل اوّلی بر فساد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ایروانی قدس سره پس از طرح این مسئله، آن را رد کرده و نمی‌پذیرد؛ امّا جهت روشن شدن مطلب، با بیان مقدّمه‌ای به این سخن پاسخ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باطل عرفی و باطل شرعی، عموم و خصوص من وجه است؛ یعنی برخی امور هم باطل شرعی‌اند و هم باطل عرفی، مانند مالی که انسان از راه دزدی کسب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نیز معامله از نظر شارع باطل است، امّا عرف آن را باطل نمی‌داند، مانند ربا که شرعاً حرام و باطل است، ولی عُقلا نه تنها آن را باطل نمی‌دانند، بلکه با عنوان معامله‌ای سودآور و مفید از آن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اعمال نیز از نظر عرف، باطل است ولی شارع آن را اجازه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طبق نظر مشهور فقها، پدر در صورت نیاز می‌تواند بدون اجازه پسرش از مال او استفاده کرده و بدون اجازۀ او مالش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حکم مختصّ پدر است و مادر نمی‌تواند چنین فعلی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پسر مجّوز این فعل صادر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شرع، این عمل را باطل نمی‌داند، امّا از نظر عرف این عمل ناپسند و باطل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بیان این مقدّمه، برای پاسخ به این سخن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باء در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تَأْکُلُوا أَمْوالَکُمْ بَیْنَکُمْ بِالْباطِلِ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معنای سببیت دارد و معنای آیه این است که تصرّفی که به سبب باطل باشد ممنوع است و نبودن دلیل شرعی بر صحّت معامله، دالّ بر بطلان شرعی آن نیست؛ بلکه باطل شرعی آن چیزی است که شارع به گونه‌ای آن را باطل معرّفی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مراد از باطل، سبب باطل است و بطلانِ سبب باطل، باید پیش‌تر و در جایی دیگر ثابت شده باشد، این آیه دلالتی بر اصالة الفساد ندارد</w:t>
      </w:r>
      <w:r>
        <w:rPr>
          <w:rFonts w:eastAsia="IRNazanin" w:cs="IRNazanin"/>
          <w:color w:val="111111"/>
          <w:sz w:val="28"/>
          <w:szCs w:val="28"/>
          <w:rtl w:val="true"/>
          <w:lang w:bidi="fa-IR"/>
        </w:rPr>
        <w:t>.</w:t>
      </w:r>
      <w:bookmarkStart w:id="181" w:name="pg13785_134950"/>
    </w:p>
    <w:p>
      <w:pPr>
        <w:pStyle w:val="Heading3"/>
        <w:numPr>
          <w:ilvl w:val="2"/>
          <w:numId w:val="1"/>
        </w:numPr>
        <w:rPr/>
      </w:pPr>
      <w:bookmarkStart w:id="182" w:name="__RefHeading___Toc2530831_1468164448"/>
      <w:bookmarkStart w:id="183" w:name="_Toc71"/>
      <w:bookmarkEnd w:id="181"/>
      <w:bookmarkEnd w:id="182"/>
      <w:r>
        <w:rPr>
          <w:rtl w:val="true"/>
        </w:rPr>
        <w:t>فصل دوم</w:t>
      </w:r>
      <w:r>
        <w:rPr>
          <w:rtl w:val="true"/>
        </w:rPr>
        <w:t xml:space="preserve">: </w:t>
      </w:r>
      <w:r>
        <w:rPr>
          <w:rtl w:val="true"/>
        </w:rPr>
        <w:t>تقسیم مکاسب</w:t>
      </w:r>
      <w:bookmarkEnd w:id="183"/>
    </w:p>
    <w:p>
      <w:pPr>
        <w:pStyle w:val="Heading4"/>
        <w:numPr>
          <w:ilvl w:val="3"/>
          <w:numId w:val="1"/>
        </w:numPr>
        <w:rPr/>
      </w:pPr>
      <w:bookmarkStart w:id="184" w:name="__RefHeading___Toc2530833_1468164448"/>
      <w:bookmarkStart w:id="185" w:name="_Toc72"/>
      <w:bookmarkEnd w:id="184"/>
      <w:r>
        <w:rPr>
          <w:rtl w:val="true"/>
        </w:rPr>
        <w:t>گفتار اوّل</w:t>
      </w:r>
      <w:r>
        <w:rPr>
          <w:rtl w:val="true"/>
        </w:rPr>
        <w:t xml:space="preserve">: </w:t>
      </w:r>
      <w:r>
        <w:rPr>
          <w:rtl w:val="true"/>
        </w:rPr>
        <w:t>امکان وجود کسب واجب و مستحب</w:t>
      </w:r>
      <w:bookmarkEnd w:id="185"/>
    </w:p>
    <w:p>
      <w:pPr>
        <w:pStyle w:val="Heading5"/>
        <w:numPr>
          <w:ilvl w:val="4"/>
          <w:numId w:val="1"/>
        </w:numPr>
        <w:rPr/>
      </w:pPr>
      <w:bookmarkStart w:id="186" w:name="__RefHeading___Toc2530835_1468164448"/>
      <w:bookmarkStart w:id="187" w:name="_Toc73"/>
      <w:bookmarkEnd w:id="186"/>
      <w:r>
        <w:rPr>
          <w:rtl w:val="true"/>
        </w:rPr>
        <w:t>اشارة</w:t>
      </w:r>
      <w:bookmarkEnd w:id="187"/>
    </w:p>
    <w:p>
      <w:pPr>
        <w:pStyle w:val="BookText"/>
        <w:rPr/>
      </w:pPr>
      <w:r>
        <w:rPr>
          <w:rFonts w:ascii="IRNazanin" w:hAnsi="IRNazanin" w:eastAsia="IRNazanin"/>
          <w:color w:val="111111"/>
          <w:sz w:val="28"/>
          <w:sz w:val="28"/>
          <w:szCs w:val="28"/>
          <w:rtl w:val="true"/>
          <w:lang w:bidi="fa-IR"/>
        </w:rPr>
        <w:t>شیخ انصاری قدس سره پس از معرّفی روایات عام، دربارۀ تقسیم مکاسب اظهار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جرت عادة غیر واحد علی تقسیم المکاسب إلی محرّم ومکروه ومباح، مُهمِلین للمستحبّ والواجب؛ بناءً علی عدم وجودهما فی المکاسب، مع إمکان التمثیل للمستحبّ بمثل الزراعة والرعی ممّا ندب إلیه الشرع، وللواجب بالصناعة الواجبة کفایة، خصوصاً إذا تعذّر قیام الغیر به، فتأمّل؛</w:t>
      </w:r>
      <w:r>
        <w:rPr>
          <w:rStyle w:val="FootnoteAnchor"/>
          <w:rtl w:val="true"/>
        </w:rPr>
        <w:footnoteReference w:id="15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فقها مکاسب را به سه قسم محرّم، مکروه و مباح تقسیم نموده و مکاسب مستحب و واجب را در تقسیم خود ذکر نکرده‌اند، در حالی که نمونه‌هایی برای کسب مستحب و واجب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کشاورزی و چوپانی در شرع مستحب است و برخی از صنایع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نجّاری، آهنگری، پزشکی و مانند آن، که مردم به آنها نیاز دارند و قوام جامعه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کفایی هستند</w:t>
      </w:r>
      <w:r>
        <w:rPr>
          <w:rFonts w:eastAsia="IRNazanin" w:cs="IRNazanin"/>
          <w:color w:val="111111"/>
          <w:sz w:val="28"/>
          <w:szCs w:val="28"/>
          <w:rtl w:val="true"/>
          <w:lang w:bidi="fa-IR"/>
        </w:rPr>
        <w:t>.</w:t>
      </w:r>
      <w:bookmarkStart w:id="188" w:name="pg13785_134951"/>
    </w:p>
    <w:p>
      <w:pPr>
        <w:pStyle w:val="BookText"/>
        <w:rPr/>
      </w:pPr>
      <w:bookmarkEnd w:id="188"/>
      <w:r>
        <w:rPr>
          <w:rFonts w:ascii="IRNazanin" w:hAnsi="IRNazanin" w:eastAsia="IRNazanin"/>
          <w:color w:val="111111"/>
          <w:sz w:val="28"/>
          <w:sz w:val="28"/>
          <w:szCs w:val="28"/>
          <w:rtl w:val="true"/>
          <w:lang w:bidi="fa-IR"/>
        </w:rPr>
        <w:t xml:space="preserve">شیخ انصاری قدس سره پس از بیان این نمونه‌ها، با آوردن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بررسی بیشتر پیرامون این مسئله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ایروانی قدس سره برای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کشاورزی و چوپانی نفس عمل مستحب است؛ یعنی عمل انسانی که به زراعت مشغول است، از آن‌جا که موجب تقویت روحیۀ توکّل و صبر در انسان می‌شود و آثار دیگری از این دست به دنبال دارد، مستحب است؛ امّا دلیلی مبنی بر استحباب کسب درآمد از این راه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اشکال در مورد کسب‌های واجب نیز مطرح می‌شود، به این بیان که انجام این صناعات واجب است؛ یعنی باید شخصی در جامعه وجود داشته باشد که به طبابت، نجّاری یا آهنگری مشغول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زندگی مردم به این گونه مشاغل وابسته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دلیلی بر وجوب کسب از طریق این مشاغل و صناعات، وجود ندارد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در نتیجه نمی‌توان گفت که اگر عملی مستحب یا واجب باشد، کسب درآمد از آن راه نیز مستحب و واجب است؛ یعنی چنین ملازمه‌ای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نمی‌توان گفت که چون تدریس و تعلیم مستحب است، کسب درآمد از این راه نیز استحباب دارد</w:t>
      </w:r>
      <w:r>
        <w:rPr>
          <w:rFonts w:eastAsia="IRNazanin" w:cs="IRNazanin"/>
          <w:color w:val="111111"/>
          <w:sz w:val="28"/>
          <w:szCs w:val="28"/>
          <w:rtl w:val="true"/>
          <w:lang w:bidi="fa-IR"/>
        </w:rPr>
        <w:t>.</w:t>
      </w:r>
    </w:p>
    <w:p>
      <w:pPr>
        <w:pStyle w:val="Heading5"/>
        <w:numPr>
          <w:ilvl w:val="4"/>
          <w:numId w:val="1"/>
        </w:numPr>
        <w:rPr/>
      </w:pPr>
      <w:bookmarkStart w:id="189" w:name="__RefHeading___Toc2530837_1468164448"/>
      <w:bookmarkStart w:id="190" w:name="_Toc74"/>
      <w:bookmarkEnd w:id="189"/>
      <w:r>
        <w:rPr>
          <w:rtl w:val="true"/>
        </w:rPr>
        <w:t>بند اوّل</w:t>
      </w:r>
      <w:r>
        <w:rPr>
          <w:rtl w:val="true"/>
        </w:rPr>
        <w:t xml:space="preserve">: </w:t>
      </w:r>
      <w:r>
        <w:rPr>
          <w:rtl w:val="true"/>
        </w:rPr>
        <w:t>مکاسب مستحب</w:t>
      </w:r>
      <w:bookmarkEnd w:id="190"/>
    </w:p>
    <w:p>
      <w:pPr>
        <w:pStyle w:val="BookText"/>
        <w:rPr/>
      </w:pPr>
      <w:r>
        <w:rPr>
          <w:rFonts w:ascii="IRNazanin" w:hAnsi="IRNazanin" w:eastAsia="IRNazanin"/>
          <w:color w:val="111111"/>
          <w:sz w:val="28"/>
          <w:sz w:val="28"/>
          <w:szCs w:val="28"/>
          <w:rtl w:val="true"/>
          <w:lang w:bidi="fa-IR"/>
        </w:rPr>
        <w:t>نفس عمل کشاورزی و چوپانی، از آن‌جا که موجب تقویت روحیۀ توکّل شده و آثاری همچون صبر را برای انسان به همراه دارد، مستحب است؛ ولی با این حال، برای اثبات استحباب کسب از راه کشاورزی یا چوپانی، به دلیل دیگری نیازمند هستیم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به روایات این باب، افزون بر روایاتی که دلالت بر مطلوبیّت نفس عمل کشاورزی دارد، می‌توان به روایاتی دست یافت که کسب از راه کشاورزی را نیز مطلوب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دو روایت زیر از راه لزوم بیّن بمعنی الأعم، دلالت بر استحباب کسب از راه زراعت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اختار لأنبیائه الحَرْث والزَّرعَ کَیْ لا یَکرَهُوا شیئاً من قَطْر السَّماء؛</w:t>
      </w:r>
      <w:r>
        <w:rPr>
          <w:rStyle w:val="FootnoteAnchor"/>
          <w:rtl w:val="true"/>
        </w:rPr>
        <w:footnoteReference w:id="156"/>
      </w:r>
      <w:r>
        <w:rPr>
          <w:rFonts w:ascii="IRNazanin" w:hAnsi="IRNazanin" w:eastAsia="IRNazanin"/>
          <w:color w:val="111111"/>
          <w:sz w:val="28"/>
          <w:sz w:val="28"/>
          <w:szCs w:val="28"/>
          <w:rtl w:val="true"/>
          <w:lang w:bidi="fa-IR"/>
        </w:rPr>
        <w:t>خداوند عزّوجل برای انبیاء خود عمل کشت و زوع را اختیار فرموده است تا نسبت به آنچه از آسمان نازل می‌شود، کراهت نداشته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جَعَلَ أرزاق أنبیائه فی الزَّرع والضَّرع کیلا یکرَهُوا شیئاً من قَطْر السَّماء</w:t>
      </w:r>
      <w:r>
        <w:rPr>
          <w:rFonts w:eastAsia="Amiri" w:cs="Amiri" w:ascii="Amiri" w:hAnsi="Amiri"/>
          <w:color w:val="111111"/>
          <w:sz w:val="28"/>
          <w:szCs w:val="28"/>
          <w:rtl w:val="true"/>
          <w:lang w:bidi="ar-SA"/>
        </w:rPr>
        <w:t>».</w:t>
      </w:r>
      <w:r>
        <w:rPr>
          <w:rStyle w:val="FootnoteAnchor"/>
          <w:rtl w:val="true"/>
        </w:rPr>
        <w:footnoteReference w:id="157"/>
      </w:r>
      <w:r>
        <w:rPr>
          <w:rFonts w:ascii="IRNazanin" w:hAnsi="IRNazanin" w:eastAsia="IRNazanin"/>
          <w:color w:val="111111"/>
          <w:sz w:val="28"/>
          <w:sz w:val="28"/>
          <w:szCs w:val="28"/>
          <w:rtl w:val="true"/>
          <w:lang w:bidi="fa-IR"/>
        </w:rPr>
        <w:t>خداوند رزق انبیا را در کشاورزی و دامداری قرار داده است تا نسبت به آنچه از آسمان می‌بارد، کراهت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تعبیر به دلالت مطابقی استفاده می‌شود که این عمل و این رزق، برای انبیا قرار داده شده است؛ امّا با دلالت لزوم بیّن بمعنی الأعم دلالت بر استحباب کسب از راه زراعت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نیز در این باب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 النَّبِیُّ صلی الله علیه و آله أیّ الْمَالِ خَیْرٌ؟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 زَرَعَهُ صَاحِبُهُ وَأَصْلَحَهُ وَأَدَّی حَقَّهُ یَوْمَ حَصَادِهِ؛</w:t>
      </w:r>
      <w:r>
        <w:rPr>
          <w:rStyle w:val="FootnoteAnchor"/>
          <w:rtl w:val="true"/>
        </w:rPr>
        <w:footnoteReference w:id="158"/>
      </w:r>
      <w:r>
        <w:rPr>
          <w:rFonts w:ascii="IRNazanin" w:hAnsi="IRNazanin" w:eastAsia="IRNazanin"/>
          <w:color w:val="111111"/>
          <w:sz w:val="28"/>
          <w:sz w:val="28"/>
          <w:szCs w:val="28"/>
          <w:rtl w:val="true"/>
          <w:lang w:bidi="fa-IR"/>
        </w:rPr>
        <w:t>از پیامبر صلی الله علیه و آله سؤال شد که کدام مال خیر و نیکو است؟ ایشان در جواب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زراعتی که زارع انجام می‌دهد و سپس زکات آن را می‌پردازد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به دلالت مطابقی، استحباب اکتساب از طریق زراعت را ثابت می‌کند؛ زیرا معنای سخن پیامبر صلی الله علیه و آله که درآمد به دست آمده از زراعت را خیر و نیکو می‌داند، این است که کسب از راه زراعت،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سند این روایت سکونی وارد شده که محلّ ایراد است؛ امّا از آن‌جا که بحث دربارۀ استحباب است و در ادلّۀ سنن</w:t>
      </w:r>
      <w:bookmarkStart w:id="191" w:name="pg13785_134953"/>
    </w:p>
    <w:p>
      <w:pPr>
        <w:pStyle w:val="BookText"/>
        <w:rPr/>
      </w:pPr>
      <w:bookmarkEnd w:id="191"/>
      <w:r>
        <w:rPr>
          <w:rFonts w:ascii="IRNazanin" w:hAnsi="IRNazanin" w:eastAsia="IRNazanin"/>
          <w:color w:val="111111"/>
          <w:sz w:val="28"/>
          <w:sz w:val="28"/>
          <w:szCs w:val="28"/>
          <w:rtl w:val="true"/>
          <w:lang w:bidi="fa-IR"/>
        </w:rPr>
        <w:t>تسامح جاری می‌شود، اشکالی ندارد</w:t>
      </w:r>
      <w:r>
        <w:rPr>
          <w:rFonts w:eastAsia="IRNazanin" w:cs="IRNazanin"/>
          <w:color w:val="111111"/>
          <w:sz w:val="28"/>
          <w:szCs w:val="28"/>
          <w:rtl w:val="true"/>
          <w:lang w:bidi="fa-IR"/>
        </w:rPr>
        <w:t>.</w:t>
      </w:r>
      <w:r>
        <w:rPr>
          <w:rStyle w:val="FootnoteAnchor"/>
          <w:rtl w:val="true"/>
        </w:rPr>
        <w:footnoteReference w:id="159"/>
      </w:r>
    </w:p>
    <w:p>
      <w:pPr>
        <w:pStyle w:val="Heading5"/>
        <w:numPr>
          <w:ilvl w:val="4"/>
          <w:numId w:val="1"/>
        </w:numPr>
        <w:rPr/>
      </w:pPr>
      <w:bookmarkStart w:id="192" w:name="__RefHeading___Toc2530839_1468164448"/>
      <w:bookmarkStart w:id="193" w:name="_Toc75"/>
      <w:bookmarkEnd w:id="192"/>
      <w:r>
        <w:rPr>
          <w:rtl w:val="true"/>
        </w:rPr>
        <w:t>بند دوم</w:t>
      </w:r>
      <w:r>
        <w:rPr>
          <w:rtl w:val="true"/>
        </w:rPr>
        <w:t xml:space="preserve">: </w:t>
      </w:r>
      <w:r>
        <w:rPr>
          <w:rtl w:val="true"/>
        </w:rPr>
        <w:t>مکاسب واجب</w:t>
      </w:r>
      <w:bookmarkEnd w:id="193"/>
    </w:p>
    <w:p>
      <w:pPr>
        <w:pStyle w:val="BookText"/>
        <w:rPr/>
      </w:pPr>
      <w:r>
        <w:rPr>
          <w:rFonts w:ascii="IRNazanin" w:hAnsi="IRNazanin" w:eastAsia="IRNazanin"/>
          <w:color w:val="111111"/>
          <w:sz w:val="28"/>
          <w:sz w:val="28"/>
          <w:szCs w:val="28"/>
          <w:rtl w:val="true"/>
          <w:lang w:bidi="fa-IR"/>
        </w:rPr>
        <w:t>شیخ انصاری قدس سره برای مکاسب واجب، صناعاتی را به عنوان نمونه ذکر می‌کند که زندگی و معیشت مردم، بر آنها متوقّف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پیش از این بیان شد، قیام به این صناعات واجب است نه کسب درآمد از آنها؛ یعنی آنچه واجب است، وجود اشخاصی است که متصدّی انجام این صناعات در جامعه باشند و علّت وجوب نیز این است که اگر کسی عهده‌دار این امور نشود، زندگی مردم مختل می‌گردد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توصیف،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وجوب انجام این صناعات و عهده‌دار شدن این مشاغل، این است که با تعطیلی این امور زندگی مردم مختل می‌شود، باید قائل به انجام این صناعات به صورت مجّانی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شرایط به گونه‌ای باشد که کسی در ازای طبابت پول نپردازد، باز هم طبیب باید بدون دستمزد کار کند؛ یعنی اگر قیام به این امور واجب است، پس باید به صورت مجّانی انجام شوند، در حالی که قائل شدن به انجام بدون دستمزد این مشاغل نیز موجب اختلال در نظام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از یک سو گفته می‌شود عهده‌دار شدن این امور لازم و واجب است حتّی اگر مجّانی باشد و از سوی دیگر، رایگان بودن این امور موجب اختلال نظام می‌شود؛ چرا که اگر طبابت، نجّاری، نانوایی و همۀ اموری که قوام جامعه مبتنی بر آن است به نحو مجانی واجب باشد، خود این امر نیز موجب اختلال خواهد شد،</w:t>
      </w:r>
      <w:bookmarkStart w:id="194" w:name="pg13785_134954"/>
    </w:p>
    <w:p>
      <w:pPr>
        <w:pStyle w:val="BookText"/>
        <w:rPr/>
      </w:pPr>
      <w:bookmarkEnd w:id="194"/>
      <w:r>
        <w:rPr>
          <w:rFonts w:ascii="IRNazanin" w:hAnsi="IRNazanin" w:eastAsia="IRNazanin"/>
          <w:color w:val="111111"/>
          <w:sz w:val="28"/>
          <w:sz w:val="28"/>
          <w:szCs w:val="28"/>
          <w:rtl w:val="true"/>
          <w:lang w:bidi="fa-IR"/>
        </w:rPr>
        <w:t>از این رو، این پرسش مطرح می‌شود که چگونه می‌توان بین این دو مطلب جمع کرد؟</w:t>
      </w:r>
    </w:p>
    <w:p>
      <w:pPr>
        <w:pStyle w:val="BookText"/>
        <w:rPr/>
      </w:pPr>
      <w:r>
        <w:rPr>
          <w:rFonts w:ascii="IRNazanin" w:hAnsi="IRNazanin" w:eastAsia="IRNazanin"/>
          <w:color w:val="111111"/>
          <w:sz w:val="28"/>
          <w:sz w:val="28"/>
          <w:szCs w:val="28"/>
          <w:rtl w:val="true"/>
          <w:lang w:bidi="fa-IR"/>
        </w:rPr>
        <w:t>پاسخ این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اختلال نظام در صورتی به وجود می‌آید که رایگان بودن، تعیّن داشته و واجبات نظامیّه، مقیّد به مجّانی بودن باشند، در حالی که آنچه واجب و مطلوب است، قدر جامعی میان مجّانی بودن و دریافت پول در قبال آن است؛ یعنی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طبابت پزشک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و تفاوتی ندارد که در مقابل آن پولی دریافت کند یا این کار را به صورت رایگان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مجّانی بودن برای آن است که برای حفظ نظام و جامعه لازم است، پس اگر برای حفظ نظام لازم باشد که شخص حقوقی را دریافت کند، باز می‌توانیم بگوییم برای همین عنوان، اخذ آن جایز و بلکه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واجبات نظامیّه در صورتی مجّانی بودن آن تعیّن دارد که خود این مجّانی بودن سبب اختلال نظام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دیگر در این مثال‌ها این است که قیام به این امور، وجوب نفسی ندارد؛ بلکه وجوب مقدّمی و غیری دارد؛ یعنی طبابت به خودی خود واجب نیست، بلکه مقدّمه‌ای است برای حفظ نظام و زندگی مردم و اگر مقدّمۀ واجب شرعاً واجب باشد، آن‌گاه طبابت به عنوان مقدّمۀ واجب،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گفت برای کسب واجب، مصداق و مثالی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گفته شود نمونه‌های دیگری برای مکاسب واجب وجود دارد، مانند کسب و کار در جهت پرداخت نفقه یا ادای دین؛ لیکن با توجّه به مباحث طرح شده، این نمونه‌ها نیز عنوان مقدّمۀ واجب را دارند و نمی‌توان آنها را مصداقی برای کسب واجب دانست</w:t>
      </w:r>
      <w:r>
        <w:rPr>
          <w:rFonts w:eastAsia="IRNazanin" w:cs="IRNazanin"/>
          <w:color w:val="111111"/>
          <w:sz w:val="28"/>
          <w:szCs w:val="28"/>
          <w:rtl w:val="true"/>
          <w:lang w:bidi="fa-IR"/>
        </w:rPr>
        <w:t>.</w:t>
      </w:r>
    </w:p>
    <w:p>
      <w:pPr>
        <w:pStyle w:val="Heading4"/>
        <w:numPr>
          <w:ilvl w:val="3"/>
          <w:numId w:val="1"/>
        </w:numPr>
        <w:rPr/>
      </w:pPr>
      <w:bookmarkStart w:id="195" w:name="__RefHeading___Toc2530841_1468164448"/>
      <w:bookmarkStart w:id="196" w:name="_Toc76"/>
      <w:bookmarkEnd w:id="195"/>
      <w:r>
        <w:rPr>
          <w:rtl w:val="true"/>
        </w:rPr>
        <w:t>گفتار دوم</w:t>
      </w:r>
      <w:r>
        <w:rPr>
          <w:rtl w:val="true"/>
        </w:rPr>
        <w:t xml:space="preserve">: </w:t>
      </w:r>
      <w:r>
        <w:rPr>
          <w:rtl w:val="true"/>
        </w:rPr>
        <w:t>تقسیم مکاسب در کلام فقها</w:t>
      </w:r>
      <w:bookmarkEnd w:id="196"/>
    </w:p>
    <w:p>
      <w:pPr>
        <w:pStyle w:val="Heading5"/>
        <w:numPr>
          <w:ilvl w:val="4"/>
          <w:numId w:val="1"/>
        </w:numPr>
        <w:rPr/>
      </w:pPr>
      <w:bookmarkStart w:id="197" w:name="__RefHeading___Toc2530843_1468164448"/>
      <w:bookmarkStart w:id="198" w:name="_Toc77"/>
      <w:bookmarkEnd w:id="197"/>
      <w:r>
        <w:rPr>
          <w:rtl w:val="true"/>
        </w:rPr>
        <w:t>اشارة</w:t>
      </w:r>
      <w:bookmarkEnd w:id="19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 مکاسب را به دو شیوه تقسیم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تقسیم ثلاثی را برگزیده‌اند و در آن مکاسب را به محرّم، مکروه و مباح تقسیم کرده‌اند و برخی نیز مکاسب را به اعتبار احکام خمسه، به پنج قسم تقسیم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دیدگاه برخی از فقها را در</w:t>
      </w:r>
      <w:bookmarkStart w:id="199" w:name="pg13785_134955"/>
    </w:p>
    <w:p>
      <w:pPr>
        <w:pStyle w:val="BookText"/>
        <w:rPr/>
      </w:pPr>
      <w:bookmarkEnd w:id="199"/>
      <w:r>
        <w:rPr>
          <w:rFonts w:ascii="IRNazanin" w:hAnsi="IRNazanin" w:eastAsia="IRNazanin"/>
          <w:color w:val="111111"/>
          <w:sz w:val="28"/>
          <w:sz w:val="28"/>
          <w:szCs w:val="28"/>
          <w:rtl w:val="true"/>
          <w:lang w:bidi="fa-IR"/>
        </w:rPr>
        <w:t>این موضوع مورد مطالعه و تحلیل قرار می‌دهیم</w:t>
      </w:r>
      <w:r>
        <w:rPr>
          <w:rFonts w:eastAsia="IRNazanin" w:cs="IRNazanin"/>
          <w:color w:val="111111"/>
          <w:sz w:val="28"/>
          <w:szCs w:val="28"/>
          <w:rtl w:val="true"/>
          <w:lang w:bidi="fa-IR"/>
        </w:rPr>
        <w:t>.</w:t>
      </w:r>
    </w:p>
    <w:p>
      <w:pPr>
        <w:pStyle w:val="Heading5"/>
        <w:numPr>
          <w:ilvl w:val="4"/>
          <w:numId w:val="1"/>
        </w:numPr>
        <w:rPr/>
      </w:pPr>
      <w:bookmarkStart w:id="200" w:name="__RefHeading___Toc2530845_1468164448"/>
      <w:bookmarkStart w:id="201" w:name="_Toc78"/>
      <w:bookmarkEnd w:id="200"/>
      <w:r>
        <w:rPr>
          <w:rtl w:val="true"/>
        </w:rPr>
        <w:t>بند اوّل</w:t>
      </w:r>
      <w:r>
        <w:rPr>
          <w:rtl w:val="true"/>
        </w:rPr>
        <w:t xml:space="preserve">: </w:t>
      </w:r>
      <w:r>
        <w:rPr>
          <w:rtl w:val="true"/>
        </w:rPr>
        <w:t>دیدگاه شیخ سلّار</w:t>
      </w:r>
      <w:bookmarkEnd w:id="201"/>
    </w:p>
    <w:p>
      <w:pPr>
        <w:pStyle w:val="BookText"/>
        <w:rPr/>
      </w:pPr>
      <w:r>
        <w:rPr>
          <w:rFonts w:ascii="IRNazanin" w:hAnsi="IRNazanin" w:eastAsia="IRNazanin"/>
          <w:color w:val="111111"/>
          <w:sz w:val="28"/>
          <w:sz w:val="28"/>
          <w:szCs w:val="28"/>
          <w:rtl w:val="true"/>
          <w:lang w:bidi="fa-IR"/>
        </w:rPr>
        <w:t>ایشان در کتاب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المکاسب علی خمسة 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وندب ومکروه ومباح ومحظور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الواجب فهو کلّ حلال بیعه أو الإحتراف به اذا کان لا معیشة للإنسان سواه، وأمّا الندب فهو ما یکتسب به علی عیاله ما یوّسع به علیهم، وأمّا المکروه فإن یکتسب محتکراً أو له عنه غناء یحمل به مشقّة، وأمّا المباح فأن یکتسب ما لا یضرّه ترکه ولا یقیم بأوده،</w:t>
      </w:r>
      <w:r>
        <w:rPr>
          <w:rStyle w:val="FootnoteAnchor"/>
          <w:rtl w:val="true"/>
        </w:rPr>
        <w:footnoteReference w:id="160"/>
      </w:r>
      <w:r>
        <w:rPr>
          <w:rFonts w:ascii="IRNazanin" w:hAnsi="IRNazanin" w:eastAsia="IRNazanin"/>
          <w:color w:val="111111"/>
          <w:sz w:val="28"/>
          <w:sz w:val="28"/>
          <w:szCs w:val="28"/>
          <w:rtl w:val="true"/>
          <w:lang w:bidi="fa-IR"/>
        </w:rPr>
        <w:t>وأمّا المحظور فأن</w:t>
      </w:r>
    </w:p>
    <w:p>
      <w:pPr>
        <w:pStyle w:val="BookText"/>
        <w:rPr/>
      </w:pPr>
      <w:r>
        <w:rPr>
          <w:rFonts w:ascii="IRNazanin" w:hAnsi="IRNazanin" w:eastAsia="IRNazanin"/>
          <w:color w:val="111111"/>
          <w:sz w:val="28"/>
          <w:sz w:val="28"/>
          <w:szCs w:val="28"/>
          <w:rtl w:val="true"/>
          <w:lang w:bidi="fa-IR"/>
        </w:rPr>
        <w:t>یکتسب مالاً لینفق فی الفساد أو یحترف بحرام؛</w:t>
      </w:r>
      <w:r>
        <w:rPr>
          <w:rStyle w:val="FootnoteAnchor"/>
          <w:rtl w:val="true"/>
        </w:rPr>
        <w:footnoteReference w:id="161"/>
      </w:r>
      <w:r>
        <w:rPr>
          <w:rFonts w:ascii="IRNazanin" w:hAnsi="IRNazanin" w:eastAsia="IRNazanin"/>
          <w:color w:val="111111"/>
          <w:sz w:val="28"/>
          <w:sz w:val="28"/>
          <w:szCs w:val="28"/>
          <w:rtl w:val="true"/>
          <w:lang w:bidi="fa-IR"/>
        </w:rPr>
        <w:t>مکاسب پنج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مستحب، مکروه، مباح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واجب، هرکاری است که فروش یا پیشه قرار دادن آن حلال باشد و انسان راه درآمدی غیر آن نداشته باشد و کسب مستحب، آن کسبی است که موجب آسایش بیشتر برای خانواده‌اش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مکروه نیز کسبی است که از راه احتکار باشد و یا او به آن نیازی نداشته باشد، ولی برای انجامش خود را به سختی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مباح نیز کسبی است که ترک آن ضرر ندارد و انجامش روزنه‌ای را پر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بودن یا نبودن آن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کسب حرام نیز کسبی است که مالی را به دست آورد تا آن را در فساد هزینه کند و یا آن را از راه صنعت حرام کسب نماید</w:t>
      </w:r>
      <w:r>
        <w:rPr>
          <w:rFonts w:eastAsia="IRNazanin" w:cs="IRNazanin"/>
          <w:color w:val="111111"/>
          <w:sz w:val="28"/>
          <w:szCs w:val="28"/>
          <w:rtl w:val="true"/>
          <w:lang w:bidi="fa-IR"/>
        </w:rPr>
        <w:t>.</w:t>
      </w:r>
    </w:p>
    <w:p>
      <w:pPr>
        <w:pStyle w:val="Heading5"/>
        <w:numPr>
          <w:ilvl w:val="4"/>
          <w:numId w:val="1"/>
        </w:numPr>
        <w:rPr/>
      </w:pPr>
      <w:bookmarkStart w:id="202" w:name="__RefHeading___Toc2530847_1468164448"/>
      <w:bookmarkStart w:id="203" w:name="_Toc79"/>
      <w:bookmarkEnd w:id="202"/>
      <w:r>
        <w:rPr>
          <w:rtl w:val="true"/>
        </w:rPr>
        <w:t>بند دوم</w:t>
      </w:r>
      <w:r>
        <w:rPr>
          <w:rtl w:val="true"/>
        </w:rPr>
        <w:t xml:space="preserve">: </w:t>
      </w:r>
      <w:r>
        <w:rPr>
          <w:rtl w:val="true"/>
        </w:rPr>
        <w:t>دیدگاه شهید اوّل</w:t>
      </w:r>
      <w:bookmarkEnd w:id="20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اوّل قدس سره در کتاب لمعه بین تجارت و موضوع آن فرق می‌گذارد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تجارت و کسب، با موضوع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یکتسب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است از اعیان خارجی</w:t>
      </w:r>
      <w:bookmarkStart w:id="204" w:name="pg13785_134956"/>
    </w:p>
    <w:p>
      <w:pPr>
        <w:pStyle w:val="BookText"/>
        <w:rPr/>
      </w:pPr>
      <w:bookmarkEnd w:id="204"/>
      <w:r>
        <w:rPr>
          <w:rFonts w:ascii="IRNazanin" w:hAnsi="IRNazanin" w:eastAsia="IRNazanin"/>
          <w:color w:val="111111"/>
          <w:sz w:val="28"/>
          <w:sz w:val="28"/>
          <w:szCs w:val="28"/>
          <w:rtl w:val="true"/>
          <w:lang w:bidi="fa-IR"/>
        </w:rPr>
        <w:t>و یا منافع،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تجارت را به اعتبار موضوع آن، به سه قسم تقسیم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 مکروه و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خود تجارت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فعل انسان است و بر شیء خارجی اعمال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احکام پنج‌گانه تقسیم نموده است</w:t>
      </w:r>
      <w:r>
        <w:rPr>
          <w:rFonts w:eastAsia="IRNazanin" w:cs="IRNazanin"/>
          <w:color w:val="111111"/>
          <w:sz w:val="28"/>
          <w:szCs w:val="28"/>
          <w:rtl w:val="true"/>
          <w:lang w:bidi="fa-IR"/>
        </w:rPr>
        <w:t>.</w:t>
      </w:r>
      <w:r>
        <w:rPr>
          <w:rStyle w:val="FootnoteAnchor"/>
          <w:rtl w:val="true"/>
        </w:rPr>
        <w:footnoteReference w:id="162"/>
      </w:r>
    </w:p>
    <w:p>
      <w:pPr>
        <w:pStyle w:val="Heading5"/>
        <w:numPr>
          <w:ilvl w:val="4"/>
          <w:numId w:val="1"/>
        </w:numPr>
        <w:rPr/>
      </w:pPr>
      <w:bookmarkStart w:id="205" w:name="__RefHeading___Toc2530849_1468164448"/>
      <w:bookmarkStart w:id="206" w:name="_Toc80"/>
      <w:bookmarkEnd w:id="205"/>
      <w:r>
        <w:rPr>
          <w:rtl w:val="true"/>
        </w:rPr>
        <w:t>بند سوم</w:t>
      </w:r>
      <w:r>
        <w:rPr>
          <w:rtl w:val="true"/>
        </w:rPr>
        <w:t xml:space="preserve">: </w:t>
      </w:r>
      <w:r>
        <w:rPr>
          <w:rtl w:val="true"/>
        </w:rPr>
        <w:t>دیدگاه علاّمۀ حلّی</w:t>
      </w:r>
      <w:bookmarkEnd w:id="206"/>
    </w:p>
    <w:p>
      <w:pPr>
        <w:pStyle w:val="BookText"/>
        <w:rPr/>
      </w:pPr>
      <w:r>
        <w:rPr>
          <w:rFonts w:ascii="IRNazanin" w:hAnsi="IRNazanin" w:eastAsia="IRNazanin"/>
          <w:color w:val="111111"/>
          <w:sz w:val="28"/>
          <w:sz w:val="28"/>
          <w:szCs w:val="28"/>
          <w:rtl w:val="true"/>
          <w:lang w:bidi="fa-IR"/>
        </w:rPr>
        <w:t xml:space="preserve">علّامۀ حلّی قدس سره در قواعد، مقسم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آن را به پنج قسم تقسیم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اظهار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واجب، کسبی است که انسان جهت رفع نیازمندی‌های خود و خانواده‌اش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مندوب هم آن کسبی است که انسان برای توسعه در زندگی خود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معاملۀ مباح نیز در جایی است که انسان از راه شرعی بر اموال خود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معاملۀ مکروه، بیع کفن و بیع صرف است و تجارت ممنوع، معامله‌ای است که مشتمل بر وجهی قبیح باشد؛ مانند این‌که انسان جهت انجام کاری حرام و یا ایجاد فساد، درآمدی کسب کند</w:t>
      </w:r>
      <w:r>
        <w:rPr>
          <w:rFonts w:eastAsia="IRNazanin" w:cs="IRNazanin"/>
          <w:color w:val="111111"/>
          <w:sz w:val="28"/>
          <w:szCs w:val="28"/>
          <w:rtl w:val="true"/>
          <w:lang w:bidi="fa-IR"/>
        </w:rPr>
        <w:t>.</w:t>
      </w:r>
      <w:r>
        <w:rPr>
          <w:rStyle w:val="FootnoteAnchor"/>
          <w:rtl w:val="true"/>
        </w:rPr>
        <w:footnoteReference w:id="163"/>
      </w:r>
    </w:p>
    <w:p>
      <w:pPr>
        <w:pStyle w:val="Heading5"/>
        <w:numPr>
          <w:ilvl w:val="4"/>
          <w:numId w:val="1"/>
        </w:numPr>
        <w:rPr/>
      </w:pPr>
      <w:bookmarkStart w:id="207" w:name="__RefHeading___Toc2530851_1468164448"/>
      <w:bookmarkStart w:id="208" w:name="_Toc81"/>
      <w:bookmarkEnd w:id="207"/>
      <w:r>
        <w:rPr>
          <w:rtl w:val="true"/>
        </w:rPr>
        <w:t>بند چهارم</w:t>
      </w:r>
      <w:r>
        <w:rPr>
          <w:rtl w:val="true"/>
        </w:rPr>
        <w:t xml:space="preserve">: </w:t>
      </w:r>
      <w:r>
        <w:rPr>
          <w:rtl w:val="true"/>
        </w:rPr>
        <w:t>تقابل دیدگاه شهید ثانی و مقدّس اردبیلی</w:t>
      </w:r>
      <w:bookmarkEnd w:id="208"/>
    </w:p>
    <w:p>
      <w:pPr>
        <w:pStyle w:val="BookText"/>
        <w:rPr/>
      </w:pPr>
      <w:r>
        <w:rPr>
          <w:rFonts w:ascii="IRNazanin" w:hAnsi="IRNazanin" w:eastAsia="IRNazanin"/>
          <w:color w:val="111111"/>
          <w:sz w:val="28"/>
          <w:sz w:val="28"/>
          <w:szCs w:val="28"/>
          <w:rtl w:val="true"/>
          <w:lang w:bidi="fa-IR"/>
        </w:rPr>
        <w:t>شهید ثانی قدس سره در مسالک، تقسیم ثلاثی مکاسب را نسبت به تقسیم خماسی بهتر می‌داند؛</w:t>
      </w:r>
      <w:r>
        <w:rPr>
          <w:rStyle w:val="FootnoteAnchor"/>
          <w:rtl w:val="true"/>
        </w:rPr>
        <w:footnoteReference w:id="164"/>
      </w:r>
      <w:r>
        <w:rPr>
          <w:rFonts w:ascii="IRNazanin" w:hAnsi="IRNazanin" w:eastAsia="IRNazanin"/>
          <w:color w:val="111111"/>
          <w:sz w:val="28"/>
          <w:sz w:val="28"/>
          <w:szCs w:val="28"/>
          <w:rtl w:val="true"/>
          <w:lang w:bidi="fa-IR"/>
        </w:rPr>
        <w:t>امّا مقدّس اردبیلی قدس سره نظری مخالف داشته و تقسیم به احکام خمسه را بهتر می‌داند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شهید ثانی قدس سره اظهار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تقسیم نیکو و حسن، ولی تقسیم ثلاثی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دو تقسیم دو تفاوت وجود دارد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تقسیم ثلاثی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یکتسب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عین یا منفعت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همیشه ویژگی ثابتی همراه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خمر، آلت قمار، مردار و عین نجاست، همیشه ویژگی خود، یعنی قبیح بودن را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ملاک تقسیم خماسی فعل مکلّف است که به اعتبار عوارضش،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ممکن است</w:t>
      </w:r>
    </w:p>
    <w:p>
      <w:pPr>
        <w:pStyle w:val="BookText"/>
        <w:rPr/>
      </w:pPr>
      <w:r>
        <w:rPr>
          <w:rFonts w:ascii="IRNazanin" w:hAnsi="IRNazanin" w:eastAsia="IRNazanin"/>
          <w:color w:val="111111"/>
          <w:sz w:val="28"/>
          <w:sz w:val="28"/>
          <w:szCs w:val="28"/>
          <w:rtl w:val="true"/>
          <w:lang w:bidi="fa-IR"/>
        </w:rPr>
        <w:t>شخصی، جهت توسعۀ زندگی خویش، معامله‌ای را انجام دهد و شخص دیگر، همان معامله را برای امری ناپسند و فاسد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تقسیم ثلاثی، بر خلاف ملاک تقسیم خماسی، ملاکی ثابت است و شهید ثانی قدس سره نیز به همین دلیل، تقسیم ثلاثی را بهتر از تقسیم خماسی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در تقسیم ثلاثی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مایکتسب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عین است یا منفعت که به اقتضای خود، به عناوین حرمت، کراهت یا اباحه محکوم‌اند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الخمر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اقتضای حرمت در خود خمر وجود دارد، پس اکتسابی که به خمر تعلّق یابد،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تقسیم خماسی، احکام خمسه به اعتبار عوارض و آثار فعل مکلّف، به وجود می‌آیند؛ یعنی اگر شخصی یک شیء مباح را برای کشتن انسانی دیگر خریداری کند، کسب وی حرام است و در مقابل، اگر این شیء توسّط فردی دیگر برای عملی حلال، خریداری شود، کسب او حلال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تقسیم ناشی از عوارض خارجی است و به اختلاف این عوارض، احکام خمسه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تقسیم ثلاثی یک تقسیم جوهری است، امّا تقسیم خماسی جوهری نیست؛ بلکه به اعتبار عوارض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دوّم تقسیم ثلاثی و تقسیم خماسی، عبارت است از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تقسیم ثلاثی، تقسیم به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یکتسب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 و 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عین و منفعت تنها می‌توان حرمت، کراهت و اباحه را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تقسیم، دیگر مکاسب واجب و مستحب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تقسیم خماسی به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فعل مکلّف، خالی از احکام خمسه نیست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اساس، برخی از بزرگان از جمله محقّق خویی قدس سره معتقدند که هر دو تقسیم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اوّل به اعتبار ما یکتسب به و تقسیم دوم به اعتبار عوارض خارجیِ فعل مکلّف</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البتّه اصل این مطلب را شهید ثانی قدس سره</w:t>
      </w:r>
      <w:r>
        <w:rPr>
          <w:rStyle w:val="FootnoteAnchor"/>
          <w:rtl w:val="true"/>
        </w:rPr>
        <w:footnoteReference w:id="167"/>
      </w:r>
      <w:r>
        <w:rPr>
          <w:rFonts w:ascii="IRNazanin" w:hAnsi="IRNazanin" w:eastAsia="IRNazanin"/>
          <w:color w:val="111111"/>
          <w:sz w:val="28"/>
          <w:sz w:val="28"/>
          <w:szCs w:val="28"/>
          <w:rtl w:val="true"/>
          <w:lang w:bidi="fa-IR"/>
        </w:rPr>
        <w:t>مطرح و محقّق خویی قدس سره</w:t>
      </w:r>
      <w:bookmarkStart w:id="209" w:name="pg13785_134958"/>
    </w:p>
    <w:p>
      <w:pPr>
        <w:pStyle w:val="BookText"/>
        <w:rPr/>
      </w:pPr>
      <w:bookmarkEnd w:id="209"/>
      <w:r>
        <w:rPr>
          <w:rFonts w:ascii="IRNazanin" w:hAnsi="IRNazanin" w:eastAsia="IRNazanin"/>
          <w:color w:val="111111"/>
          <w:sz w:val="28"/>
          <w:sz w:val="28"/>
          <w:szCs w:val="28"/>
          <w:rtl w:val="true"/>
          <w:lang w:bidi="fa-IR"/>
        </w:rPr>
        <w:t>به پیروی از ایشان چنین دیدگاهی را ارائه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آنچه به عنوان تفاوت تقسیم ثلاثی و تقسیم خماسی بیان شد، این اشکال مطرح می‌شود که در تقسیم ثلاثی نیز بدون در نظر گرفتن فعل مکلّف، حکمی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وقتی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شرب خمر که فعلی از افعال مکلّف به شمار می‌رود،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با ملاک قرار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یکتسب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قطع نظر از فعل مکلّف، نمی‌توان حکمی را صادر کرد و همان گونه که وجوب و استحباب در این تقسیم جایی ندارند، بدون در نظر گرفتن فعل مکلّف حتّی تصوّر احکام حرمت، کراهت و اباحه نیز ممکن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پاسخ به این اشکال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مکلّف، هم در تقسیم ثلاثی و هم در تقسیم خماسی، دخیل است؛ لیکن در تقسیم ثلاثی، فعل مکلّف به اعتبار یک متعلّق خاص در نظر گرفته می‌شود و در تقسیم خماسی، فعل مکلّف به اعتبار هر چیزی که می‌تواند بر آن عارض شود، مدّ نظر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تقسیم ثلاثی نمی‌توان بین قصد اسکار از شرب خمر و عدم آن، فرق گذاشت؛ بلکه فعل او حرام است حتّی اگر قصد اسکار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قصد فرد نقشی در حکم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تقسیم خماسی که قصد حرام و عدم قصد حرام، در فعل تأثیر دارد</w:t>
      </w:r>
      <w:r>
        <w:rPr>
          <w:rFonts w:eastAsia="IRNazanin" w:cs="IRNazanin"/>
          <w:color w:val="111111"/>
          <w:sz w:val="28"/>
          <w:szCs w:val="28"/>
          <w:rtl w:val="true"/>
          <w:lang w:bidi="fa-IR"/>
        </w:rPr>
        <w:t>.</w:t>
      </w:r>
    </w:p>
    <w:p>
      <w:pPr>
        <w:pStyle w:val="Heading5"/>
        <w:numPr>
          <w:ilvl w:val="4"/>
          <w:numId w:val="1"/>
        </w:numPr>
        <w:rPr/>
      </w:pPr>
      <w:bookmarkStart w:id="210" w:name="__RefHeading___Toc2530853_1468164448"/>
      <w:bookmarkStart w:id="211" w:name="_Toc82"/>
      <w:bookmarkEnd w:id="210"/>
      <w:r>
        <w:rPr>
          <w:rtl w:val="true"/>
        </w:rPr>
        <w:t>بند پنجم</w:t>
      </w:r>
      <w:r>
        <w:rPr>
          <w:rtl w:val="true"/>
        </w:rPr>
        <w:t xml:space="preserve">: </w:t>
      </w:r>
      <w:r>
        <w:rPr>
          <w:rtl w:val="true"/>
        </w:rPr>
        <w:t>دیدگاه محقّق حلّی</w:t>
      </w:r>
      <w:bookmarkEnd w:id="21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حلّی قدس سره در کتاب شرائع، تقسیم ثلاثی را برگزیده است</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ایشان فروش اسلحه به دشمان دین را به عنوان یک کسب حرام،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قید را اضافه می‌کند که اگر این بیع در زمان جنگ و یا در جهت کمک به آنان در دشمنی با دین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وقتی این بیع حرام می‌شود که دشمنان دین در ایجاد مشکل برای دین یاری شوند؛ امّا بیع سلاح به کفّاری که در حال جنگ باهستند، حرام نیست</w:t>
      </w:r>
      <w:r>
        <w:rPr>
          <w:rFonts w:eastAsia="IRNazanin" w:cs="IRNazanin"/>
          <w:color w:val="111111"/>
          <w:sz w:val="28"/>
          <w:szCs w:val="28"/>
          <w:rtl w:val="true"/>
          <w:lang w:bidi="fa-IR"/>
        </w:rPr>
        <w:t>.</w:t>
      </w:r>
      <w:bookmarkStart w:id="212" w:name="pg13785_134959"/>
    </w:p>
    <w:p>
      <w:pPr>
        <w:pStyle w:val="BookText"/>
        <w:rPr/>
      </w:pPr>
      <w:bookmarkEnd w:id="212"/>
      <w:r>
        <w:rPr>
          <w:rFonts w:ascii="IRNazanin" w:hAnsi="IRNazanin" w:eastAsia="IRNazanin"/>
          <w:color w:val="111111"/>
          <w:sz w:val="28"/>
          <w:sz w:val="28"/>
          <w:szCs w:val="28"/>
          <w:rtl w:val="true"/>
          <w:lang w:bidi="fa-IR"/>
        </w:rPr>
        <w:t>با توجّه به آنچه در گفتار پیشین و در بیان تفاوت میان تقسیم ثلاثی و تقسیم خماسی اظهار شد، به نظر می‌رسد مثال مذکور در کلام محقّق حلّی قدس سره، با تقسیم برگزیده از سوی ایشان همخوانی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در تقسیم ثلاثی حکم ثابت است و به اقتضای اعیان و منافع به دست می‌آید، حال آن‌که در مثال یاد شده، بحث از عوارض و طواری عمل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ذکر این مثال با پذیرش تقسیم ثلاثی همخوان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پاسخ به این اشکال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به صورت استطرادی بیان شده است</w:t>
      </w:r>
      <w:r>
        <w:rPr>
          <w:rFonts w:eastAsia="IRNazanin" w:cs="IRNazanin"/>
          <w:color w:val="111111"/>
          <w:sz w:val="28"/>
          <w:szCs w:val="28"/>
          <w:rtl w:val="true"/>
          <w:lang w:bidi="fa-IR"/>
        </w:rPr>
        <w:t>.</w:t>
      </w:r>
    </w:p>
    <w:p>
      <w:pPr>
        <w:pStyle w:val="Heading4"/>
        <w:numPr>
          <w:ilvl w:val="3"/>
          <w:numId w:val="1"/>
        </w:numPr>
        <w:rPr/>
      </w:pPr>
      <w:bookmarkStart w:id="213" w:name="__RefHeading___Toc2530855_1468164448"/>
      <w:bookmarkStart w:id="214" w:name="_Toc83"/>
      <w:bookmarkEnd w:id="213"/>
      <w:r>
        <w:rPr>
          <w:rtl w:val="true"/>
        </w:rPr>
        <w:t>گفتار سوم</w:t>
      </w:r>
      <w:r>
        <w:rPr>
          <w:rtl w:val="true"/>
        </w:rPr>
        <w:t xml:space="preserve">: </w:t>
      </w:r>
      <w:r>
        <w:rPr>
          <w:rtl w:val="true"/>
        </w:rPr>
        <w:t>نفسی یا غیری بودن حکم</w:t>
      </w:r>
      <w:bookmarkEnd w:id="214"/>
    </w:p>
    <w:p>
      <w:pPr>
        <w:pStyle w:val="Heading5"/>
        <w:numPr>
          <w:ilvl w:val="4"/>
          <w:numId w:val="1"/>
        </w:numPr>
        <w:rPr/>
      </w:pPr>
      <w:bookmarkStart w:id="215" w:name="__RefHeading___Toc2530857_1468164448"/>
      <w:bookmarkStart w:id="216" w:name="_Toc84"/>
      <w:bookmarkEnd w:id="215"/>
      <w:r>
        <w:rPr>
          <w:rtl w:val="true"/>
        </w:rPr>
        <w:t>اشارة</w:t>
      </w:r>
      <w:bookmarkEnd w:id="216"/>
    </w:p>
    <w:p>
      <w:pPr>
        <w:pStyle w:val="BookText"/>
        <w:rPr/>
      </w:pPr>
      <w:r>
        <w:rPr>
          <w:rFonts w:ascii="IRNazanin" w:hAnsi="IRNazanin" w:eastAsia="IRNazanin"/>
          <w:color w:val="111111"/>
          <w:sz w:val="28"/>
          <w:sz w:val="28"/>
          <w:szCs w:val="28"/>
          <w:rtl w:val="true"/>
          <w:lang w:bidi="fa-IR"/>
        </w:rPr>
        <w:t>مسئلۀ دیگری که باید مورد بررسی قرار گیرد این است که در تقسیم مکاسب، مراد فقها از واجب و حرام چیست؟ آیا اشاره به واجب و حرام نفسی دارد یا واجب و حرام غیری را نیز شامل می‌شود؟</w:t>
      </w:r>
    </w:p>
    <w:p>
      <w:pPr>
        <w:pStyle w:val="BookText"/>
        <w:rPr/>
      </w:pPr>
      <w:r>
        <w:rPr>
          <w:rFonts w:ascii="IRNazanin" w:hAnsi="IRNazanin" w:eastAsia="IRNazanin"/>
          <w:color w:val="111111"/>
          <w:sz w:val="28"/>
          <w:sz w:val="28"/>
          <w:szCs w:val="28"/>
          <w:rtl w:val="true"/>
          <w:lang w:bidi="fa-IR"/>
        </w:rPr>
        <w:t xml:space="preserve">فقها در بیان مثال، بین احکام نفسی و غیری فرقی نگذاشته‌اند؛ یعنی مکاسب محرّمه اعم است از مکاسبی که بالذات حرام‌اند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خرید و فروش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مکاسبی که به اعتبار طواری و عوارض حرام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خرید و فروش چاقو برای کشتن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مکاسب در کلام فقها به اعتبار نفسی بودن حکم است، بسیاری از مثال‌های ذکر شده توسّط فقها از دایرۀ بحث خارج می‌شوند؛ چراکه بسیاری از آنها عنوان غیری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محقّق حلّی قدس سره در شرائع، مکاسب محرّمه را پنج قسم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نجس مانند 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حرام است و حرمت آن، به‌خاطر آن چیزی است که از آن قصد می‌شود، مانند آلات لهو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قابل استفاده نیست، مانند مسوخ</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خودی خود، حرام است، مانند مجسّمه سازی</w:t>
      </w:r>
      <w:r>
        <w:rPr>
          <w:rFonts w:eastAsia="IRNazanin" w:cs="IRNazanin"/>
          <w:color w:val="111111"/>
          <w:sz w:val="28"/>
          <w:szCs w:val="28"/>
          <w:rtl w:val="true"/>
          <w:lang w:bidi="fa-IR"/>
        </w:rPr>
        <w:t>.</w:t>
      </w:r>
      <w:bookmarkStart w:id="217" w:name="pg13785_134960"/>
    </w:p>
    <w:p>
      <w:pPr>
        <w:pStyle w:val="BookText"/>
        <w:rPr/>
      </w:pPr>
      <w:bookmarkEnd w:id="217"/>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انجامش بر انسان واجب است، مانند غسل دادن مردگان</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قسم دوم و سومی که محقّق حلّی قدس سره جزء مکاسب محرّمه ذکر کرده است، حرمت نفسی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آلات لهو به خاطر مقصود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فساد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حرمت می‌گیرند و قسم سوم نیز به این اعتبار که نفعی برای انسان ندارد، جزء مکاسب محرّمه قرار گرفته‌اند و این گونه نیست که حرمت ذاتی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فقها از حرمت و وجوب، حرمت و وجوب نفسی است، بسیاری از نمونه‌های ذکر شده در کلام فقها را باید از بحث خارج کرد، در حالی که اینها داخل در محلّ نزاع هستند</w:t>
      </w:r>
      <w:r>
        <w:rPr>
          <w:rFonts w:eastAsia="IRNazanin" w:cs="IRNazanin"/>
          <w:color w:val="111111"/>
          <w:sz w:val="28"/>
          <w:szCs w:val="28"/>
          <w:rtl w:val="true"/>
          <w:lang w:bidi="fa-IR"/>
        </w:rPr>
        <w:t>.</w:t>
      </w:r>
    </w:p>
    <w:p>
      <w:pPr>
        <w:pStyle w:val="Heading5"/>
        <w:numPr>
          <w:ilvl w:val="4"/>
          <w:numId w:val="1"/>
        </w:numPr>
        <w:rPr/>
      </w:pPr>
      <w:bookmarkStart w:id="218" w:name="__RefHeading___Toc2530859_1468164448"/>
      <w:bookmarkStart w:id="219" w:name="_Toc85"/>
      <w:bookmarkEnd w:id="218"/>
      <w:r>
        <w:rPr>
          <w:rtl w:val="true"/>
        </w:rPr>
        <w:t>تفاوت نفسی و غیری بودن حکم</w:t>
      </w:r>
      <w:bookmarkEnd w:id="219"/>
    </w:p>
    <w:p>
      <w:pPr>
        <w:pStyle w:val="BookText"/>
        <w:rPr/>
      </w:pPr>
      <w:r>
        <w:rPr>
          <w:rFonts w:ascii="IRNazanin" w:hAnsi="IRNazanin" w:eastAsia="IRNazanin"/>
          <w:color w:val="111111"/>
          <w:sz w:val="28"/>
          <w:sz w:val="28"/>
          <w:szCs w:val="28"/>
          <w:rtl w:val="true"/>
          <w:lang w:bidi="fa-IR"/>
        </w:rPr>
        <w:t>بین اصولیان در این‌که کدام واجب، نفسی و کدام واجب، غیری است،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فقها، واجب غیری را این گونه معنا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وجوبه لغیره</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لازمۀ پذیرش تعریف مشهور این است که بگوییم تمام واجبات نفسی، خودشان واجب غیری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مورد نماز که مصداق بارز واجب نفسی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لِذِکْرِی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أَقِمِ الصَّلاةَ إِنَّ الصَّلاةَ تَنْهی عَنِ الْفَحْشاءِ وَ الْمُنْکَرِ</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نیز یک واجب غیری است؛ زیرا هدف از خواندن نماز، ذکر خداوند متعال است و یا چون موجب نهی از فحشا و منکر می‌شود، واجب شده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قدس سره برای دفع این اشکال،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اوّلیه، متفاوت از غایت الغایات و أقصی الغایات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مربوط به نماز، اقصی الغایات مطرح شده است، در حالی که هنگام صدور حکم وجوب، این غایت مدّ نظر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نماز یک واجب نفسی به شمار می‌رود، نه واجب غیری</w:t>
      </w:r>
      <w:r>
        <w:rPr>
          <w:rFonts w:eastAsia="IRNazanin" w:cs="IRNazanin"/>
          <w:color w:val="111111"/>
          <w:sz w:val="28"/>
          <w:szCs w:val="28"/>
          <w:rtl w:val="true"/>
          <w:lang w:bidi="fa-IR"/>
        </w:rPr>
        <w:t>.</w:t>
      </w:r>
      <w:r>
        <w:rPr>
          <w:rStyle w:val="FootnoteAnchor"/>
          <w:rtl w:val="true"/>
        </w:rPr>
        <w:footnoteReference w:id="171"/>
      </w:r>
      <w:bookmarkStart w:id="220" w:name="pg13785_134961"/>
    </w:p>
    <w:p>
      <w:pPr>
        <w:pStyle w:val="BookText"/>
        <w:rPr/>
      </w:pPr>
      <w:bookmarkEnd w:id="220"/>
      <w:r>
        <w:rPr>
          <w:rFonts w:ascii="IRNazanin" w:hAnsi="IRNazanin" w:eastAsia="IRNazanin"/>
          <w:color w:val="111111"/>
          <w:sz w:val="28"/>
          <w:sz w:val="28"/>
          <w:szCs w:val="28"/>
          <w:rtl w:val="true"/>
          <w:lang w:bidi="fa-IR"/>
        </w:rPr>
        <w:t>اگر واجب و حرام غیری را از محلّ بحث و دایرۀ تقسیم مکاسب، خارج بدانیم، شمار بسیاری از نمونه‌های ذکر شده توسّط فقها از محلّ بحث خارج می‌شود؛ چراکه در موارد زیادی حرمت یا کراهت معاملات، حرام یا مکروه ذاتی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معامله با اکراد</w:t>
      </w:r>
      <w:r>
        <w:rPr>
          <w:rStyle w:val="FootnoteAnchor"/>
          <w:rtl w:val="true"/>
        </w:rPr>
        <w:footnoteReference w:id="172"/>
      </w:r>
      <w:r>
        <w:rPr>
          <w:rFonts w:ascii="IRNazanin" w:hAnsi="IRNazanin" w:eastAsia="IRNazanin"/>
          <w:color w:val="111111"/>
          <w:sz w:val="28"/>
          <w:sz w:val="28"/>
          <w:szCs w:val="28"/>
          <w:rtl w:val="true"/>
          <w:lang w:bidi="fa-IR"/>
        </w:rPr>
        <w:t>معامله‌ای مکروه است، ولی این کراهت ذاتی نیست؛ بلکه از آن‌جا که معامله با اکراد مقدّمه‌ای برای ایجاد فتنه بوده و هر وقت معامله‌ای با آنها واقع می‌شد، یک نزاع پیش می‌آمد، جهت دفع نزاع و فتنه، این نهی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خارج کردن واجبات و محرّمات غیری از تقسیم مکاسب، امکان پذیر نیست و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معامله‌ای مقدّمۀ واجب یا حرام بود، از محلّ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اگر غایت نهایی یک شیء، فساد باشد، نمی‌توان گفت حرمت آن، غیری و از باب مقدّمیت است؛ بلکه در این‌گونه موارد، حرمت، نفسی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نمی‌توان حرمت اکل شراب را از این جهت که اقصی الغایات آن اسکار است، غیری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اخیر، می‌توان چنین نتیجه گرفت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 مکاسب، منظور فقها از واجب و حرام، اعمّ از نفسی و غیری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که پنداشته می‌شود حکم غیری است، در واقع بحث غایت الغایات را در نظر گرفته‌اند، در حالی که در این موارد، حکم نفسی است</w:t>
      </w:r>
      <w:r>
        <w:rPr>
          <w:rFonts w:eastAsia="IRNazanin" w:cs="IRNazanin"/>
          <w:color w:val="111111"/>
          <w:sz w:val="28"/>
          <w:szCs w:val="28"/>
          <w:rtl w:val="true"/>
          <w:lang w:bidi="fa-IR"/>
        </w:rPr>
        <w:t>.</w:t>
      </w:r>
    </w:p>
    <w:p>
      <w:pPr>
        <w:pStyle w:val="Heading4"/>
        <w:numPr>
          <w:ilvl w:val="3"/>
          <w:numId w:val="1"/>
        </w:numPr>
        <w:rPr/>
      </w:pPr>
      <w:bookmarkStart w:id="221" w:name="__RefHeading___Toc2530861_1468164448"/>
      <w:bookmarkStart w:id="222" w:name="_Toc86"/>
      <w:bookmarkEnd w:id="221"/>
      <w:r>
        <w:rPr>
          <w:rtl w:val="true"/>
        </w:rPr>
        <w:t>گفتار چهارم</w:t>
      </w:r>
      <w:r>
        <w:rPr>
          <w:rtl w:val="true"/>
        </w:rPr>
        <w:t xml:space="preserve">: </w:t>
      </w:r>
      <w:r>
        <w:rPr>
          <w:rtl w:val="true"/>
        </w:rPr>
        <w:t>حکم اکتساب محض</w:t>
      </w:r>
      <w:bookmarkEnd w:id="222"/>
    </w:p>
    <w:p>
      <w:pPr>
        <w:pStyle w:val="BookText"/>
        <w:rPr/>
      </w:pPr>
      <w:r>
        <w:rPr>
          <w:rFonts w:ascii="IRNazanin" w:hAnsi="IRNazanin" w:eastAsia="IRNazanin"/>
          <w:color w:val="111111"/>
          <w:sz w:val="28"/>
          <w:sz w:val="28"/>
          <w:szCs w:val="28"/>
          <w:rtl w:val="true"/>
          <w:lang w:bidi="fa-IR"/>
        </w:rPr>
        <w:t>اکتساب بما هو اکتساب، بدون وجود عناوین عارضی چه حکمی دارد؟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عبارات فقها استفاده می‌شود که اکتساب، به خودی خود مباح است؛</w:t>
      </w:r>
      <w:r>
        <w:rPr>
          <w:rStyle w:val="FootnoteAnchor"/>
          <w:rtl w:val="true"/>
        </w:rPr>
        <w:footnoteReference w:id="173"/>
      </w:r>
      <w:r>
        <w:rPr>
          <w:rFonts w:ascii="IRNazanin" w:hAnsi="IRNazanin" w:eastAsia="IRNazanin"/>
          <w:color w:val="111111"/>
          <w:sz w:val="28"/>
          <w:sz w:val="28"/>
          <w:szCs w:val="28"/>
          <w:rtl w:val="true"/>
          <w:lang w:bidi="fa-IR"/>
        </w:rPr>
        <w:t>یعنی اگر شخصی بدون هیچ قصد و غایتی به کسب بپردازد، مرتکب فعلی مباح شده است</w:t>
      </w:r>
      <w:r>
        <w:rPr>
          <w:rFonts w:eastAsia="IRNazanin" w:cs="IRNazanin"/>
          <w:color w:val="111111"/>
          <w:sz w:val="28"/>
          <w:szCs w:val="28"/>
          <w:rtl w:val="true"/>
          <w:lang w:bidi="fa-IR"/>
        </w:rPr>
        <w:t>.</w:t>
      </w:r>
      <w:bookmarkStart w:id="223" w:name="pg13785_134962"/>
    </w:p>
    <w:p>
      <w:pPr>
        <w:pStyle w:val="BookText"/>
        <w:rPr/>
      </w:pPr>
      <w:bookmarkEnd w:id="223"/>
      <w:r>
        <w:rPr>
          <w:rFonts w:ascii="IRNazanin" w:hAnsi="IRNazanin" w:eastAsia="IRNazanin"/>
          <w:color w:val="111111"/>
          <w:sz w:val="28"/>
          <w:sz w:val="28"/>
          <w:szCs w:val="28"/>
          <w:rtl w:val="true"/>
          <w:lang w:bidi="fa-IR"/>
        </w:rPr>
        <w:t>روایات این باب همچون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سَبْعُونَ جُزْءاً أَفْضَلُهَا طَلَبُ الْحَلَالِ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4"/>
      </w:r>
      <w:r>
        <w:rPr>
          <w:rFonts w:ascii="IRNazanin" w:hAnsi="IRNazanin" w:eastAsia="IRNazanin"/>
          <w:color w:val="111111"/>
          <w:sz w:val="28"/>
          <w:sz w:val="28"/>
          <w:szCs w:val="28"/>
          <w:rtl w:val="true"/>
          <w:lang w:bidi="fa-IR"/>
        </w:rPr>
        <w:t>بر استحباب نفسی اکتساب محض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خلاف گفتۀ فقها، روایات بر مستحب بودن اکتساب محض، دلالت دارند</w:t>
      </w:r>
      <w:r>
        <w:rPr>
          <w:rFonts w:eastAsia="IRNazanin" w:cs="IRNazanin"/>
          <w:color w:val="111111"/>
          <w:sz w:val="28"/>
          <w:szCs w:val="28"/>
          <w:rtl w:val="true"/>
          <w:lang w:bidi="fa-IR"/>
        </w:rPr>
        <w:t>.</w:t>
      </w:r>
    </w:p>
    <w:p>
      <w:pPr>
        <w:pStyle w:val="Heading4"/>
        <w:numPr>
          <w:ilvl w:val="3"/>
          <w:numId w:val="1"/>
        </w:numPr>
        <w:rPr/>
      </w:pPr>
      <w:bookmarkStart w:id="224" w:name="__RefHeading___Toc2530863_1468164448"/>
      <w:bookmarkStart w:id="225" w:name="_Toc87"/>
      <w:bookmarkEnd w:id="224"/>
      <w:r>
        <w:rPr>
          <w:rtl w:val="true"/>
        </w:rPr>
        <w:t>گفتار پنجم</w:t>
      </w:r>
      <w:r>
        <w:rPr>
          <w:rtl w:val="true"/>
        </w:rPr>
        <w:t xml:space="preserve">: </w:t>
      </w:r>
      <w:r>
        <w:rPr>
          <w:rtl w:val="true"/>
        </w:rPr>
        <w:t>نتیجه‌گیری</w:t>
      </w:r>
      <w:bookmarkEnd w:id="225"/>
    </w:p>
    <w:p>
      <w:pPr>
        <w:pStyle w:val="BookText"/>
        <w:rPr/>
      </w:pPr>
      <w:r>
        <w:rPr>
          <w:rFonts w:ascii="IRNazanin" w:hAnsi="IRNazanin" w:eastAsia="IRNazanin"/>
          <w:color w:val="111111"/>
          <w:sz w:val="28"/>
          <w:sz w:val="28"/>
          <w:szCs w:val="28"/>
          <w:rtl w:val="true"/>
          <w:lang w:bidi="fa-IR"/>
        </w:rPr>
        <w:t xml:space="preserve">کسب به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یکتسب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قسم دارد؛ امّا از این جهت که فعلی از افعال مکلّف باشد، دو فرض 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فعل با قطع نظر از هر گونه عارضی در نظر گرفته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شخص بدون هیچ قصد و نیّت خارجی به تجارت می‌پردازد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اکتساب محض بوده و حکم آن با توجّه به روایات، استحباب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اکتساب، با توجّه به عناوین خارجی در نظر گرفته می‌شود که در این فرض، به پنج قسم تقسیم می‌گردد</w:t>
      </w:r>
      <w:r>
        <w:rPr>
          <w:rFonts w:eastAsia="IRNazanin" w:cs="IRNazanin"/>
          <w:color w:val="111111"/>
          <w:sz w:val="28"/>
          <w:szCs w:val="28"/>
          <w:rtl w:val="true"/>
          <w:lang w:bidi="fa-IR"/>
        </w:rPr>
        <w:t>.</w:t>
      </w:r>
      <w:bookmarkStart w:id="226" w:name="pg13785_134964"/>
    </w:p>
    <w:p>
      <w:pPr>
        <w:pStyle w:val="Heading3"/>
        <w:numPr>
          <w:ilvl w:val="2"/>
          <w:numId w:val="1"/>
        </w:numPr>
        <w:rPr/>
      </w:pPr>
      <w:bookmarkStart w:id="227" w:name="__RefHeading___Toc2530865_1468164448"/>
      <w:bookmarkStart w:id="228" w:name="_Toc88"/>
      <w:bookmarkEnd w:id="226"/>
      <w:bookmarkEnd w:id="227"/>
      <w:r>
        <w:rPr>
          <w:rtl w:val="true"/>
        </w:rPr>
        <w:t>فصل سوم</w:t>
      </w:r>
      <w:r>
        <w:rPr>
          <w:rtl w:val="true"/>
        </w:rPr>
        <w:t xml:space="preserve">: </w:t>
      </w:r>
      <w:r>
        <w:rPr>
          <w:rtl w:val="true"/>
        </w:rPr>
        <w:t>متعلّق حرمت در بحث مکاسب محرّمه</w:t>
      </w:r>
      <w:bookmarkEnd w:id="228"/>
    </w:p>
    <w:p>
      <w:pPr>
        <w:pStyle w:val="Heading4"/>
        <w:numPr>
          <w:ilvl w:val="3"/>
          <w:numId w:val="1"/>
        </w:numPr>
        <w:rPr/>
      </w:pPr>
      <w:bookmarkStart w:id="229" w:name="__RefHeading___Toc2530867_1468164448"/>
      <w:bookmarkStart w:id="230" w:name="_Toc89"/>
      <w:bookmarkEnd w:id="229"/>
      <w:r>
        <w:rPr>
          <w:rtl w:val="true"/>
        </w:rPr>
        <w:t>اشارة</w:t>
      </w:r>
      <w:bookmarkEnd w:id="230"/>
    </w:p>
    <w:p>
      <w:pPr>
        <w:pStyle w:val="BookText"/>
        <w:rPr/>
      </w:pPr>
      <w:r>
        <w:rPr>
          <w:rFonts w:ascii="IRNazanin" w:hAnsi="IRNazanin" w:eastAsia="IRNazanin"/>
          <w:color w:val="111111"/>
          <w:sz w:val="28"/>
          <w:sz w:val="28"/>
          <w:szCs w:val="28"/>
          <w:rtl w:val="true"/>
          <w:lang w:bidi="fa-IR"/>
        </w:rPr>
        <w:t>شیخ انصاری قدس سره در کتاب المکاسب می‌نویسد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ومعنی حرمة الإکتساب حرمة نقل والإنتقال بقصد ترتّب الأثر وأمّا حرمة أکل المال فی مقابلها فهو متفرّع علی فساد البیع لأنّه مال الغیر وقع فی یده بلا سببٍ شرعی وإن قلنا بعدم التحریم؛ لأنّ ظاهر أدلة تحریم بیع مثل الخمر منصرف إلی ما لو أراد ترتیب الآثار الحرمة، أمّا لو قصد الأثر المحللّ فلا دلیل علی تحریم المعاملة إلّامن حیث التشریع؛</w:t>
      </w:r>
      <w:r>
        <w:rPr>
          <w:rStyle w:val="FootnoteAnchor"/>
          <w:rtl w:val="true"/>
        </w:rPr>
        <w:footnoteReference w:id="175"/>
      </w:r>
      <w:r>
        <w:rPr>
          <w:rFonts w:ascii="IRNazanin" w:hAnsi="IRNazanin" w:eastAsia="IRNazanin"/>
          <w:color w:val="111111"/>
          <w:sz w:val="28"/>
          <w:sz w:val="28"/>
          <w:szCs w:val="28"/>
          <w:rtl w:val="true"/>
          <w:lang w:bidi="fa-IR"/>
        </w:rPr>
        <w:t>معنای حرمت اکتساب، حرمت نقل و انتقال به قصد ترتّب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حرمت اکل مال در مقابل این اکتساب حرام، متفرّع بر فساد بیع می‌باشد؛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بیع فاسد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منتقل شده، مال غیر است که بدون سبب شرعی در دست دیگری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وقتی بیع فاسد باشد، حرمت اکل مال غیر بر آن مترتّب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هرچند آن بیع را حرام ندانیم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این‌که می‌گوییم قصد ترتّب اثر در حرمت اکتساب، تأثیر دارد، به‌خاطر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ادلّۀ تحریم بیعِ چیزهایی مانند خمر، انصراف به جایی دارد که شخص، ترتّب آثار حرمت را اراده نماید؛ لیکن اگر آثار حلال را اراده نماید، دلیلی بر</w:t>
      </w:r>
      <w:bookmarkStart w:id="231" w:name="pg13785_134965"/>
    </w:p>
    <w:p>
      <w:pPr>
        <w:pStyle w:val="BookText"/>
        <w:rPr/>
      </w:pPr>
      <w:bookmarkEnd w:id="231"/>
      <w:r>
        <w:rPr>
          <w:rFonts w:ascii="IRNazanin" w:hAnsi="IRNazanin" w:eastAsia="IRNazanin"/>
          <w:color w:val="111111"/>
          <w:sz w:val="28"/>
          <w:sz w:val="28"/>
          <w:szCs w:val="28"/>
          <w:rtl w:val="true"/>
          <w:lang w:bidi="fa-IR"/>
        </w:rPr>
        <w:t>حرمت معامله وجود ندارد، مگرحرمت 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تقسیم مکاسب به این مطلب اشاره شد که یک قسم از مکاسب، مکاسب محرّمه است و در شریعت اسلامی، برخی از کسب‌ها همچون معاملۀ شراب، خوک، سگ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 توجّه به این نکته که این حرمت می‌تواند به اشیای گوناگونی تعلّق بگیرد، باید ببینیم مراد از حرمت و متعلّق آن در بحث مکاسب محرّمه چیست؟ به این منظور، ابتدا دو مقدّمه را بیان می‌کنیم و سپس به نقد و بررسی دیدگاه‌های فقها می‌پردازیم و در نهایت، دیدگاه خود را ارائه می‌دهیم</w:t>
      </w:r>
      <w:r>
        <w:rPr>
          <w:rFonts w:eastAsia="IRNazanin" w:cs="IRNazanin"/>
          <w:color w:val="111111"/>
          <w:sz w:val="28"/>
          <w:szCs w:val="28"/>
          <w:rtl w:val="true"/>
          <w:lang w:bidi="fa-IR"/>
        </w:rPr>
        <w:t>.</w:t>
      </w:r>
    </w:p>
    <w:p>
      <w:pPr>
        <w:pStyle w:val="Heading4"/>
        <w:numPr>
          <w:ilvl w:val="3"/>
          <w:numId w:val="1"/>
        </w:numPr>
        <w:rPr/>
      </w:pPr>
      <w:bookmarkStart w:id="232" w:name="__RefHeading___Toc2530869_1468164448"/>
      <w:bookmarkStart w:id="233" w:name="_Toc90"/>
      <w:bookmarkEnd w:id="232"/>
      <w:r>
        <w:rPr>
          <w:rtl w:val="true"/>
        </w:rPr>
        <w:t>گفتار اوّل</w:t>
      </w:r>
      <w:r>
        <w:rPr>
          <w:rtl w:val="true"/>
        </w:rPr>
        <w:t xml:space="preserve">: </w:t>
      </w:r>
      <w:r>
        <w:rPr>
          <w:rtl w:val="true"/>
        </w:rPr>
        <w:t>نکات مقدّماتی</w:t>
      </w:r>
      <w:bookmarkEnd w:id="233"/>
    </w:p>
    <w:p>
      <w:pPr>
        <w:pStyle w:val="Heading5"/>
        <w:numPr>
          <w:ilvl w:val="4"/>
          <w:numId w:val="1"/>
        </w:numPr>
        <w:rPr/>
      </w:pPr>
      <w:bookmarkStart w:id="234" w:name="__RefHeading___Toc2530871_1468164448"/>
      <w:bookmarkStart w:id="235" w:name="_Toc91"/>
      <w:bookmarkEnd w:id="234"/>
      <w:r>
        <w:rPr>
          <w:rtl w:val="true"/>
        </w:rPr>
        <w:t>بند اوّل</w:t>
      </w:r>
      <w:r>
        <w:rPr>
          <w:rtl w:val="true"/>
        </w:rPr>
        <w:t xml:space="preserve">: </w:t>
      </w:r>
      <w:r>
        <w:rPr>
          <w:rtl w:val="true"/>
        </w:rPr>
        <w:t>انواع کسب‌های محرّم</w:t>
      </w:r>
      <w:bookmarkEnd w:id="235"/>
    </w:p>
    <w:p>
      <w:pPr>
        <w:pStyle w:val="BookText"/>
        <w:rPr/>
      </w:pPr>
      <w:r>
        <w:rPr>
          <w:rFonts w:ascii="IRNazanin" w:hAnsi="IRNazanin" w:eastAsia="IRNazanin"/>
          <w:color w:val="111111"/>
          <w:sz w:val="28"/>
          <w:sz w:val="28"/>
          <w:szCs w:val="28"/>
          <w:rtl w:val="true"/>
          <w:lang w:bidi="fa-IR"/>
        </w:rPr>
        <w:t xml:space="preserve">در میان مکاسب محرّمه، برخی تنها حرمت تکلیفی دارند،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وقت نداء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شخصی هنگام ندای نماز جمعه معامله‌ای انجام دهد، فعل حرامی را مرتکب شده است، بدون آن‌که معاملۀ او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در دسته‌ای دیگر از مکاسب محرّمه، فقط حرمت وضعی وجود دارد، مانند آن‌جا که یکی از شرایط صحّت معامله موجود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معامله انجام شده فاسد است، امّا حرمت تکلیفی ندارد و هیچ یک از بایع و مشتری مرتکب فعل حرام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معامله حرام نیست؛ بلکه فاسد است و تصرّف در مال به دست آمده از معاملۀ فاسد،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دیگر از مکاسب محرّمه، هم حرمت وضعی دارند و هم حرمت تکلیفی؛ برای این مورد می‌توان به معاملۀ ربوی و بیع خمر را به عنوان نمونه، بیان کرد</w:t>
      </w:r>
      <w:r>
        <w:rPr>
          <w:rFonts w:eastAsia="IRNazanin" w:cs="IRNazanin"/>
          <w:color w:val="111111"/>
          <w:sz w:val="28"/>
          <w:szCs w:val="28"/>
          <w:rtl w:val="true"/>
          <w:lang w:bidi="fa-IR"/>
        </w:rPr>
        <w:t>.</w:t>
      </w:r>
    </w:p>
    <w:p>
      <w:pPr>
        <w:pStyle w:val="Heading5"/>
        <w:numPr>
          <w:ilvl w:val="4"/>
          <w:numId w:val="1"/>
        </w:numPr>
        <w:rPr/>
      </w:pPr>
      <w:bookmarkStart w:id="236" w:name="__RefHeading___Toc2530873_1468164448"/>
      <w:bookmarkStart w:id="237" w:name="_Toc92"/>
      <w:bookmarkEnd w:id="236"/>
      <w:r>
        <w:rPr>
          <w:rtl w:val="true"/>
        </w:rPr>
        <w:t>بند دوم</w:t>
      </w:r>
      <w:r>
        <w:rPr>
          <w:rtl w:val="true"/>
        </w:rPr>
        <w:t xml:space="preserve">: </w:t>
      </w:r>
      <w:r>
        <w:rPr>
          <w:rtl w:val="true"/>
        </w:rPr>
        <w:t>فرض‌های قابل تصوّر در مورد متعلّق حرمت</w:t>
      </w:r>
      <w:bookmarkEnd w:id="23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معامله‌ای احتمالات گوناگونی در مورد متعلّق حرمت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فرض‌های قابل تصوّر در آن را مورد مطالعه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حرمت به همان انشایی تعلّق گرفته باشد که بایع و مشتری انجام داده‌اند و به آن سبب معامله می‌گویند؛ یعنی طرفین معامله با انشای صیغۀ عقد مرتکب حرام شده‌اند و فرق ندارد که این انشا، یک انشای لفظی باشد یا یک انشای معاطاتی عملی؛ بلکه در هر دو صورت متعلّق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متعلّق حرمت، عبارت باشد از مسبّب؛ یعنی آنچه با انشا ایجاد می‌شود، متعلّق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تملیک جدّی ثمن و مثمن که اثر انشا است حرام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تفاوتی ندارد که طرفین معامله، قصد ترتّب اثر محرّم را داشته باشند یا چنین قصدی را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مسبّب متعلّق حرمت باشد، به شرطی که طرفین معامله، ترتّب این اثر محرّم را قصد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آثار مترتّب بر هر معامله که همان قبض و اقباض است، متعلّق حرمت باشد؛ به عنوان مثال، این‌که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 الخمر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قبض خمر توسّط مشتری و قبض ثمن توسّط بایع، حرام است؛ لیکن انشای عقد و مسبّب آن حرام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نیز تفاوتی ندارد که بایع و مشتری، ترتّب اثر محرّم را قصد کرده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فرض، قبض و اقباض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بیان دیگر، تسلیم و تسلّم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سبب و مسبّب، مطلقاً حرام باشند؛ یعنی انشا و آنچه با انشا ایجاد می‌شود، متعلّق حرمت‌واقع می‌شوند، خواه ترتّب اثر، قصد شده باشد و یا قصد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متعلّق حرمت در موارد مختلف، متفاوت و تابع دلیل باشد؛ یعنی ممکن است در برخی موارد با استفاده از دلیل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متعلّق حرمت است و در مواردی دیگر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احتمالاتی که بیان شد تنها در مقام تصوّر وجود دارد و ممکن است برخی از آنها را هیچ یک از فقها ملتزم نشده باشند؛ امّا برای بیان فروض مسئله، آنها را ذکر کردیم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به بررسی دیدگاه فقها در این باره می‌پردازیم</w:t>
      </w:r>
      <w:r>
        <w:rPr>
          <w:rFonts w:eastAsia="IRNazanin" w:cs="IRNazanin"/>
          <w:color w:val="111111"/>
          <w:sz w:val="28"/>
          <w:szCs w:val="28"/>
          <w:rtl w:val="true"/>
          <w:lang w:bidi="fa-IR"/>
        </w:rPr>
        <w:t>.</w:t>
      </w:r>
      <w:bookmarkStart w:id="238" w:name="pg13785_134967"/>
    </w:p>
    <w:p>
      <w:pPr>
        <w:pStyle w:val="Heading4"/>
        <w:numPr>
          <w:ilvl w:val="3"/>
          <w:numId w:val="1"/>
        </w:numPr>
        <w:rPr/>
      </w:pPr>
      <w:bookmarkStart w:id="239" w:name="__RefHeading___Toc2530875_1468164448"/>
      <w:bookmarkStart w:id="240" w:name="_Toc93"/>
      <w:bookmarkEnd w:id="238"/>
      <w:bookmarkEnd w:id="239"/>
      <w:r>
        <w:rPr>
          <w:rtl w:val="true"/>
        </w:rPr>
        <w:t>گفتار دوم</w:t>
      </w:r>
      <w:r>
        <w:rPr>
          <w:rtl w:val="true"/>
        </w:rPr>
        <w:t xml:space="preserve">: </w:t>
      </w:r>
      <w:r>
        <w:rPr>
          <w:rtl w:val="true"/>
        </w:rPr>
        <w:t>دیدگاه‌های فقها</w:t>
      </w:r>
      <w:bookmarkEnd w:id="240"/>
    </w:p>
    <w:p>
      <w:pPr>
        <w:pStyle w:val="Heading5"/>
        <w:numPr>
          <w:ilvl w:val="4"/>
          <w:numId w:val="1"/>
        </w:numPr>
        <w:rPr/>
      </w:pPr>
      <w:bookmarkStart w:id="241" w:name="__RefHeading___Toc2530877_1468164448"/>
      <w:bookmarkStart w:id="242" w:name="_Toc94"/>
      <w:bookmarkEnd w:id="241"/>
      <w:r>
        <w:rPr>
          <w:rtl w:val="true"/>
        </w:rPr>
        <w:t>بند اوّل</w:t>
      </w:r>
      <w:r>
        <w:rPr>
          <w:rtl w:val="true"/>
        </w:rPr>
        <w:t xml:space="preserve">: </w:t>
      </w:r>
      <w:r>
        <w:rPr>
          <w:rtl w:val="true"/>
        </w:rPr>
        <w:t>دیدگاه شیخ انصاری</w:t>
      </w:r>
      <w:bookmarkEnd w:id="242"/>
    </w:p>
    <w:p>
      <w:pPr>
        <w:pStyle w:val="Heading6"/>
        <w:numPr>
          <w:ilvl w:val="5"/>
          <w:numId w:val="1"/>
        </w:numPr>
        <w:rPr/>
      </w:pPr>
      <w:bookmarkStart w:id="243" w:name="__RefHeading___Toc2530879_1468164448"/>
      <w:bookmarkStart w:id="244" w:name="_Toc95"/>
      <w:bookmarkEnd w:id="243"/>
      <w:r>
        <w:rPr>
          <w:rtl w:val="true"/>
        </w:rPr>
        <w:t>اشارة</w:t>
      </w:r>
      <w:bookmarkEnd w:id="244"/>
    </w:p>
    <w:p>
      <w:pPr>
        <w:pStyle w:val="BookText"/>
        <w:rPr/>
      </w:pPr>
      <w:r>
        <w:rPr>
          <w:rFonts w:ascii="IRNazanin" w:hAnsi="IRNazanin" w:eastAsia="IRNazanin"/>
          <w:color w:val="111111"/>
          <w:sz w:val="28"/>
          <w:sz w:val="28"/>
          <w:szCs w:val="28"/>
          <w:rtl w:val="true"/>
          <w:lang w:bidi="fa-IR"/>
        </w:rPr>
        <w:t>چنان‌که در آغاز فصل گفته شد، شیخ انصاری قدس سره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حرمة الإکتساب حرمة النقل والإنتقال بقصد ترتّب الأثر وأمّا حرمة أکل المال فی مقابلها فهو متفرّع علی فساد البیع لأنّه مال الغیر وقع فی یده بلا سببٍ شرعی وإن قلنا بعدم التحریم؛ لأنّ ظاهر أدلّة تحریم بیع مثل الخمر منصرف إلی ما لو أراد ترتیب الآثار الحرمة، أمّا لو قصد الأثر المحللّ فلا دلیل علی تحریم المعاملة إلّامن حیث التشریع</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ایشان مراد از حرمت کسب را حرمت نقل و انتقال به قصد ترتّب اثر محرّم می‌داند و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معامله‌ای قصد اثر حلال شود، بجز تشریع، دلیلی بر حرمت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قدس سره انصراف را علّت دخیل دانستن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 اثر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حرمت اکتساب می‌داند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تحریم بیع اعیانی همچون خمر، به جایی انصراف دارد که طرفین معامله، ترتّب آثار حرام معامله را قصد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کلمات شیخ انصاری قدس سره متوجّه می‌شویم در سخنان وی سه مطلب اساسی وجود دارد که لازم است این مطالب را مطرح کنیم و مورد بررسی قرار دهیم</w:t>
      </w:r>
      <w:r>
        <w:rPr>
          <w:rFonts w:eastAsia="IRNazanin" w:cs="IRNazanin"/>
          <w:color w:val="111111"/>
          <w:sz w:val="28"/>
          <w:szCs w:val="28"/>
          <w:rtl w:val="true"/>
          <w:lang w:bidi="fa-IR"/>
        </w:rPr>
        <w:t>:</w:t>
      </w:r>
    </w:p>
    <w:p>
      <w:pPr>
        <w:pStyle w:val="Heading6"/>
        <w:numPr>
          <w:ilvl w:val="5"/>
          <w:numId w:val="1"/>
        </w:numPr>
        <w:rPr/>
      </w:pPr>
      <w:bookmarkStart w:id="245" w:name="__RefHeading___Toc2530881_1468164448"/>
      <w:bookmarkStart w:id="246" w:name="_Toc96"/>
      <w:bookmarkEnd w:id="245"/>
      <w:r>
        <w:rPr>
          <w:rtl w:val="true"/>
        </w:rPr>
        <w:t>الف</w:t>
      </w:r>
      <w:r>
        <w:rPr>
          <w:rtl w:val="true"/>
        </w:rPr>
        <w:t xml:space="preserve">) </w:t>
      </w:r>
      <w:r>
        <w:rPr>
          <w:rtl w:val="true"/>
        </w:rPr>
        <w:t>مطلب اوّل</w:t>
      </w:r>
      <w:bookmarkEnd w:id="246"/>
    </w:p>
    <w:p>
      <w:pPr>
        <w:pStyle w:val="BookText"/>
        <w:rPr/>
      </w:pPr>
      <w:r>
        <w:rPr>
          <w:rFonts w:ascii="IRNazanin" w:hAnsi="IRNazanin" w:eastAsia="IRNazanin"/>
          <w:color w:val="111111"/>
          <w:sz w:val="28"/>
          <w:sz w:val="28"/>
          <w:szCs w:val="28"/>
          <w:rtl w:val="true"/>
          <w:lang w:bidi="fa-IR"/>
        </w:rPr>
        <w:t>از نگاه شیخ انصاری قدس سره متعلّق حرمت، نقل و انتقال به قصد ترتّب اثر محرّم است؛ اما نقل و انتقال، مجمل بوده و چند احتمال در مورد آن تصویر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نقل و انتقال، انشای معامله به قصد ترتّب اثر محرّم می‌باشد، اعم از این‌که انشای لفظی باشد یا فعلی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معلول و مفاد انشا که از آن به مُنشأ یا مسبّب تعبیر می‌شود، متعلّق حرمت است</w:t>
      </w:r>
      <w:r>
        <w:rPr>
          <w:rFonts w:eastAsia="IRNazanin" w:cs="IRNazanin"/>
          <w:color w:val="111111"/>
          <w:sz w:val="28"/>
          <w:szCs w:val="28"/>
          <w:rtl w:val="true"/>
          <w:lang w:bidi="fa-IR"/>
        </w:rPr>
        <w:t>.</w:t>
      </w:r>
      <w:bookmarkStart w:id="247" w:name="pg13785_134968"/>
    </w:p>
    <w:p>
      <w:pPr>
        <w:pStyle w:val="BookText"/>
        <w:rPr/>
      </w:pPr>
      <w:bookmarkEnd w:id="247"/>
      <w:r>
        <w:rPr>
          <w:rFonts w:ascii="IRNazanin" w:hAnsi="IRNazanin" w:eastAsia="IRNazanin"/>
          <w:color w:val="111111"/>
          <w:sz w:val="28"/>
          <w:sz w:val="28"/>
          <w:szCs w:val="28"/>
          <w:rtl w:val="true"/>
          <w:lang w:bidi="fa-IR"/>
        </w:rPr>
        <w:t>به عبارت دیگر، مسبّب انشا که همان تملیک جدّی است، اگر به قصد ترتّب اثر محرّم باشد، حرام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نقل و انتقال، قبض و اقباض خارجی است؛ یعنی در صورتی که قبض و اقباض به قصد ترتّب اثر محرّم انجام گیرد،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بررسی احتمالات موجود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حرمة أکل المال فی مقابلها فهو متفرّع علی فساد البیع</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 چنین برداشت می‌شود که شیخ انصاری قدس سره قبض و اقباض را متعلّق حرمت نمی‌داند؛ چراکه حرمت قبض و اقباض نیز مانند حرمت أکل مال، متفرّع بر فساد بیع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برخی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فرضی که یکی از طرفین معامله نسبت به فساد آن جاهل است، حرمت قبض و اقباض شامل او نمی‌شود و صرفاً قبض و اقباض از سوی طرفی که به فساد علم دارد،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قصد الأثر المحلّل فلا دلیل علی تحریم المعامله إلّامن حیث التشریع</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نیز می‌توان دریافت که شیخ قدس سره مجرّد انشا را متعلّق حرمت نمی‌داند؛ بلکه ایشان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قصد اثر محلّل را داشته باشد، حرمت ذاتی متوجّه او نمی‌شود؛ بلکه عمل او فقط حرمت تشریعی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مراد ایشان از حرمت نقل و انتقال، انشای عقد باشد، بحث از تشریع، معنایی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سره متعلّق حرمت را تملیک جدّی می‌داند و مراد وی از حرمت نقل و انتقال، حرمت تملیک جدّی می‌باشد</w:t>
      </w:r>
      <w:r>
        <w:rPr>
          <w:rFonts w:eastAsia="IRNazanin" w:cs="IRNazanin"/>
          <w:color w:val="111111"/>
          <w:sz w:val="28"/>
          <w:szCs w:val="28"/>
          <w:rtl w:val="true"/>
          <w:lang w:bidi="fa-IR"/>
        </w:rPr>
        <w:t>.</w:t>
      </w:r>
    </w:p>
    <w:p>
      <w:pPr>
        <w:pStyle w:val="Heading6"/>
        <w:numPr>
          <w:ilvl w:val="5"/>
          <w:numId w:val="1"/>
        </w:numPr>
        <w:rPr/>
      </w:pPr>
      <w:bookmarkStart w:id="248" w:name="__RefHeading___Toc2530883_1468164448"/>
      <w:bookmarkStart w:id="249" w:name="_Toc97"/>
      <w:bookmarkEnd w:id="248"/>
      <w:r>
        <w:rPr>
          <w:rtl w:val="true"/>
        </w:rPr>
        <w:t>ب</w:t>
      </w:r>
      <w:r>
        <w:rPr>
          <w:rtl w:val="true"/>
        </w:rPr>
        <w:t xml:space="preserve">) </w:t>
      </w:r>
      <w:r>
        <w:rPr>
          <w:rtl w:val="true"/>
        </w:rPr>
        <w:t>مطلب دوم</w:t>
      </w:r>
      <w:bookmarkEnd w:id="24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این‌که ادلّۀ تحریم بیع خمر، دارای اطلاق هستند، شیخ انصاری قدس سره حرمت را به قصد ترتّب اثر محرّم مقیّد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اثبات سخن خود ادّعا می‌کند که ادلّۀ تحریم، منصرف به جایی است که ترتّب اثر محرّم قصد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ایشان، بزرگانی همچون محقّق ایروانی</w:t>
      </w:r>
      <w:r>
        <w:rPr>
          <w:rStyle w:val="FootnoteAnchor"/>
          <w:rtl w:val="true"/>
        </w:rPr>
        <w:footnoteReference w:id="179"/>
      </w:r>
      <w:r>
        <w:rPr>
          <w:rFonts w:ascii="IRNazanin" w:hAnsi="IRNazanin" w:eastAsia="IRNazanin"/>
          <w:color w:val="111111"/>
          <w:sz w:val="28"/>
          <w:sz w:val="28"/>
          <w:szCs w:val="28"/>
          <w:rtl w:val="true"/>
          <w:lang w:bidi="fa-IR"/>
        </w:rPr>
        <w:t>و محقّق خویی قدس سرهما ادّعای انصراف را ادّعایی بدون دلیل و گزاف دانسته‌اند و معتقدند که ادلّۀ حرمت بیع خمر، اطلاق دارد و حاوی چنین قیدی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فرقی نمی‌کند که طرفین معامله، قصد ترتّب اثر حرام را داشته باشند یا چنین قصدی نکرده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خویی قدس سره معتقد است که این ادّعا مستلزم تأسیس فقه جدیدی است و با پذیرش چنین انصرافی، می‌توان تمام محرّمات را محصور و محدود به مواردی خاص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اظهار می‌دارد که اگر باب چنین انصرافی باز شود، در بحث زنا می‌توان ادّعا نمود که ادلّۀ حرمت زنا به زنای با زن شوهردار، انصراف دارد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در تکمیل سخن محقّق خویی قدس سره این مطلب را اضافه می‌کنیم که اگر این انصراف پذیرفته شود،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تنها در صورت قصد ظلم به دیگران حرام است و اگر شخصی پولی را قرض بگیرد و ربا هم بدهد و این قرض، نجات بخش زندگی او باشد و مشکلاتش را حل کند، دیگر پرداخت و دریافت ربا حرام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 ادّعا کرد که وجوب حجاب، مربوط به زمانی است که زن‌ها مورد تعرّض قرار می‌گرفتند؛ امّا اکنون که در جامعه امنیّت وجود دارد و زن‌ها مورد تعرّض قرار نمی‌گیرند، دلیلی برای وجوب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چنین ادّعایی صحیح است؟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سؤال و دفاع از شیخ انصاری قدس سره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یک قرینۀ عام بوده و نیاز به منشأ دارد و هر جا قرینه باشد، ادّعای انصراف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ظهور لفظ در معنای منصرفٌ فیه نیازمند قرینه و منشأ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غالباً کثرت استعمال را منشأ انصراف می‌دانند، امّا این امکان وجود دارد که بتوان از یک روایت به عنوان قرینۀ انصراف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نیز می‌توان روایت تحف العقول را قرینه و منشأ این انصراف قرار داد؛ زیرا در این روایت چیزی حرام دانسته</w:t>
      </w:r>
    </w:p>
    <w:p>
      <w:pPr>
        <w:pStyle w:val="BookText"/>
        <w:rPr/>
      </w:pPr>
      <w:r>
        <w:rPr>
          <w:rFonts w:ascii="IRNazanin" w:hAnsi="IRNazanin" w:eastAsia="IRNazanin"/>
          <w:color w:val="111111"/>
          <w:sz w:val="28"/>
          <w:sz w:val="28"/>
          <w:szCs w:val="28"/>
          <w:rtl w:val="true"/>
          <w:lang w:bidi="fa-IR"/>
        </w:rPr>
        <w:t>شده که در آن ترتّب اثر حرام، قصد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یزدی قدس سره در حاشیۀ مکاسب تصریح می‌کند که اگر متعاملین، قصد ترتّب اثر حلال و منفعت محلّل و حتّی نادر یک شیء را داشته باشند، معامله صحیح است و حرمتی بر آن مترتّب نیست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ممکن است سؤال شود که چرا از راه تقیید وارد نمی‌شوید و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تحف العقول، روایات دیگر را مقیّد کرده است؟ به این بیان که ادلّۀ حرمت کسب،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الخنزیر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مطلق‌اند، ولی روایت تحف العقول حاوی قیدی است که به موجب آن، حرمت کسب به جایی اختصاص می‌یابد که دو طرف معامله، ترتّب اثر حرام را قصد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به‌وسیلۀ روایت تحف العقول سایر روایات را مقیّد نمی‌کنید؟</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در جایی است که دو دلیل، عرفاً ناظر به یک‌دیگر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اگر در یک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دلیل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رقبة 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باشد، دلیل دوّم می‌تواند اوّلی را مقیّد کند؛ لیکن در بحث ما روایت تحف العقول عرفاً در مقام تبیین روایات مطلق نیست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ادّعا که می‌توان از روایت تحف العقول به عنوان منشأ و قرینۀ انصراف استفاده نمود، قابل قبول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بتوان از یک روایت به عنوان قرینه و منشأ یک انصراف در روایت دیگر، بهره گرفت، بدون این‌که اصلاً بحث تقیید مطرح شود؛ یعنی وقتی یک روایت در بر دارندۀ قیدی باشد، ولی عرفاً بیان‌کنندۀ روایت دیگری که مطلق است نباشد،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نخست، منشأ و قرینۀ انصراف در روایت دوم است، هرچند مقیِّد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در صورت پذیرش اعتبار روایت تحف العقول، می‌توان از آن به عنوان قرینه‌ای برای انصراف روایات مطلق دیگر، استفاده کرده و حرمت را به مواردی محدود کرد که قصد ترتّب اثر محرّم، وجود دارد</w:t>
      </w:r>
      <w:r>
        <w:rPr>
          <w:rFonts w:eastAsia="IRNazanin" w:cs="IRNazanin"/>
          <w:color w:val="111111"/>
          <w:sz w:val="28"/>
          <w:szCs w:val="28"/>
          <w:rtl w:val="true"/>
          <w:lang w:bidi="fa-IR"/>
        </w:rPr>
        <w:t>.</w:t>
      </w:r>
      <w:bookmarkStart w:id="250" w:name="pg13785_134971"/>
    </w:p>
    <w:p>
      <w:pPr>
        <w:pStyle w:val="BookText"/>
        <w:rPr/>
      </w:pPr>
      <w:bookmarkEnd w:id="250"/>
      <w:r>
        <w:rPr>
          <w:rFonts w:ascii="IRNazanin" w:hAnsi="IRNazanin" w:eastAsia="IRNazanin"/>
          <w:color w:val="111111"/>
          <w:sz w:val="28"/>
          <w:sz w:val="28"/>
          <w:szCs w:val="28"/>
          <w:rtl w:val="true"/>
          <w:lang w:bidi="fa-IR"/>
        </w:rPr>
        <w:t>محقّق خویی قدس سره نیز از آن‌جا که این روایت را از حیث سند و دلالت مخدوش می‌داند، نمی‌تواند آن را منشأ انصراف قرار دهد؛ ولی ما این روایت را معتبر می‌دانیم و از این رو، می‌توانیم آن را منشأ و قرینۀ این انصراف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شیخ انصاری قدس سره صحیح است و حرمت در جایی است که ترتّب اثر حرام، مقصود طرفین معامله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در موردی طرفین معامله بدون هیچ قصدی اقدام به خرید و فروش شراب کنند، در این‌جا قصد ترتّب اثر حرام وجود ندارد و از این رو، طرفین مرتکب فعل حرام نشده‌اند</w:t>
      </w:r>
      <w:r>
        <w:rPr>
          <w:rFonts w:eastAsia="IRNazanin" w:cs="IRNazanin"/>
          <w:color w:val="111111"/>
          <w:sz w:val="28"/>
          <w:szCs w:val="28"/>
          <w:rtl w:val="true"/>
          <w:lang w:bidi="fa-IR"/>
        </w:rPr>
        <w:t>.</w:t>
      </w:r>
    </w:p>
    <w:p>
      <w:pPr>
        <w:pStyle w:val="Heading6"/>
        <w:numPr>
          <w:ilvl w:val="5"/>
          <w:numId w:val="1"/>
        </w:numPr>
        <w:rPr/>
      </w:pPr>
      <w:bookmarkStart w:id="251" w:name="__RefHeading___Toc2530885_1468164448"/>
      <w:bookmarkStart w:id="252" w:name="_Toc98"/>
      <w:bookmarkEnd w:id="251"/>
      <w:r>
        <w:rPr>
          <w:rtl w:val="true"/>
        </w:rPr>
        <w:t>ج</w:t>
      </w:r>
      <w:r>
        <w:rPr>
          <w:rtl w:val="true"/>
        </w:rPr>
        <w:t xml:space="preserve">) </w:t>
      </w:r>
      <w:r>
        <w:rPr>
          <w:rtl w:val="true"/>
        </w:rPr>
        <w:t>مطلب سوم</w:t>
      </w:r>
      <w:bookmarkEnd w:id="252"/>
    </w:p>
    <w:p>
      <w:pPr>
        <w:pStyle w:val="BookText"/>
        <w:rPr/>
      </w:pPr>
      <w:r>
        <w:rPr>
          <w:rFonts w:ascii="IRNazanin" w:hAnsi="IRNazanin" w:eastAsia="IRNazanin"/>
          <w:color w:val="111111"/>
          <w:sz w:val="28"/>
          <w:sz w:val="28"/>
          <w:szCs w:val="28"/>
          <w:rtl w:val="true"/>
          <w:lang w:bidi="fa-IR"/>
        </w:rPr>
        <w:t xml:space="preserve">شیخ انصاری قدس سره با آوردن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قصد الأثر المحلّل فلا دلیل علی تحریم المعاملة إلّا من حیث التشریع</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اظهار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مکلّف، اثر حلال را قصد کرده است، دلیلی غیر از تشریع برای حرمت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اگر کسی به قصدی حلال، اقدام به خرید و فروش شراب نماید، فعل او حرمت ذاتی ندارد؛ بلکه حرمت آن ناشی از تشریع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به نظر می‌رسد که این سخن صحیح نیست و وجهی برای تشریع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مطلب باید به این نکته اشاره نمود که دو دیدگاه در مورد تشریع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إدخالُ ما علم انّه لیس من الدین فی الدین؛</w:t>
      </w:r>
      <w:r>
        <w:rPr>
          <w:rStyle w:val="FootnoteAnchor"/>
          <w:rtl w:val="true"/>
        </w:rPr>
        <w:footnoteReference w:id="183"/>
      </w:r>
      <w:r>
        <w:rPr>
          <w:rFonts w:ascii="IRNazanin" w:hAnsi="IRNazanin" w:eastAsia="IRNazanin"/>
          <w:color w:val="111111"/>
          <w:sz w:val="28"/>
          <w:sz w:val="28"/>
          <w:szCs w:val="28"/>
          <w:rtl w:val="true"/>
          <w:lang w:bidi="fa-IR"/>
        </w:rPr>
        <w:t>معنای تشریع این است که در دین، چیزهایی را داخل کنیم که می‌دانیم در دین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إدخالُ ما لیس من الدّین فی الدین؛</w:t>
      </w:r>
      <w:r>
        <w:rPr>
          <w:rStyle w:val="FootnoteAnchor"/>
          <w:rtl w:val="true"/>
        </w:rPr>
        <w:footnoteReference w:id="184"/>
      </w:r>
      <w:r>
        <w:rPr>
          <w:rFonts w:ascii="IRNazanin" w:hAnsi="IRNazanin" w:eastAsia="IRNazanin"/>
          <w:color w:val="111111"/>
          <w:sz w:val="28"/>
          <w:sz w:val="28"/>
          <w:szCs w:val="28"/>
          <w:rtl w:val="true"/>
          <w:lang w:bidi="fa-IR"/>
        </w:rPr>
        <w:t>معنای تشریع این است که در دین، چیزی را داخل کنیم که در دین نیست، چه به آن علم داشته باشیم و چه نداشته باشیم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جالب این است که بنا بر هیچ یک از این دو مبنا، سخن شیخ انصاری قدس سره</w:t>
      </w:r>
      <w:bookmarkStart w:id="253" w:name="pg13785_134972"/>
    </w:p>
    <w:p>
      <w:pPr>
        <w:pStyle w:val="BookText"/>
        <w:rPr/>
      </w:pPr>
      <w:bookmarkEnd w:id="253"/>
      <w:r>
        <w:rPr>
          <w:rFonts w:ascii="IRNazanin" w:hAnsi="IRNazanin" w:eastAsia="IRNazanin"/>
          <w:color w:val="111111"/>
          <w:sz w:val="28"/>
          <w:sz w:val="28"/>
          <w:szCs w:val="28"/>
          <w:rtl w:val="true"/>
          <w:lang w:bidi="fa-IR"/>
        </w:rPr>
        <w:t>درست نیست؛ زیرا کسی که قصد اثر حلال کرده است، قصد داخل کردن صحّت بیع را در دین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قدس سره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ومعنا حرمة الإکتساب حرمة النقل والإنتقال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بحث ایشان دربارۀ تفسیر حرمت تکلیفی است، نه حرمت وضعی؛ یعنی ایشان دربارۀ این‌که بیع شراب، صحیح است یا فاسد، بحث نمی‌کند، در حالی که تشریع در صورتی حاصل می‌شود که شخصی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شارع در همه جا بیع شراب را فاسد می‌داند، من در جایی که منفعت حلال قصد شده باشد، بیع آن را صحیح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عنوان کردن بحث تشریع در این‌جا وجهی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گفته شود مقصود شیخ انصاری قدس سره از تشریع، مجرّد عدم اذن شارع است، نه نهی شارع، تا حدودی اشکال برطرف می‌شود، هرچند با این بیان نیز نمی‌توان اشکال را به‌طور کامل حل نمود</w:t>
      </w:r>
      <w:r>
        <w:rPr>
          <w:rFonts w:eastAsia="IRNazanin" w:cs="IRNazanin"/>
          <w:color w:val="111111"/>
          <w:sz w:val="28"/>
          <w:szCs w:val="28"/>
          <w:rtl w:val="true"/>
          <w:lang w:bidi="fa-IR"/>
        </w:rPr>
        <w:t>.</w:t>
      </w:r>
    </w:p>
    <w:p>
      <w:pPr>
        <w:pStyle w:val="Heading5"/>
        <w:numPr>
          <w:ilvl w:val="4"/>
          <w:numId w:val="1"/>
        </w:numPr>
        <w:rPr/>
      </w:pPr>
      <w:bookmarkStart w:id="254" w:name="__RefHeading___Toc2530887_1468164448"/>
      <w:bookmarkStart w:id="255" w:name="_Toc99"/>
      <w:bookmarkEnd w:id="254"/>
      <w:r>
        <w:rPr>
          <w:rtl w:val="true"/>
        </w:rPr>
        <w:t>بند دوم</w:t>
      </w:r>
      <w:r>
        <w:rPr>
          <w:rtl w:val="true"/>
        </w:rPr>
        <w:t xml:space="preserve">: </w:t>
      </w:r>
      <w:r>
        <w:rPr>
          <w:rtl w:val="true"/>
        </w:rPr>
        <w:t>دیدگاه محقّق نائینی</w:t>
      </w:r>
      <w:bookmarkEnd w:id="255"/>
    </w:p>
    <w:p>
      <w:pPr>
        <w:pStyle w:val="Heading6"/>
        <w:numPr>
          <w:ilvl w:val="5"/>
          <w:numId w:val="1"/>
        </w:numPr>
        <w:rPr/>
      </w:pPr>
      <w:bookmarkStart w:id="256" w:name="__RefHeading___Toc2530889_1468164448"/>
      <w:bookmarkStart w:id="257" w:name="_Toc100"/>
      <w:bookmarkEnd w:id="256"/>
      <w:r>
        <w:rPr>
          <w:rtl w:val="true"/>
        </w:rPr>
        <w:t>الف</w:t>
      </w:r>
      <w:r>
        <w:rPr>
          <w:rtl w:val="true"/>
        </w:rPr>
        <w:t xml:space="preserve">) </w:t>
      </w:r>
      <w:r>
        <w:rPr>
          <w:rtl w:val="true"/>
        </w:rPr>
        <w:t>تبیین دیدگاه</w:t>
      </w:r>
      <w:bookmarkEnd w:id="257"/>
    </w:p>
    <w:p>
      <w:pPr>
        <w:pStyle w:val="BookText"/>
        <w:rPr/>
      </w:pPr>
      <w:r>
        <w:rPr>
          <w:rFonts w:ascii="IRNazanin" w:hAnsi="IRNazanin" w:eastAsia="IRNazanin"/>
          <w:color w:val="111111"/>
          <w:sz w:val="28"/>
          <w:sz w:val="28"/>
          <w:szCs w:val="28"/>
          <w:rtl w:val="true"/>
          <w:lang w:bidi="fa-IR"/>
        </w:rPr>
        <w:t>محقّق نائینی قدس سره پیرامون بحث متعلّق حرمت می‌نویسد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الحرمة المتعلّقة بالمعاملة عبارة عن حرمة هذا المعنی، أی حرمة تبدیل المال أو المنفعة لا حرمة انشاء المعاملة ولا حرمة آثارها کالتصرّف فی الثمن والمثمن ولا قصد ترتّب الأثر علیها؛ وذلک لأنّ نفس الإنشاء من حیث إنّه فعل من الأفعال وتلفّظ بألفاظ لا وجه لأن یکون حراماً إلّاإذا کان مزاحماً لتکلیف آخر کالبیع وقت النداء، وهکذا قصد تحقّق المنشأ الإنشاء من حیث إنّه أمر قلبی لا وجه لحرمته إلّاإذا کان تجرّیاً أو إعانة علی الإثم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حرمة الآثار فهی مترّتبة علی فساد المعاملة وحرمتها، لا أنّها هی المحرّمة ابتداءاً، فما یکون محرّماً حقیقة ویکون متعلّقاً للنهی هو نفس التبدیل الذی اعتباره بید مالکه، لولا نهی الشارع</w:t>
      </w:r>
      <w:bookmarkStart w:id="258" w:name="pg13785_134973"/>
    </w:p>
    <w:p>
      <w:pPr>
        <w:pStyle w:val="BookText"/>
        <w:rPr/>
      </w:pPr>
      <w:bookmarkEnd w:id="258"/>
      <w:r>
        <w:rPr>
          <w:rFonts w:ascii="IRNazanin" w:hAnsi="IRNazanin" w:eastAsia="IRNazanin"/>
          <w:color w:val="111111"/>
          <w:sz w:val="28"/>
          <w:sz w:val="28"/>
          <w:szCs w:val="28"/>
          <w:rtl w:val="true"/>
          <w:lang w:bidi="fa-IR"/>
        </w:rPr>
        <w:t>الذی هو مالک الملوک</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محقّق نائینی نیز همچون شیخ انصاری قدس سرهما معتقد است که حرمت به مسبّب و مُنشأ تعلّق می‌گیرد، نه به انشا یا قصد تحقّق مُنشأ؛ زیرا وجهی برای حرمت انشا وجود ندارد، مگر این‌که در تزاحم با تکلیف دیگری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وقت 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مزاحم با نماز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قصد واقع شدن معامله نیز امری قلبی است و نمی‌تواند متعلّق حرمت قرار گیرد، مگر این‌که تجرّی و یا اعانت بر گناه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این‌که دیدگاه محقّق نائینی و شیخ انصاری قدس سرهما در مورد متعلّق حرمت، یکسان است و هر دو مسبّب و تملیک جدّی را متعلّق حرمت می‌دانند، ولی سخن ایشان از سه جهت با یک‌دیگر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محقّق نائینی برخلاف سخن شیخ قدس سرهما، خالی از ابهام و اجمال است؛ لیکن نقل و انتقال در عبارت شیخ قدس سره دارای اجمال است و وجوهی برای آن تصویر می‌شود؛ امّا در سخن محقّق نائینی قدس سره چنین اجمالی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متعلّق حرمت را تبدیل حقیقی مالکیت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نائینی برخلاف شیخ قدس سرهما قصد ترتّب اثر محرّم را در حرمت کسب معتبر نمی‌داند؛ یعنی ایشان معتقد است معامله‌ای که از آن نهی شده، حرام است، چه طرفین معامله اثر حرام را اراده کرده باشند و چه اثر حلال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نائینی قدس سره متعلّق حرمت را یک معنای لولایی قرار داده است، به این معنا که اگر از سوی شارع نهی وجود نداشته باشد، تملیک خمر به مشتری از جهت دیگری ممنوع نبود و بایع می‌توانست آن را اعتبار کرده و خمر را به مشتری تملیک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نهی شارع نبود، این نقل و انتقال واقع می‌شد و کمبودی نداشت</w:t>
      </w:r>
      <w:r>
        <w:rPr>
          <w:rFonts w:eastAsia="IRNazanin" w:cs="IRNazanin"/>
          <w:color w:val="111111"/>
          <w:sz w:val="28"/>
          <w:szCs w:val="28"/>
          <w:rtl w:val="true"/>
          <w:lang w:bidi="fa-IR"/>
        </w:rPr>
        <w:t>.</w:t>
      </w:r>
    </w:p>
    <w:p>
      <w:pPr>
        <w:pStyle w:val="Heading6"/>
        <w:numPr>
          <w:ilvl w:val="5"/>
          <w:numId w:val="1"/>
        </w:numPr>
        <w:rPr/>
      </w:pPr>
      <w:bookmarkStart w:id="259" w:name="__RefHeading___Toc2530891_1468164448"/>
      <w:bookmarkStart w:id="260" w:name="_Toc101"/>
      <w:bookmarkEnd w:id="259"/>
      <w:r>
        <w:rPr>
          <w:rtl w:val="true"/>
        </w:rPr>
        <w:t>ب</w:t>
      </w:r>
      <w:r>
        <w:rPr>
          <w:rtl w:val="true"/>
        </w:rPr>
        <w:t xml:space="preserve">) </w:t>
      </w:r>
      <w:r>
        <w:rPr>
          <w:rtl w:val="true"/>
        </w:rPr>
        <w:t>نقد اعتبار لولایی توسّط امام خمینی</w:t>
      </w:r>
      <w:bookmarkEnd w:id="26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قدس سره در کتاب مکاسب المحرّمة می‌نویسد</w:t>
      </w:r>
      <w:r>
        <w:rPr>
          <w:rFonts w:eastAsia="IRNazanin" w:cs="IRNazanin"/>
          <w:color w:val="111111"/>
          <w:sz w:val="28"/>
          <w:szCs w:val="28"/>
          <w:rtl w:val="true"/>
          <w:lang w:bidi="fa-IR"/>
        </w:rPr>
        <w:t>:</w:t>
      </w:r>
      <w:bookmarkStart w:id="261" w:name="pg13785_134974"/>
    </w:p>
    <w:p>
      <w:pPr>
        <w:pStyle w:val="BookText"/>
        <w:rPr/>
      </w:pPr>
      <w:bookmarkEnd w:id="261"/>
      <w:r>
        <w:rPr>
          <w:rFonts w:ascii="IRNazanin" w:hAnsi="IRNazanin" w:eastAsia="IRNazanin"/>
          <w:color w:val="111111"/>
          <w:sz w:val="28"/>
          <w:sz w:val="28"/>
          <w:szCs w:val="28"/>
          <w:rtl w:val="true"/>
          <w:lang w:bidi="fa-IR"/>
        </w:rPr>
        <w:t>وإرادة النقل العقلائی مع قطع النّظر عن حکم الشّرع ولو لعدم الإنفاذ لا ترجع إلی محصّل لعدم الوجود للنقل اللولائی</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به عقیدۀ ایشان نقل لولایی وجود ندارد و امری عدمی محسوب می‌شود و چیزی که وجود ندارد، نمی‌تواند متعلّق حکم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سخن بر مبنایی که ایشان در اصول اختیار کرده‌اند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قدس سره در مباحث اصول، برخلاف نظر مشهور، بین عدم مطلق و عدم مضاف در این‌که هیچ کدام نمی‌توانند متعلّق حکم قرار بگیرند، تفاوتی قائل نیست و هر دو را فاقد قابلیت تعلّق حکم می‌داند</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این در حالی است که مشهور فقها بین عدم مضاف و عدم مطلق، فرق گذاشته و معتقدند عدم مضاف را به خاطر اضافه‌اش به وجود، می‌توان متعلّق حکم قرار داد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به نظر می‌رسد که اشکال امام خمینی قدس سره وارد نیست؛ چراکه عدم لولایی، عدم محض نیست و به‌واسطۀ اضافه به وجود، بهره‌ای از وجود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بایع تملیک خمر به مشتری را اعتبار می‌کند، به شرطی که نهی شارع به آن تعلّق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آن‌جا که این اعتبار بهره‌ای از وجود دارد، می‌تواند متعلّق حکم قرار گیرد</w:t>
      </w:r>
      <w:r>
        <w:rPr>
          <w:rFonts w:eastAsia="IRNazanin" w:cs="IRNazanin"/>
          <w:color w:val="111111"/>
          <w:sz w:val="28"/>
          <w:szCs w:val="28"/>
          <w:rtl w:val="true"/>
          <w:lang w:bidi="fa-IR"/>
        </w:rPr>
        <w:t>.</w:t>
      </w:r>
    </w:p>
    <w:p>
      <w:pPr>
        <w:pStyle w:val="Heading6"/>
        <w:numPr>
          <w:ilvl w:val="5"/>
          <w:numId w:val="1"/>
        </w:numPr>
        <w:rPr/>
      </w:pPr>
      <w:bookmarkStart w:id="262" w:name="__RefHeading___Toc2530893_1468164448"/>
      <w:bookmarkStart w:id="263" w:name="_Toc102"/>
      <w:bookmarkEnd w:id="262"/>
      <w:r>
        <w:rPr>
          <w:rtl w:val="true"/>
        </w:rPr>
        <w:t>ج</w:t>
      </w:r>
      <w:r>
        <w:rPr>
          <w:rtl w:val="true"/>
        </w:rPr>
        <w:t xml:space="preserve">) </w:t>
      </w:r>
      <w:r>
        <w:rPr>
          <w:rtl w:val="true"/>
        </w:rPr>
        <w:t>نقد دیدگاه محقّق نائینی</w:t>
      </w:r>
      <w:bookmarkEnd w:id="263"/>
    </w:p>
    <w:p>
      <w:pPr>
        <w:pStyle w:val="BookText"/>
        <w:rPr/>
      </w:pPr>
      <w:r>
        <w:rPr>
          <w:rFonts w:ascii="IRNazanin" w:hAnsi="IRNazanin" w:eastAsia="IRNazanin"/>
          <w:color w:val="111111"/>
          <w:sz w:val="28"/>
          <w:sz w:val="28"/>
          <w:szCs w:val="28"/>
          <w:rtl w:val="true"/>
          <w:lang w:bidi="fa-IR"/>
        </w:rPr>
        <w:t>محقّق نائینی قدس سره قصد ترتّب اثر محرّم را در حرمت معتبر نمی‌داند؛ امّا به نظر می‌رسد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ادّعای شیخ انصاری قدس سره در مورد انصراف صحیح بوده و باید این قید را در حرمت هر معامله‌ای لحاظ کرد؛ چراکه با توجّه به روایت تحف العقول می‌توان دریافت که ادّعای ایشان دربارۀ انصراف ادلّۀ حرمت به جایی که طرف معامله قصد اثر محرّم کرده،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پیش‌تر فقها خرید و فروش خون را مطلقاً حرام می‌دانستند، امّا اکنون که منافعی محلّل برای خون متصوّر است، چه بسا بتوان گفت</w:t>
      </w:r>
      <w:r>
        <w:rPr>
          <w:rFonts w:eastAsia="IRNazanin" w:cs="IRNazanin"/>
          <w:color w:val="111111"/>
          <w:sz w:val="28"/>
          <w:szCs w:val="28"/>
          <w:rtl w:val="true"/>
          <w:lang w:bidi="fa-IR"/>
        </w:rPr>
        <w:t>:</w:t>
      </w:r>
      <w:bookmarkStart w:id="264" w:name="pg13785_134975"/>
    </w:p>
    <w:p>
      <w:pPr>
        <w:pStyle w:val="BookText"/>
        <w:rPr/>
      </w:pPr>
      <w:bookmarkEnd w:id="264"/>
      <w:r>
        <w:rPr>
          <w:rFonts w:ascii="IRNazanin" w:hAnsi="IRNazanin" w:eastAsia="IRNazanin"/>
          <w:color w:val="111111"/>
          <w:sz w:val="28"/>
          <w:sz w:val="28"/>
          <w:szCs w:val="28"/>
          <w:rtl w:val="true"/>
          <w:lang w:bidi="fa-IR"/>
        </w:rPr>
        <w:t>بیع آن برای نجات جان یک انسان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ما نیز در معتبر دانستن این قید با شیخ انصاری قدس سره هم نظر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 است که هرچند به نظر ما استدلال امام خمینی قدس سره در نقد اعتبار لولایی ناتمام است، امّا این مطلب بدین معنا نیست که سخن محقّق نائینی قدس سره را صحیح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نقد سخن ایشان باید به این مطلب اشاره کنیم که شارع چیزی را حرام می‌کند که در بین عقلا و مردم وجود دارد، در حالی که مردم در معاملات خود توجّهی به این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نهی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طرفین معامله قصد تملیک جدّی را دارند و تملیک را مقیّد به عدم نهی شارع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متعاملین، متشّرع نیستند یا بخواهند بر خلاف نظر شارع عمل کنند، آیا چنین قیدی را اعتبار می‌کنند؟ آیا طرفین معامله به این مطلب توجّه دارند؟ پاسخ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تعلّق حرمت به چنین عدمی بی‌معناست</w:t>
      </w:r>
      <w:r>
        <w:rPr>
          <w:rFonts w:eastAsia="IRNazanin" w:cs="IRNazanin"/>
          <w:color w:val="111111"/>
          <w:sz w:val="28"/>
          <w:szCs w:val="28"/>
          <w:rtl w:val="true"/>
          <w:lang w:bidi="fa-IR"/>
        </w:rPr>
        <w:t>.</w:t>
      </w:r>
    </w:p>
    <w:p>
      <w:pPr>
        <w:pStyle w:val="Heading5"/>
        <w:numPr>
          <w:ilvl w:val="4"/>
          <w:numId w:val="1"/>
        </w:numPr>
        <w:rPr/>
      </w:pPr>
      <w:bookmarkStart w:id="265" w:name="__RefHeading___Toc2530895_1468164448"/>
      <w:bookmarkStart w:id="266" w:name="_Toc103"/>
      <w:bookmarkEnd w:id="265"/>
      <w:r>
        <w:rPr>
          <w:rtl w:val="true"/>
        </w:rPr>
        <w:t>بند سوم</w:t>
      </w:r>
      <w:r>
        <w:rPr>
          <w:rtl w:val="true"/>
        </w:rPr>
        <w:t xml:space="preserve">: </w:t>
      </w:r>
      <w:r>
        <w:rPr>
          <w:rtl w:val="true"/>
        </w:rPr>
        <w:t>دیدگاه محقّق ایروانی</w:t>
      </w:r>
      <w:bookmarkEnd w:id="266"/>
    </w:p>
    <w:p>
      <w:pPr>
        <w:pStyle w:val="Heading6"/>
        <w:numPr>
          <w:ilvl w:val="5"/>
          <w:numId w:val="1"/>
        </w:numPr>
        <w:rPr/>
      </w:pPr>
      <w:bookmarkStart w:id="267" w:name="__RefHeading___Toc2530897_1468164448"/>
      <w:bookmarkStart w:id="268" w:name="_Toc104"/>
      <w:bookmarkEnd w:id="267"/>
      <w:r>
        <w:rPr>
          <w:rtl w:val="true"/>
        </w:rPr>
        <w:t>الف</w:t>
      </w:r>
      <w:r>
        <w:rPr>
          <w:rtl w:val="true"/>
        </w:rPr>
        <w:t xml:space="preserve">) </w:t>
      </w:r>
      <w:r>
        <w:rPr>
          <w:rtl w:val="true"/>
        </w:rPr>
        <w:t>تبیین دیدگاه</w:t>
      </w:r>
      <w:bookmarkEnd w:id="268"/>
    </w:p>
    <w:p>
      <w:pPr>
        <w:pStyle w:val="BookText"/>
        <w:rPr/>
      </w:pPr>
      <w:r>
        <w:rPr>
          <w:rFonts w:ascii="IRNazanin" w:hAnsi="IRNazanin" w:eastAsia="IRNazanin"/>
          <w:color w:val="111111"/>
          <w:sz w:val="28"/>
          <w:sz w:val="28"/>
          <w:szCs w:val="28"/>
          <w:rtl w:val="true"/>
          <w:lang w:bidi="fa-IR"/>
        </w:rPr>
        <w:t>محقّق ایروانی قدس سره در حاشیۀ مکاسب نظر دیگری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عقیدۀ ایشان متعلّق حرمت، انشای نقل و انتقال است، مشروط به این‌که طرفین معامله قصد ترتّب آثار معامله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تسلیم و تسلّم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باشند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به عبارت دیگر، انشای ساده نمی‌تواند به تنهایی متعلّق حرمت باشد؛ بلکه انشایی که قصد ترتّب آثار معامله به آن ضمیمه شده باشد، متعلّق حرمت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برخلاف شیخ انصاری قدس سره قصد ترتّب اثر حرام را معتبر نمی‌داند و ادّعای انصراف را بدون دلیل می‌داند و از سوی دیگر، احتمال متّکی بودن نظر شیخ انصاری قدس سره بر حکمت را رد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تحریم معاملات، جلوگیری از</w:t>
      </w:r>
      <w:bookmarkStart w:id="269" w:name="pg13785_134976"/>
    </w:p>
    <w:p>
      <w:pPr>
        <w:pStyle w:val="BookText"/>
        <w:rPr/>
      </w:pPr>
      <w:bookmarkEnd w:id="269"/>
      <w:r>
        <w:rPr>
          <w:rFonts w:ascii="IRNazanin" w:hAnsi="IRNazanin" w:eastAsia="IRNazanin"/>
          <w:color w:val="111111"/>
          <w:sz w:val="28"/>
          <w:sz w:val="28"/>
          <w:szCs w:val="28"/>
          <w:rtl w:val="true"/>
          <w:lang w:bidi="fa-IR"/>
        </w:rPr>
        <w:t>شیوع مناهی و منکرات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حکمت حرمت بیع خمر توسّط شارع، واقع نشدن شرب خمر در عالم خارج است؛ امّا نمی‌توان این حکمت را دلیلی بر دیدگاه شیخ انصاری قدس سره دانست؛ زیرا چنین اقتضایی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حکمت تحریم این معاملات، جلوگیری از شیوع مناهی و منکرات است، در تحریم این معاملات، قصد ترتّب اثر محرّم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عقیدۀ محقّق ایروانی، متعلّق حرمت عبارت است از انشای نقل و انتقال در صورتی که مقصود طرفین معامله، ترتّب آثار مترتّب بر خود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و اقباض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بنابراین، از نگاه ایشان این‌که طرفین معامله ترتّب اثر محرّم را قصد کرده باشند، لازم نیست</w:t>
      </w:r>
      <w:r>
        <w:rPr>
          <w:rFonts w:eastAsia="IRNazanin" w:cs="IRNazanin"/>
          <w:color w:val="111111"/>
          <w:sz w:val="28"/>
          <w:szCs w:val="28"/>
          <w:rtl w:val="true"/>
          <w:lang w:bidi="fa-IR"/>
        </w:rPr>
        <w:t>.</w:t>
      </w:r>
    </w:p>
    <w:p>
      <w:pPr>
        <w:pStyle w:val="Heading6"/>
        <w:numPr>
          <w:ilvl w:val="5"/>
          <w:numId w:val="1"/>
        </w:numPr>
        <w:rPr/>
      </w:pPr>
      <w:bookmarkStart w:id="270" w:name="__RefHeading___Toc2530899_1468164448"/>
      <w:bookmarkStart w:id="271" w:name="_Toc105"/>
      <w:bookmarkEnd w:id="270"/>
      <w:r>
        <w:rPr>
          <w:rtl w:val="true"/>
        </w:rPr>
        <w:t>ب</w:t>
      </w:r>
      <w:r>
        <w:rPr>
          <w:rtl w:val="true"/>
        </w:rPr>
        <w:t xml:space="preserve">) </w:t>
      </w:r>
      <w:r>
        <w:rPr>
          <w:rtl w:val="true"/>
        </w:rPr>
        <w:t>نقد دیدگاه محقّق ایروانی</w:t>
      </w:r>
      <w:bookmarkEnd w:id="271"/>
    </w:p>
    <w:p>
      <w:pPr>
        <w:pStyle w:val="BookText"/>
        <w:rPr/>
      </w:pPr>
      <w:r>
        <w:rPr>
          <w:rFonts w:ascii="IRNazanin" w:hAnsi="IRNazanin" w:eastAsia="IRNazanin"/>
          <w:color w:val="111111"/>
          <w:sz w:val="28"/>
          <w:sz w:val="28"/>
          <w:szCs w:val="28"/>
          <w:rtl w:val="true"/>
          <w:lang w:bidi="fa-IR"/>
        </w:rPr>
        <w:t>در نظریۀ ایشان دو مطلب اساسی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تعلّق حرمت به انشا؛ دوم، قصد ترتّب آثار معامله که عبارت از قبض و اقباض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انشای ساده و فاقد قصد را حرام نمی‌داند؛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انشای مقرون به قصد اثر معامله، متعلّق حرمت است؛ امّا برای مدّعای خود دلیلی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پرسش مطرح می‌شود که اساساً چگونه می‌توان انشا را متعلّق حرمت قرار داد؟</w:t>
      </w:r>
    </w:p>
    <w:p>
      <w:pPr>
        <w:pStyle w:val="BookText"/>
        <w:rPr/>
      </w:pPr>
      <w:r>
        <w:rPr>
          <w:rFonts w:ascii="IRNazanin" w:hAnsi="IRNazanin" w:eastAsia="IRNazanin"/>
          <w:color w:val="111111"/>
          <w:sz w:val="28"/>
          <w:sz w:val="28"/>
          <w:szCs w:val="28"/>
          <w:rtl w:val="true"/>
          <w:lang w:bidi="fa-IR"/>
        </w:rPr>
        <w:t>برای پاسخ به این پرسش می‌توان چند راه را بر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انشا از باب اعانت بر اثم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گفتگو دربارۀ روایت تحف العقول گفته شد که به عقیدۀ محقّق ایروانی قدس سره هر آنچه در روایت تحف العقول وارد شده، مصداق اعانت بر اثم بوده و از این رو حرام است</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 xml:space="preserve">ما این سخن را مورد مناقشه قرار دادیم؛ ولی آیا می‌توان با توجّه به این مطلب که انشا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لفظی و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نهایت موجب ارتکاب فعلی حرام همچون شرب</w:t>
      </w:r>
    </w:p>
    <w:p>
      <w:pPr>
        <w:pStyle w:val="BookText"/>
        <w:rPr/>
      </w:pPr>
      <w:r>
        <w:rPr>
          <w:rFonts w:ascii="IRNazanin" w:hAnsi="IRNazanin" w:eastAsia="IRNazanin"/>
          <w:color w:val="111111"/>
          <w:sz w:val="28"/>
          <w:sz w:val="28"/>
          <w:szCs w:val="28"/>
          <w:rtl w:val="true"/>
          <w:lang w:bidi="fa-IR"/>
        </w:rPr>
        <w:t>خمر می‌شود، انشا را مصداقی برای اعانت بر اثم و حرام دانست؟ آیا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 از این جهت که موجب انتقال خمر به مشتری و در نهایت شرب خمر توسّط او می‌شود، حرام است؟</w:t>
      </w:r>
    </w:p>
    <w:p>
      <w:pPr>
        <w:pStyle w:val="BookText"/>
        <w:rPr/>
      </w:pPr>
      <w:r>
        <w:rPr>
          <w:rFonts w:ascii="IRNazanin" w:hAnsi="IRNazanin" w:eastAsia="IRNazanin"/>
          <w:color w:val="111111"/>
          <w:sz w:val="28"/>
          <w:sz w:val="28"/>
          <w:szCs w:val="28"/>
          <w:rtl w:val="true"/>
          <w:lang w:bidi="fa-IR"/>
        </w:rPr>
        <w:t>پاسخ منفی است؛ زیرا مقصود ما بررسی ظاهر دلیل 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می‌خواهیم بدانیم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انشای عقد نیز می‌شود یا خیر؟ این در حالی است که این بحث هیچ ارتباطی با مصداق بودن انشا برای اعانت بر اثم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مطلب، آن است که اگر بپذیریم انشا مصداق اعانت بر اثم است، در هر صورت حرام خواهد بود؛ زیرا اعانت بر اثم مطلقاً حرام است، خواه قصد ترتّب اثر حرام شده باشد و خواه چنین قصدی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مسئله ارتباطی به ظاهر ادلّۀ تحریم که در مورد قصد ترتّب اثر حرام است، ندارد و مطلبی غیر از آن است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نکتۀ قابل توجّه آن است که حرمت اعانت بر اثم در موردی است که اصل اثم در عالم خارج تحقّق پیدا کند، در حالی که ادلّۀ تحریم مکاسب محرّمه، مقیّد به این امر نیست؛ یعنی مثلاً فروش خمر حرام است، چه مشتری آن خمر را استعمال کند یا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انشا از باب مقدّمۀ حرام</w:t>
      </w:r>
    </w:p>
    <w:p>
      <w:pPr>
        <w:pStyle w:val="BookText"/>
        <w:rPr/>
      </w:pPr>
      <w:r>
        <w:rPr>
          <w:rFonts w:ascii="IRNazanin" w:hAnsi="IRNazanin" w:eastAsia="IRNazanin"/>
          <w:color w:val="111111"/>
          <w:sz w:val="28"/>
          <w:sz w:val="28"/>
          <w:szCs w:val="28"/>
          <w:rtl w:val="true"/>
          <w:lang w:bidi="fa-IR"/>
        </w:rPr>
        <w:t>محقّق خراسانی قدس سره در کتاب کفایه، پس از پایان بحث مقدّمۀ واجب به این نکته اشاره می‌کند که آنچه در مورد مقدّمۀ واجب گفته شد، در مورد مقدّمۀ حرام نیز جریان پیدا می‌کند</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کسانی که مقدّمۀ واجب را واجب می‌دانند، در جایی که مقدّمۀ حرام، علّت انحصاری برای تحقّق حرام در عالم خارج باشد، مقدّمۀ حرام را نیز حرام می‌دانند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مقدّمه، دومین راه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انشای مقدّمه حرام است و به همین جهت، حکم به حرمت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با انشای متعاقدین، ارتکاب</w:t>
      </w:r>
    </w:p>
    <w:p>
      <w:pPr>
        <w:pStyle w:val="BookText"/>
        <w:rPr/>
      </w:pPr>
      <w:r>
        <w:rPr>
          <w:rFonts w:ascii="IRNazanin" w:hAnsi="IRNazanin" w:eastAsia="IRNazanin"/>
          <w:color w:val="111111"/>
          <w:sz w:val="28"/>
          <w:sz w:val="28"/>
          <w:szCs w:val="28"/>
          <w:rtl w:val="true"/>
          <w:lang w:bidi="fa-IR"/>
        </w:rPr>
        <w:t>فعل حرام فراهم می‌شود، که در مثال یاد شده، شرب خمر توسّط مشتری، نتیجۀ انشای عقد بیع و انشا، مقدّمۀ ارتکاب فعل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موجود در راه اوّل این‌جا نیز مطرح می‌شود؛ زیرا شارع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الخمرِ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حرمت به حسب ظاهر، ارتباطی با عناوین اعانت بر اثم و مقدّمۀ حرام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ظاهر ادلّۀ تحریم آن است که این بیع به عنوان خودش حرام است و عنوان دیگری در کار نیست؛ یعنی ظاهراً شارع حکم حرمت را به‌خاطر این دو عنوان صادر نکرده است؛ بلکه صدور این حکم، علّت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انشا از باب لعن فروشنده و خریدار خمر</w:t>
      </w:r>
    </w:p>
    <w:p>
      <w:pPr>
        <w:pStyle w:val="BookText"/>
        <w:rPr/>
      </w:pPr>
      <w:r>
        <w:rPr>
          <w:rFonts w:ascii="IRNazanin" w:hAnsi="IRNazanin" w:eastAsia="IRNazanin"/>
          <w:color w:val="111111"/>
          <w:sz w:val="28"/>
          <w:sz w:val="28"/>
          <w:szCs w:val="28"/>
          <w:rtl w:val="true"/>
          <w:lang w:bidi="fa-IR"/>
        </w:rPr>
        <w:t>در برخی روایات آمده است که خداوند متعال، بایع و مشتری خمر را لعن می‌کند</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محقّق تبریزی قدس سره در کتاب ارشاد الطالب با توجّه به این روایات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لعن ظهور در حرمت انشای عقد توسّط بایع و مشتری دارد</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از این رو، می‌توان دلیل حرمت انشا را وجود روایاتی دانست که در آن خریدار و فروشندۀ شراب، ملعون دانسته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راه نیز قابل خدشه است؛ زیرا بحث دربارۀ متعلّق همۀ معاملات محرّمه است و وجود یک دلیل خاص در مورد بیع خمر، مسئله را به‌طور کلّی حل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می‌توان ادّعای انصراف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بایع و مشتریِ خمر در جایی است که طرفین، قصد جدّی برای انجام معامله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نمی‌توان انشا را به تنهایی متعلّق حرمت قرار داد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بررسی این راه‌ها می‌توان نتیجه گرفت که دیدگاه محقّق ایروانی قدس سره مبنی بر تعلّق حرمت بر انشای عقد، دلیل درستی ندارد</w:t>
      </w:r>
      <w:r>
        <w:rPr>
          <w:rFonts w:eastAsia="IRNazanin" w:cs="IRNazanin"/>
          <w:color w:val="111111"/>
          <w:sz w:val="28"/>
          <w:szCs w:val="28"/>
          <w:rtl w:val="true"/>
          <w:lang w:bidi="fa-IR"/>
        </w:rPr>
        <w:t>.</w:t>
      </w:r>
      <w:bookmarkStart w:id="272" w:name="pg13785_134979"/>
    </w:p>
    <w:p>
      <w:pPr>
        <w:pStyle w:val="Heading6"/>
        <w:numPr>
          <w:ilvl w:val="5"/>
          <w:numId w:val="1"/>
        </w:numPr>
        <w:rPr/>
      </w:pPr>
      <w:bookmarkStart w:id="273" w:name="__RefHeading___Toc2530901_1468164448"/>
      <w:bookmarkStart w:id="274" w:name="_Toc106"/>
      <w:bookmarkEnd w:id="272"/>
      <w:bookmarkEnd w:id="273"/>
      <w:r>
        <w:rPr>
          <w:rtl w:val="true"/>
        </w:rPr>
        <w:t>ج</w:t>
      </w:r>
      <w:r>
        <w:rPr>
          <w:rtl w:val="true"/>
        </w:rPr>
        <w:t xml:space="preserve">) </w:t>
      </w:r>
      <w:r>
        <w:rPr>
          <w:rtl w:val="true"/>
        </w:rPr>
        <w:t>اشکال محقّق خویی نسبت به دیدگاه محقّق ایروانی</w:t>
      </w:r>
      <w:bookmarkEnd w:id="274"/>
    </w:p>
    <w:p>
      <w:pPr>
        <w:pStyle w:val="BookText"/>
        <w:rPr/>
      </w:pPr>
      <w:r>
        <w:rPr>
          <w:rFonts w:ascii="IRNazanin" w:hAnsi="IRNazanin" w:eastAsia="IRNazanin"/>
          <w:color w:val="111111"/>
          <w:sz w:val="28"/>
          <w:sz w:val="28"/>
          <w:szCs w:val="28"/>
          <w:rtl w:val="true"/>
          <w:lang w:bidi="fa-IR"/>
        </w:rPr>
        <w:t>همان گونه که بیان شد، متعلّق حرمت از نظر محقّق ایروانی قدس سره انشای نقل و انتقال است، منوط به این‌که قصد متعاملین، ترتّب اثر معامله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توسّط محقّق خویی قدس سره مورد نقد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محرّمه سه قسم‌اند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معاملاتی که متعلّق آنها ذاتاً مبغوض نیست؛ امّا چون تحت عنوان محرّم دیگری قرار می‌گیرند و عنوان محرّم دیگری بر آنها منطبق می‌شود، حرام‌اند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فروش قرآن به کافر و یا فروش اسلحه به دشمنان دین که در این مثال‌ها فروختن قرآن و اسلحه ذاتاً حرام نیست؛ بلکه به خاطر عناوین دیگر همچون هتک قرآن، تقویت کفر و مانند آن در نظر شارع مبغوض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دو گروه کافر در حال جنگ با یک‌دیگر باشند، فروش اسلحه به آنها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معاملاتی که متعلّق آنها ذاتاً مبغوض است و از آن‌جا که متعلّق آنها مورد نهی قرار گرفته است، حرام شمرده می‌شوند، مثل بیع خمر، خنزیر و صلیب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معاملاتی که نهی به ذات معامله تعلّق گرفته است؛ لیکن این نهی به اعتبار متعلّق معامله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دستۀ سوم از معاملات حرام، به معاملاتی اطلاق می‌شود که خودشان مورد نهی هستند، نه متعلّق آنها،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وقت 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w:t>
      </w:r>
      <w:r>
        <w:rPr>
          <w:rFonts w:eastAsia="IRNazanin" w:cs="IRNazanin"/>
          <w:color w:val="111111"/>
          <w:sz w:val="28"/>
          <w:szCs w:val="28"/>
          <w:rtl w:val="true"/>
          <w:lang w:bidi="fa-IR"/>
        </w:rPr>
        <w:t>.</w:t>
      </w:r>
      <w:r>
        <w:rPr>
          <w:rStyle w:val="FootnoteAnchor"/>
          <w:rtl w:val="true"/>
        </w:rPr>
        <w:footnoteReference w:id="195"/>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خویی قدس سره پس از بیان این تقسیم‌بندی، قید قصد ترتّب اثر معامله را که توسّط محقّق ایروانی قدس سره به آن اشاره شد، تنها در قسم اوّل می‌پذیرد</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 xml:space="preserve">پس بنا بر نظر ایشان تنها در معاملات حرامی که حرمت آنها ناشی از عنوان خارجی است، قید قصد اثر معامله تصوّر می‌شود و در دو قسم دیگر به خاطر اطلاق ادلّه، قصد معتبر نیست؛ یعنی قید قصد ترتّب اثر معامله، تنها در معاملاتی همچون بیع سلاح به کفّار معنا پیدا می‌کند و تنها در این موارد است که حرمت معامله بر قصد ترتّب اثر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و</w:t>
      </w:r>
      <w:bookmarkStart w:id="275" w:name="pg13785_134980"/>
    </w:p>
    <w:p>
      <w:pPr>
        <w:pStyle w:val="BookText"/>
        <w:rPr/>
      </w:pPr>
      <w:bookmarkEnd w:id="275"/>
      <w:r>
        <w:rPr>
          <w:rFonts w:ascii="IRNazanin" w:hAnsi="IRNazanin" w:eastAsia="IRNazanin"/>
          <w:color w:val="111111"/>
          <w:sz w:val="28"/>
          <w:sz w:val="28"/>
          <w:szCs w:val="28"/>
          <w:rtl w:val="true"/>
          <w:lang w:bidi="fa-IR"/>
        </w:rPr>
        <w:t>تسلّم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است؛ امّا حرمت بیع خمر و بیع وقت نداء مطلق‌اند و بر قصد قبض و اقباض، متوقّف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حتّی در قسم نخست از معاملات محرّمه نیز سخن محقّق ایروانی قدس سره صحّت ندارد و قید قصد اثر معامله در هیچ یک از اقسام معاملات حرام معتبر نیست؛ زیرا تسلیم و تسلّم از آثار صحّت معامله است و قصد آن فقط در صورتی معتبر است که معامله صحیح باشد؛ لیکن در معاملۀ فاسد، قصد ترتّب آثار بی‌فایده و لغو است؛ زیرا وقتی نهی به معامله تعلّق گرفته باشد و آن معامله به‌خاطر این نهی فاسد باشد، اثری بر معامله مترتّب نمی‌شود که قصد آن در حرمت آن معتبر باشد؛ یعنی فروختن قرآن به کافر حرام است، خواه قصد تسلیم آن به کافر را داشته باشیم و کافر به این کتاب مقدّس تسلّط پیدا کند، یا چنین قصدی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سخن در مورد بیع سلاح به دشمنان دین نیز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سخن محقّق ایروانی قدس سره نه در قسمت اوّل که انشای نقل و انتقال را متعلّق حرمت می‌داند و نه در قسمت دوم که قصد ترتّب آثار معامله را در حرمت معتبر می‌داند، درست نیست</w:t>
      </w:r>
      <w:r>
        <w:rPr>
          <w:rFonts w:eastAsia="IRNazanin" w:cs="IRNazanin"/>
          <w:color w:val="111111"/>
          <w:sz w:val="28"/>
          <w:szCs w:val="28"/>
          <w:rtl w:val="true"/>
          <w:lang w:bidi="fa-IR"/>
        </w:rPr>
        <w:t>.</w:t>
      </w:r>
    </w:p>
    <w:p>
      <w:pPr>
        <w:pStyle w:val="Heading5"/>
        <w:numPr>
          <w:ilvl w:val="4"/>
          <w:numId w:val="1"/>
        </w:numPr>
        <w:rPr/>
      </w:pPr>
      <w:bookmarkStart w:id="276" w:name="__RefHeading___Toc2530903_1468164448"/>
      <w:bookmarkStart w:id="277" w:name="_Toc107"/>
      <w:bookmarkEnd w:id="276"/>
      <w:r>
        <w:rPr>
          <w:rtl w:val="true"/>
        </w:rPr>
        <w:t>بند چهارم</w:t>
      </w:r>
      <w:r>
        <w:rPr>
          <w:rtl w:val="true"/>
        </w:rPr>
        <w:t xml:space="preserve">: </w:t>
      </w:r>
      <w:r>
        <w:rPr>
          <w:rtl w:val="true"/>
        </w:rPr>
        <w:t>دیدگاه امام خمینی</w:t>
      </w:r>
      <w:bookmarkEnd w:id="277"/>
    </w:p>
    <w:p>
      <w:pPr>
        <w:pStyle w:val="BookText"/>
        <w:rPr/>
      </w:pPr>
      <w:r>
        <w:rPr>
          <w:rFonts w:ascii="IRNazanin" w:hAnsi="IRNazanin" w:eastAsia="IRNazanin"/>
          <w:color w:val="111111"/>
          <w:sz w:val="28"/>
          <w:sz w:val="28"/>
          <w:szCs w:val="28"/>
          <w:rtl w:val="true"/>
          <w:lang w:bidi="fa-IR"/>
        </w:rPr>
        <w:t>پیش از این، دیدگاه سه تن از فقهای بزرگوار دربارۀ متعلّق حرمت در معاملات حرام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نظریّه با اشکالی واحد رو به رو هستند که دانستن آن به فهم دیدگاه امام خمینی قدس سره کمک خواهد کرد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معاملات علاوه بر حرمت تکلیفی، حرمت وضعی 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خرید و فروش شراب نه تنها حرام است، بلکه حکم به فساد این معامله نیز می‌شود و در واقع هیچ نقل و انتقالی محقّق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پرسش مطرح می‌شود که شارع در مواردی که هیچ نقلی و انتقالی واقع نمی‌شود، چه چیزی را حرام دانسته است؟ متعلّق این حرمت که یکی از احکام تکلیفی است، باید در اختیار مکلّف باشد و</w:t>
      </w:r>
    </w:p>
    <w:p>
      <w:pPr>
        <w:pStyle w:val="BookText"/>
        <w:rPr/>
      </w:pPr>
      <w:r>
        <w:rPr>
          <w:rFonts w:ascii="IRNazanin" w:hAnsi="IRNazanin" w:eastAsia="IRNazanin"/>
          <w:color w:val="111111"/>
          <w:sz w:val="28"/>
          <w:sz w:val="28"/>
          <w:szCs w:val="28"/>
          <w:rtl w:val="true"/>
          <w:lang w:bidi="fa-IR"/>
        </w:rPr>
        <w:t>چیزی خارج از اراده و اختیار مکلّف را نمی‌توان متعلّق حکم تکلیفی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ساده‌تر، تکلیف به غیر مقدور تعلّق نمی‌یابد، خواه غیر مقدور عقلی باشد و خواه غیر مقدور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به دیدگاه شیخ انصاری قدس سره که نقل و انتقال حقیقی را متعلّق حرمت می‌داند، وارد است؛ زیرا در این موارد که معامله، هم حرام است و هم فاسد، حقیقتاً هیچ نقل و انتقالی محقّق نشده است و متعاملین نمی‌توانند نقل و انتقال حقیقی را قصد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توصیف، متعلّق حرمت، خارج از قدرت و ارادۀ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آن دسته از معاملات محرّمه که حرمت وضعی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وقت 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شیخ انصاری جریان دارد و فاقد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بر نظرات محقّق نائینی و محقّق ایروانی قدس سرهما نیز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قدس سره با آگاهی از این اشکال، نظر دیگری را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دربارۀ متعلّق حرمت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المحرّم علی فرض ثبوته هو المعاملة العقلائیة، أی انشاء السبب جدّاً لغرض التسبیب إلی النقل والإنتقال، لا النقل والإنتقال، ولا هو بقصد ترتّب الأثر، ولا تبدیل المال أو المنفعة؛</w:t>
      </w:r>
      <w:r>
        <w:rPr>
          <w:rStyle w:val="FootnoteAnchor"/>
          <w:rtl w:val="true"/>
        </w:rPr>
        <w:footnoteReference w:id="197"/>
      </w:r>
      <w:r>
        <w:rPr>
          <w:rFonts w:ascii="IRNazanin" w:hAnsi="IRNazanin" w:eastAsia="IRNazanin"/>
          <w:color w:val="111111"/>
          <w:sz w:val="28"/>
          <w:sz w:val="28"/>
          <w:szCs w:val="28"/>
          <w:rtl w:val="true"/>
          <w:lang w:bidi="fa-IR"/>
        </w:rPr>
        <w:t>متعلّق حرمت در مکاسب محرّمه، همان معامله‌ای است که عقلاء در خارج انجام می‌دهند و معاملۀ عقلایی، عبارت است از انشای سبب به غرض تسبیب نقل و انتقال، نه خود نقل و انتقال، یا انشای سبب به قصد ترتّب اثر یا تبدیل مال یا منفعت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ادامه با ردّ دیدگاه شیخ انصاری، محقّق ایروانی و محقّق نائینی قدس سرهم در مورد متعلّق حرمت، به این نکته اشاره می‌کند که نمی‌توان متعلّق حرمت را نقل و انتقال جدّی، نقل و انتقال به قصد ترتّب اثر و تبدیل مال یا منفعت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غرض عقلا در انجام معامله، نقل و انتقال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عقلا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278" w:name="pg13785_134982"/>
    </w:p>
    <w:p>
      <w:pPr>
        <w:pStyle w:val="BookText"/>
        <w:rPr/>
      </w:pPr>
      <w:bookmarkEnd w:id="278"/>
      <w:r>
        <w:rPr>
          <w:rFonts w:ascii="IRNazanin" w:hAnsi="IRNazanin" w:eastAsia="IRNazanin"/>
          <w:color w:val="111111"/>
          <w:sz w:val="28"/>
          <w:sz w:val="28"/>
          <w:szCs w:val="28"/>
          <w:rtl w:val="true"/>
          <w:lang w:bidi="fa-IR"/>
        </w:rPr>
        <w:t xml:space="preserve">قصد می‌کنند که نقل و انتقال جدّی واقع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غرض تسبیب نقل و انتقال انشا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غرض دو طرف معامله، این است که انشای آنها سبب نقل و انتقال جدّی شود، حتّی اگر علم به فساد آن معامله داشته باشند و یا بدانند که نقل و انتقال در خارج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شارع نیز همین غرض تسبیب را که در اختیار مکلّف می‌باشد، متعلّق حرمت تکلیفی قرار داده است</w:t>
      </w:r>
      <w:r>
        <w:rPr>
          <w:rFonts w:eastAsia="IRNazanin" w:cs="IRNazanin"/>
          <w:color w:val="111111"/>
          <w:sz w:val="28"/>
          <w:szCs w:val="28"/>
          <w:rtl w:val="true"/>
          <w:lang w:bidi="fa-IR"/>
        </w:rPr>
        <w:t>.</w:t>
      </w:r>
    </w:p>
    <w:p>
      <w:pPr>
        <w:pStyle w:val="Heading5"/>
        <w:numPr>
          <w:ilvl w:val="4"/>
          <w:numId w:val="1"/>
        </w:numPr>
        <w:rPr/>
      </w:pPr>
      <w:bookmarkStart w:id="279" w:name="__RefHeading___Toc2530905_1468164448"/>
      <w:bookmarkStart w:id="280" w:name="_Toc108"/>
      <w:bookmarkEnd w:id="279"/>
      <w:r>
        <w:rPr>
          <w:rtl w:val="true"/>
        </w:rPr>
        <w:t>بند پنجم</w:t>
      </w:r>
      <w:r>
        <w:rPr>
          <w:rtl w:val="true"/>
        </w:rPr>
        <w:t xml:space="preserve">: </w:t>
      </w:r>
      <w:r>
        <w:rPr>
          <w:rtl w:val="true"/>
        </w:rPr>
        <w:t>دیدگاه محقّق خویی</w:t>
      </w:r>
      <w:bookmarkEnd w:id="280"/>
    </w:p>
    <w:p>
      <w:pPr>
        <w:pStyle w:val="BookText"/>
        <w:rPr/>
      </w:pPr>
      <w:r>
        <w:rPr>
          <w:rFonts w:ascii="IRNazanin" w:hAnsi="IRNazanin" w:eastAsia="IRNazanin"/>
          <w:color w:val="111111"/>
          <w:sz w:val="28"/>
          <w:sz w:val="28"/>
          <w:szCs w:val="28"/>
          <w:rtl w:val="true"/>
          <w:lang w:bidi="fa-IR"/>
        </w:rPr>
        <w:t>محقّق خویی قدس سره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یکون موضوعاً لحلّیة البیع بعینه یکون موضوعاً لحرمته؛</w:t>
      </w:r>
      <w:r>
        <w:rPr>
          <w:rStyle w:val="FootnoteAnchor"/>
          <w:rtl w:val="true"/>
        </w:rPr>
        <w:footnoteReference w:id="198"/>
      </w:r>
      <w:r>
        <w:rPr>
          <w:rFonts w:ascii="IRNazanin" w:hAnsi="IRNazanin" w:eastAsia="IRNazanin"/>
          <w:color w:val="111111"/>
          <w:sz w:val="28"/>
          <w:sz w:val="28"/>
          <w:szCs w:val="28"/>
          <w:rtl w:val="true"/>
          <w:lang w:bidi="fa-IR"/>
        </w:rPr>
        <w:t>همان چیزی که موضوع حلّیت بیع است، متعلّق حرمت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کمی تأمّل می‌توان فهمید که منظور ایشان نیز همان معاملۀ عقلایی‌ای است که امام خمینی قدس سره عنوان نمود؛ چراکه تنها معاملۀ عقلایی است که موضوع حلّیت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بین سخن این دو بزرگوار تفاوتی وجود دارد که ناشی از اختلاف نظر ایشان در بحث اصولی حقیقت انشاست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حقیقت انشا چهار مبنا وجود دارد که در این میان، امام خمینی قدس سره نظریۀ مشهور</w:t>
      </w:r>
      <w:r>
        <w:rPr>
          <w:rStyle w:val="FootnoteAnchor"/>
          <w:rtl w:val="true"/>
        </w:rPr>
        <w:footnoteReference w:id="199"/>
      </w:r>
      <w:r>
        <w:rPr>
          <w:rFonts w:ascii="IRNazanin" w:hAnsi="IRNazanin" w:eastAsia="IRNazanin"/>
          <w:color w:val="111111"/>
          <w:sz w:val="28"/>
          <w:sz w:val="28"/>
          <w:szCs w:val="28"/>
          <w:rtl w:val="true"/>
          <w:lang w:bidi="fa-IR"/>
        </w:rPr>
        <w:t>را پذیرفته است؛</w:t>
      </w:r>
      <w:r>
        <w:rPr>
          <w:rStyle w:val="FootnoteAnchor"/>
          <w:rtl w:val="true"/>
        </w:rPr>
        <w:footnoteReference w:id="200"/>
      </w:r>
      <w:r>
        <w:rPr>
          <w:rFonts w:ascii="IRNazanin" w:hAnsi="IRNazanin" w:eastAsia="IRNazanin"/>
          <w:color w:val="111111"/>
          <w:sz w:val="28"/>
          <w:sz w:val="28"/>
          <w:szCs w:val="28"/>
          <w:rtl w:val="true"/>
          <w:lang w:bidi="fa-IR"/>
        </w:rPr>
        <w:t xml:space="preserve">یعنی حقیقت انشا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المعنی باللفظ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 بیع را انشا کرد، یعنی تملیک را با لفظ ایجاد نمود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محقّق خویی قدس سره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انشا عبارت است از اعتبار نفسانیِ ابراز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الإعتبار المبرز</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برای مثال، وقتی شخصی قصد فروش مال خود را دارد، در عالم نفس، ملکیت این مال را برای مشتری اعتبار می‌کند و سپس با ابراز این اعتبار، موجب نقل و ملکیت می‌شود؛ لیکن تا هنگامی که اعتبار ابراز نشود به مرحلۀ انشا نمی‌رسد</w:t>
      </w:r>
      <w:r>
        <w:rPr>
          <w:rFonts w:eastAsia="IRNazanin" w:cs="IRNazanin"/>
          <w:color w:val="111111"/>
          <w:sz w:val="28"/>
          <w:szCs w:val="28"/>
          <w:rtl w:val="true"/>
          <w:lang w:bidi="fa-IR"/>
        </w:rPr>
        <w:t>.</w:t>
      </w:r>
      <w:bookmarkStart w:id="281" w:name="pg13785_134983"/>
    </w:p>
    <w:p>
      <w:pPr>
        <w:pStyle w:val="BookText"/>
        <w:rPr/>
      </w:pPr>
      <w:bookmarkEnd w:id="281"/>
      <w:r>
        <w:rPr>
          <w:rFonts w:ascii="IRNazanin" w:hAnsi="IRNazanin" w:eastAsia="IRNazanin"/>
          <w:color w:val="111111"/>
          <w:sz w:val="28"/>
          <w:sz w:val="28"/>
          <w:szCs w:val="28"/>
          <w:rtl w:val="true"/>
          <w:lang w:bidi="fa-IR"/>
        </w:rPr>
        <w:t xml:space="preserve">وقتی این اعتبار نفسانی توسّط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شد، مرکّبی را تشکیل می‌دهد که این مرکّب همان انشاست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مبنای محقّق خویی قدس سره قصد جدّی و قصد این‌که لفظ سبب نقل و انتقال جدّی باشد، جزء انشا شمرده می‌شود؛ امّا از نگاه امام خمینی قدس سره این قصد، ملازم با انشاست، نه جزء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برخلاف امام خمینی قدس سره در سخنان محقّق خویی قدس سره تعبیری دربارۀ غرض تسبیب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دیدگاه ما در بحث حقیقت انشا، همان نظریۀ مشهور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المعنی باللفظ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282" w:name="__RefHeading___Toc2530907_1468164448"/>
      <w:bookmarkStart w:id="283" w:name="_Toc109"/>
      <w:bookmarkEnd w:id="282"/>
      <w:r>
        <w:rPr>
          <w:rtl w:val="true"/>
        </w:rPr>
        <w:t>گفتار سوم</w:t>
      </w:r>
      <w:r>
        <w:rPr>
          <w:rtl w:val="true"/>
        </w:rPr>
        <w:t xml:space="preserve">: </w:t>
      </w:r>
      <w:r>
        <w:rPr>
          <w:rtl w:val="true"/>
        </w:rPr>
        <w:t>دیدگاه برگزیده</w:t>
      </w:r>
      <w:bookmarkEnd w:id="283"/>
    </w:p>
    <w:p>
      <w:pPr>
        <w:pStyle w:val="BookText"/>
        <w:rPr/>
      </w:pPr>
      <w:r>
        <w:rPr>
          <w:rFonts w:ascii="IRNazanin" w:hAnsi="IRNazanin" w:eastAsia="IRNazanin"/>
          <w:color w:val="111111"/>
          <w:sz w:val="28"/>
          <w:sz w:val="28"/>
          <w:szCs w:val="28"/>
          <w:rtl w:val="true"/>
          <w:lang w:bidi="fa-IR"/>
        </w:rPr>
        <w:t>نظر نهایی در مورد متعلّق حرمت، ترکیبی از نظر شیخ انصاری و امام خمینی قدس سرهما است، به این بیان که متعلّق حرمت، معاملۀ عقلایی به قصد ترتّب اثر حرام است؛ یعنی وقتی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خمر حرام است، این حرمت به معاملۀ عقلایی تعلّق می‌گیرد، ولی به جایی اختصاص دارد که ترتّب اثر حرام، قصد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ثمره‌های بسیاری بر این نظر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مسلمانی در نقطه‌ای از جهان اقدام به فروش خمر کند، امّا نه به غرض ترتّب اثر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بنا بر نظر امام خمینی و محقّق خویی قدس سرهما، این معامله حرام و فاسد است؛ امّا بنا بر نظری که ما بیان کردیم با وجود بطلان معامله، حرمتی به آن تعلّق نمی‌گیرد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متعلّق حرمت در باب معاملات، نه انشا است و نه نقل و انتقال جدّی؛ بلکه سببیت انشا برای غرض نقل و انتقال است که امام خمینی قدس سره از آن با عنوان معاملۀ عقلایی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سببیت، آن است که فروشنده به دنبال این باشد که با انشای خود، خمر را به مشتری تملیک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متعال، این تسبیب انشا برای تملیک را تحریم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قید دیگری نیز به کمک انصرافِ بر گرفته از روایت تحت العقول به دست می‌آید که عبارت از ترتّب اثر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را شیخ انصاری نیز در تعلّق حرمت به معامله دخیل می‌داند، امّا وجه آن را بیان نکرده است و</w:t>
      </w:r>
      <w:bookmarkStart w:id="284" w:name="pg13785_134984"/>
    </w:p>
    <w:p>
      <w:pPr>
        <w:pStyle w:val="BookText"/>
        <w:rPr/>
      </w:pPr>
      <w:bookmarkEnd w:id="284"/>
      <w:r>
        <w:rPr>
          <w:rFonts w:ascii="IRNazanin" w:hAnsi="IRNazanin" w:eastAsia="IRNazanin"/>
          <w:color w:val="111111"/>
          <w:sz w:val="28"/>
          <w:sz w:val="28"/>
          <w:szCs w:val="28"/>
          <w:rtl w:val="true"/>
          <w:lang w:bidi="fa-IR"/>
        </w:rPr>
        <w:t>همان گونه که گفته شد می‌توان به کمک روایت تحف العقول منشأ این قید را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افزود که اگر شخصی هیچ قصدی نداشته باشد، نه قصد ترتّب اثر حرام و نه قصد ترتّب اثر حلال، این فرض نیز از دایرۀ حرمت خارج می‌شود؛ زیرا گفته شد ادلّۀ حرمت بیع، منصرف به جایی است که اثر محرّم قصد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بحث، فقط دربارۀ حکم تکلیفی است و نباید بین حکم وضعی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تکلیفی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شود</w:t>
      </w:r>
      <w:r>
        <w:rPr>
          <w:rFonts w:eastAsia="IRNazanin" w:cs="IRNazanin"/>
          <w:color w:val="111111"/>
          <w:sz w:val="28"/>
          <w:szCs w:val="28"/>
          <w:rtl w:val="true"/>
          <w:lang w:bidi="fa-IR"/>
        </w:rPr>
        <w:t>.</w:t>
      </w:r>
    </w:p>
    <w:p>
      <w:pPr>
        <w:pStyle w:val="Heading4"/>
        <w:numPr>
          <w:ilvl w:val="3"/>
          <w:numId w:val="1"/>
        </w:numPr>
        <w:rPr/>
      </w:pPr>
      <w:bookmarkStart w:id="285" w:name="__RefHeading___Toc2530909_1468164448"/>
      <w:bookmarkStart w:id="286" w:name="_Toc110"/>
      <w:bookmarkEnd w:id="285"/>
      <w:r>
        <w:rPr>
          <w:rtl w:val="true"/>
        </w:rPr>
        <w:t>گفتار چهارم</w:t>
      </w:r>
      <w:r>
        <w:rPr>
          <w:rtl w:val="true"/>
        </w:rPr>
        <w:t xml:space="preserve">: </w:t>
      </w:r>
      <w:r>
        <w:rPr>
          <w:rtl w:val="true"/>
        </w:rPr>
        <w:t>معنای حرمت وضعی</w:t>
      </w:r>
      <w:bookmarkEnd w:id="286"/>
    </w:p>
    <w:p>
      <w:pPr>
        <w:pStyle w:val="BookText"/>
        <w:rPr/>
      </w:pPr>
      <w:r>
        <w:rPr>
          <w:rFonts w:ascii="IRNazanin" w:hAnsi="IRNazanin" w:eastAsia="IRNazanin"/>
          <w:color w:val="111111"/>
          <w:sz w:val="28"/>
          <w:sz w:val="28"/>
          <w:szCs w:val="28"/>
          <w:rtl w:val="true"/>
          <w:lang w:bidi="fa-IR"/>
        </w:rPr>
        <w:t>حرمت وضعی به معنای فساد و 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معامله‌ای هم حرمت تکلیفی دارد و هم حرمت وضعی، به این معناست که علاوه بر تعلّق عقاب، معامله نیز فاسد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امامیّه و همۀ مذاهب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ابوحنیفه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نیست که فساد و بطلان به یک معنا بوده و منظور از آن، عدم تحقّق نقل و انتقال است؛ ولی ابوحنیفه بین فساد و بطلان تفاوت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او بطلان بیع در جایی است که در رکن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 و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محلّ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ایجاب، غلط خوانده شود یا توسّط فردی مجنون واقع شود، بیع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مواردی که اشکال در رکن و یا محلّ معامله نیست و معامله از جهتی دیگر مخدوش است، معامله فاسد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اگر کسی کالایی را بفروشد و مشتری ثمن را خمر قرار دهد، این معامله باطل نیست؛ زیرا این کالا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مشتری منتقل شده است و از آن‌جا که خمر فاسد و غیر قابل انتقال است، معامله فاسد می‌شود و چون مشتری نمی‌تواند خمر را به بایع تسلیم کند، باید قیمت آن را بپردازد</w:t>
      </w:r>
      <w:r>
        <w:rPr>
          <w:rFonts w:eastAsia="IRNazanin" w:cs="IRNazanin"/>
          <w:color w:val="111111"/>
          <w:sz w:val="28"/>
          <w:szCs w:val="28"/>
          <w:rtl w:val="true"/>
          <w:lang w:bidi="fa-IR"/>
        </w:rPr>
        <w:t>.</w:t>
      </w:r>
      <w:r>
        <w:rPr>
          <w:rStyle w:val="FootnoteAnchor"/>
          <w:rtl w:val="true"/>
        </w:rPr>
        <w:footnoteReference w:id="202"/>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ابوحنیفه، نه با شرع تطابق دارد، نه با عقل و عقلا</w:t>
      </w:r>
      <w:r>
        <w:rPr>
          <w:rFonts w:eastAsia="IRNazanin" w:cs="IRNazanin"/>
          <w:color w:val="111111"/>
          <w:sz w:val="28"/>
          <w:szCs w:val="28"/>
          <w:rtl w:val="true"/>
          <w:lang w:bidi="fa-IR"/>
        </w:rPr>
        <w:t>.</w:t>
      </w:r>
      <w:bookmarkStart w:id="287" w:name="pg13785_134986"/>
    </w:p>
    <w:p>
      <w:pPr>
        <w:pStyle w:val="Heading2"/>
        <w:numPr>
          <w:ilvl w:val="1"/>
          <w:numId w:val="1"/>
        </w:numPr>
        <w:rPr/>
      </w:pPr>
      <w:bookmarkStart w:id="288" w:name="__RefHeading___Toc2530911_1468164448"/>
      <w:bookmarkStart w:id="289" w:name="_Toc111"/>
      <w:bookmarkEnd w:id="287"/>
      <w:bookmarkEnd w:id="288"/>
      <w:r>
        <w:rPr>
          <w:rtl w:val="true"/>
        </w:rPr>
        <w:t>بخش دوم</w:t>
      </w:r>
      <w:r>
        <w:rPr>
          <w:rtl w:val="true"/>
        </w:rPr>
        <w:t xml:space="preserve">: </w:t>
      </w:r>
      <w:r>
        <w:rPr>
          <w:rtl w:val="true"/>
        </w:rPr>
        <w:t>اکتساب با اعیان نجس</w:t>
      </w:r>
      <w:bookmarkEnd w:id="28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0" w:name="__RefHeading___Toc2530913_1468164448"/>
      <w:bookmarkStart w:id="291" w:name="_Toc112"/>
      <w:bookmarkEnd w:id="290"/>
      <w:r>
        <w:rPr>
          <w:rtl w:val="true"/>
        </w:rPr>
        <w:t>اشارة</w:t>
      </w:r>
      <w:bookmarkStart w:id="292" w:name="pg13785_134988"/>
      <w:bookmarkEnd w:id="291"/>
    </w:p>
    <w:p>
      <w:pPr>
        <w:pStyle w:val="Heading3"/>
        <w:numPr>
          <w:ilvl w:val="2"/>
          <w:numId w:val="1"/>
        </w:numPr>
        <w:rPr/>
      </w:pPr>
      <w:bookmarkStart w:id="293" w:name="__RefHeading___Toc2530915_1468164448"/>
      <w:bookmarkStart w:id="294" w:name="_Toc113"/>
      <w:bookmarkEnd w:id="292"/>
      <w:bookmarkEnd w:id="293"/>
      <w:r>
        <w:rPr>
          <w:rtl w:val="true"/>
        </w:rPr>
        <w:t>فصل اوّل</w:t>
      </w:r>
      <w:r>
        <w:rPr>
          <w:rtl w:val="true"/>
        </w:rPr>
        <w:t xml:space="preserve">: </w:t>
      </w:r>
      <w:r>
        <w:rPr>
          <w:rtl w:val="true"/>
        </w:rPr>
        <w:t>معاملۀ اعیان نجس</w:t>
      </w:r>
      <w:bookmarkEnd w:id="294"/>
    </w:p>
    <w:p>
      <w:pPr>
        <w:pStyle w:val="Heading4"/>
        <w:numPr>
          <w:ilvl w:val="3"/>
          <w:numId w:val="1"/>
        </w:numPr>
        <w:rPr/>
      </w:pPr>
      <w:bookmarkStart w:id="295" w:name="__RefHeading___Toc2530917_1468164448"/>
      <w:bookmarkStart w:id="296" w:name="_Toc114"/>
      <w:bookmarkEnd w:id="295"/>
      <w:r>
        <w:rPr>
          <w:rtl w:val="true"/>
        </w:rPr>
        <w:t>اشارة</w:t>
      </w:r>
      <w:bookmarkEnd w:id="296"/>
    </w:p>
    <w:p>
      <w:pPr>
        <w:pStyle w:val="BookText"/>
        <w:rPr/>
      </w:pPr>
      <w:r>
        <w:rPr>
          <w:rFonts w:ascii="IRNazanin" w:hAnsi="IRNazanin" w:eastAsia="IRNazanin"/>
          <w:color w:val="111111"/>
          <w:sz w:val="28"/>
          <w:sz w:val="28"/>
          <w:szCs w:val="28"/>
          <w:rtl w:val="true"/>
          <w:lang w:bidi="fa-IR"/>
        </w:rPr>
        <w:t>شیخ انصاری قدس سره پس از بیان مطالب مقدّماتی، بحث انواع اکتساب حرام را مطرح می‌کند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فالإکتساب المحرّم أنواع، نذکر کلّاً منها فی طیّ مسائل، النوع الأوّل الإکتساب بالأعیان النجسة عدا ما استثنی وفیه مسائل ثمان، المسألة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یحرم المعاوضة علی بول غیر مأکول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به هر حال، اکتساب حرام دارای انواع گوناگونی است که ما هر یک از آنها را در ضمن مسائلی ذکر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اوّل، اکتساب با اعیان 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آنهایی که استثنا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هشت مسئله در مورد آن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نخست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معاوضۀ بول حیوان حرام گوشت حرام می‌باشد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ایشان بدون ورود به بحث کلّی حرمت اکتساب اعیان نجس، مصادیق آن را مورد بررسی قرار داده‌اند؛ لیکن امام خمینی قدس سره پیش از بیان حکم مصادیق نجاست، بحث حکم اکتساب اعیان نجس را با بررسی سه مطلب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سه مطلب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تکلیفی معاملۀ اعیان نجس، حرمت تکلیفی اخذ ثمن توسّط بایع در مقابل عین نجس و حرمت وضعی معاملۀ اعیان نجس</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ما نیز بحث را به شیوۀ اجتهادی امام خمینی قدس سره پیش می‌بریم و ابتدا بحث کلّی معامله و اکتساب با اعیان نجس را مطرح می‌کنیم و اگر نتیجۀ بحث چنین باشد که معاملۀ شیء نجس به خاطر نجاست آن حرمت تکلیفی ندارد، آن‌گاه می‌بایست برای موارد خاص همچون حرمت معاملۀ مردار یا خون، اقامۀ دلیل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 نتیجه این شد که معاملۀ شیء نجس به خاطر نجاستش حرام است، آن‌گاه در مصادیق آن نیاز به اقامۀ دلیل خاص نداریم و همین دلیل عام، کافی است، هرچند ضمیمۀ دلیل خاص نیز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ابتدا باید بررسی کنیم که آیا نجاست به خودی خود، می‌تواند موضوع حرمت تکلیفی معامله باشد یا خیر؟ یعنی آیا می‌توان گفت که معاملۀ اعیان نجس بما هو نجسٌ، حرام تکلیفی است؟ در سخنان شیخ انصاری قدس سره در بحث معاملۀ بول حیوان حرام گوشت، بین حرمت تکلیفی و حرمت وضعی خلط شده است؛ امّا باید دقّت شود که در مقام نخست، بحث دربارۀ حکم تکلیفیِ معاملۀ اعیان نجس است و فساد و بطلان معامله مورد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می‌خواهیم بدانیم معاملۀ عین نجسی همچون بول حیوان حرام گوشت چه حکمی دارد؟ آیا این معامله حرمت تکلیفی دارد یا خیر؟ یعنی علاوه بر این‌که معامله فاسد است، آیا طرفین معامله مرتکب فعلی حرام شده‌اند؟</w:t>
      </w:r>
    </w:p>
    <w:p>
      <w:pPr>
        <w:pStyle w:val="BookText"/>
        <w:rPr/>
      </w:pPr>
      <w:r>
        <w:rPr>
          <w:rFonts w:ascii="IRNazanin" w:hAnsi="IRNazanin" w:eastAsia="IRNazanin"/>
          <w:color w:val="111111"/>
          <w:sz w:val="28"/>
          <w:sz w:val="28"/>
          <w:szCs w:val="28"/>
          <w:rtl w:val="true"/>
          <w:lang w:bidi="fa-IR"/>
        </w:rPr>
        <w:t>ذکر این نکته نیز خالی از فایده نیست که در کتاب‌های اهل سنّت و در بحث معاملات اعیان نجس، اصلاً به بحث حرمت تکلیفی اشاره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معاملۀ خون، بول، منی، مردار و مانند آن باطل است و این گونه نیست که متعاملین مرتکب فعلی حرام شده و مستحقّ عقاب باشند؛ امّا در فقه ما این مسئله مطرح است که خرید و فروش این اعیان نجس، حرمت تکلیفی دارد</w:t>
      </w:r>
      <w:r>
        <w:rPr>
          <w:rFonts w:eastAsia="IRNazanin" w:cs="IRNazanin"/>
          <w:color w:val="111111"/>
          <w:sz w:val="28"/>
          <w:szCs w:val="28"/>
          <w:rtl w:val="true"/>
          <w:lang w:bidi="fa-IR"/>
        </w:rPr>
        <w:t>.</w:t>
      </w:r>
      <w:bookmarkStart w:id="297" w:name="pg13785_134990"/>
    </w:p>
    <w:p>
      <w:pPr>
        <w:pStyle w:val="BookText"/>
        <w:rPr/>
      </w:pPr>
      <w:bookmarkEnd w:id="297"/>
      <w:r>
        <w:rPr>
          <w:rFonts w:ascii="IRNazanin" w:hAnsi="IRNazanin" w:eastAsia="IRNazanin"/>
          <w:color w:val="111111"/>
          <w:sz w:val="28"/>
          <w:sz w:val="28"/>
          <w:szCs w:val="28"/>
          <w:rtl w:val="true"/>
          <w:lang w:bidi="fa-IR"/>
        </w:rPr>
        <w:t>در مبحث دوم به این مطلب اشاره می‌شود که فارغ از بحث حرمت تکلیفی معاملۀ اعیان نجس، آیا اخذ ثمن در قبال فروش عین نجس، حرمت تکلیفی مستقلّی دارد یا نه؟ یعنی دریافت مبلغی در مقابل فروش عین نجس حرام است یا خیر و آیا این حرمت، مستقل از حرمتی است که در بحث نخست از آن سخن گفته می‌شود، یا عین همان است؟ در نهایت، در مبحث سوم، دربارۀ حرمت وضعی معاملۀ اعیان نجس گفتگو خواهیم کرد</w:t>
      </w:r>
      <w:r>
        <w:rPr>
          <w:rFonts w:eastAsia="IRNazanin" w:cs="IRNazanin"/>
          <w:color w:val="111111"/>
          <w:sz w:val="28"/>
          <w:szCs w:val="28"/>
          <w:rtl w:val="true"/>
          <w:lang w:bidi="fa-IR"/>
        </w:rPr>
        <w:t>.</w:t>
      </w:r>
    </w:p>
    <w:p>
      <w:pPr>
        <w:pStyle w:val="Heading4"/>
        <w:numPr>
          <w:ilvl w:val="3"/>
          <w:numId w:val="1"/>
        </w:numPr>
        <w:rPr/>
      </w:pPr>
      <w:bookmarkStart w:id="298" w:name="__RefHeading___Toc2530919_1468164448"/>
      <w:bookmarkStart w:id="299" w:name="_Toc115"/>
      <w:bookmarkEnd w:id="298"/>
      <w:r>
        <w:rPr>
          <w:rtl w:val="true"/>
        </w:rPr>
        <w:t>گفتار اوّل</w:t>
      </w:r>
      <w:r>
        <w:rPr>
          <w:rtl w:val="true"/>
        </w:rPr>
        <w:t xml:space="preserve">: </w:t>
      </w:r>
      <w:r>
        <w:rPr>
          <w:rtl w:val="true"/>
        </w:rPr>
        <w:t>حکم تکلیفی معاملۀ اعیان نجس</w:t>
      </w:r>
      <w:bookmarkEnd w:id="299"/>
    </w:p>
    <w:p>
      <w:pPr>
        <w:pStyle w:val="Heading5"/>
        <w:numPr>
          <w:ilvl w:val="4"/>
          <w:numId w:val="1"/>
        </w:numPr>
        <w:rPr/>
      </w:pPr>
      <w:bookmarkStart w:id="300" w:name="__RefHeading___Toc2530921_1468164448"/>
      <w:bookmarkStart w:id="301" w:name="_Toc116"/>
      <w:bookmarkEnd w:id="300"/>
      <w:r>
        <w:rPr>
          <w:rtl w:val="true"/>
        </w:rPr>
        <w:t>اشارة</w:t>
      </w:r>
      <w:bookmarkEnd w:id="301"/>
    </w:p>
    <w:p>
      <w:pPr>
        <w:pStyle w:val="BookText"/>
        <w:rPr/>
      </w:pPr>
      <w:r>
        <w:rPr>
          <w:rFonts w:ascii="IRNazanin" w:hAnsi="IRNazanin" w:eastAsia="IRNazanin"/>
          <w:color w:val="111111"/>
          <w:sz w:val="28"/>
          <w:sz w:val="28"/>
          <w:szCs w:val="28"/>
          <w:rtl w:val="true"/>
          <w:lang w:bidi="fa-IR"/>
        </w:rPr>
        <w:t>در این مبحث به بررسی این مطلب می‌پردازیم که آیا معاملۀ عین نجس به عنوان نجس بودنش، حرام است یا خیر؟ منظور از حرمت نیز حرمت تکلیفی است و بحث حکم وضعیِ معاملۀ اعیان نجس، در مبحث سوم همین بخش به صورت مستقل، مورد بررسی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مبحث، باید ادلّۀ حرمت تکلیفی معاملۀ اعیان نجس مورد بررسی قرار گیرد تا مشخّص شود که آیا نجاست به خودی خود، می‌تواند موضوع حرمت تکلیفی معامله باشد یا خیر؟ آیا می‌توان از ادلّه چنین برداشت نمود که معاملۀ عین نجس به‌واسطۀ نجس بودن، حرام است یا خیر؟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بررسی ادلّه، همان گونه که امام خمینی قدس سره عمل نموده‌اند، ابتدا ادلّۀ لفظی مانند عمومات، اطلاقات و روایات خاص را مطالعه نموده و سپس اجماع را مورد بررسی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برخی از فقها پیش از بررسی ادلّۀ لفظی، به بررسی وجود اجماع در مسئله می‌پردازند؛ امّا به نظر می‌رسد که روش نخست، بیشتر با موازین مطابق است و اولویّت دارد؛ زیرا اگر ادلّۀ لفظی تمام باشند و ما را به مقصود برسانند، دیگر اجماع سودی نخواهد داشت و اجماع موجود، مستند به همین ادلّه خواهد بود؛ امّا اگر ادلّۀ لفظی ناتمام باشند، آن‌گاه با مراجعه به اجماع می‌توان به نتیجۀ مورد نظر، دست یافت</w:t>
      </w:r>
      <w:r>
        <w:rPr>
          <w:rFonts w:eastAsia="IRNazanin" w:cs="IRNazanin"/>
          <w:color w:val="111111"/>
          <w:sz w:val="28"/>
          <w:szCs w:val="28"/>
          <w:rtl w:val="true"/>
          <w:lang w:bidi="fa-IR"/>
        </w:rPr>
        <w:t>.</w:t>
      </w:r>
      <w:r>
        <w:rPr>
          <w:rStyle w:val="FootnoteAnchor"/>
          <w:rtl w:val="true"/>
        </w:rPr>
        <w:footnoteReference w:id="205"/>
      </w:r>
      <w:bookmarkStart w:id="302" w:name="pg13785_134991"/>
    </w:p>
    <w:p>
      <w:pPr>
        <w:pStyle w:val="BookText"/>
        <w:rPr/>
      </w:pPr>
      <w:bookmarkEnd w:id="302"/>
      <w:r>
        <w:rPr>
          <w:rFonts w:ascii="IRNazanin" w:hAnsi="IRNazanin" w:eastAsia="IRNazanin"/>
          <w:color w:val="111111"/>
          <w:sz w:val="28"/>
          <w:sz w:val="28"/>
          <w:szCs w:val="28"/>
          <w:rtl w:val="true"/>
          <w:lang w:bidi="fa-IR"/>
        </w:rPr>
        <w:t>امام خمینی قدس سره در بررسی ادلّۀ لفظی نیز به دو شکل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ابتدا آیات و روایاتی که ممکن است بر حرمت تکلیفی معاملۀ اعیان نجس دلالت داشته باشند را مورد بررسی قرار داده است و سپس به بررسی این مطلب پرداخته است که آیا می‌توان از ادلّه‌ای که در مورد مصادیق عین نجاست و موارد خاص، وارد شده است، الغای خصوصیّت نمود و به حکمی کلّی رسید؟</w:t>
      </w:r>
    </w:p>
    <w:p>
      <w:pPr>
        <w:pStyle w:val="BookText"/>
        <w:rPr/>
      </w:pPr>
      <w:r>
        <w:rPr>
          <w:rFonts w:ascii="IRNazanin" w:hAnsi="IRNazanin" w:eastAsia="IRNazanin"/>
          <w:color w:val="111111"/>
          <w:sz w:val="28"/>
          <w:sz w:val="28"/>
          <w:szCs w:val="28"/>
          <w:rtl w:val="true"/>
          <w:lang w:bidi="fa-IR"/>
        </w:rPr>
        <w:t>البتّه به نظر می‌رسد که نمی‌توان بحث الغای خصوصیت را در این‌جا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ما این مطلب را در جایی دیگر هنگام در بحث دربارۀ مصادیق عین نجس، به صورت مستقل مورد بررسی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تذکّر مجدّد این نکته نیز ضروری است که منظور ما از حرمت، حرمت تکلیفی است؛ یعنی ما پیش از این‌که بدانیم معاملۀ انجام شده، فاسد است یا خیر و آیا نقل و انتقال صورت می‌گیرد یا صورت نمی‌گیرد، می‌خواهیم بدانیم آیا در شریعت اسلامی، معاملۀ اعیان نجس جایز است یا خیر</w:t>
      </w:r>
      <w:r>
        <w:rPr>
          <w:rFonts w:eastAsia="IRNazanin" w:cs="IRNazanin"/>
          <w:color w:val="111111"/>
          <w:sz w:val="28"/>
          <w:szCs w:val="28"/>
          <w:rtl w:val="true"/>
          <w:lang w:bidi="fa-IR"/>
        </w:rPr>
        <w:t>.</w:t>
      </w:r>
    </w:p>
    <w:p>
      <w:pPr>
        <w:pStyle w:val="Heading5"/>
        <w:numPr>
          <w:ilvl w:val="4"/>
          <w:numId w:val="1"/>
        </w:numPr>
        <w:rPr/>
      </w:pPr>
      <w:bookmarkStart w:id="303" w:name="__RefHeading___Toc2530923_1468164448"/>
      <w:bookmarkStart w:id="304" w:name="_Toc117"/>
      <w:bookmarkEnd w:id="303"/>
      <w:r>
        <w:rPr>
          <w:rtl w:val="true"/>
        </w:rPr>
        <w:t>بند اوّل</w:t>
      </w:r>
      <w:r>
        <w:rPr>
          <w:rtl w:val="true"/>
        </w:rPr>
        <w:t xml:space="preserve">: </w:t>
      </w:r>
      <w:r>
        <w:rPr>
          <w:rtl w:val="true"/>
        </w:rPr>
        <w:t>بررسی ادلّۀ لفظی</w:t>
      </w:r>
      <w:bookmarkEnd w:id="304"/>
    </w:p>
    <w:p>
      <w:pPr>
        <w:pStyle w:val="Heading6"/>
        <w:numPr>
          <w:ilvl w:val="5"/>
          <w:numId w:val="1"/>
        </w:numPr>
        <w:rPr/>
      </w:pPr>
      <w:bookmarkStart w:id="305" w:name="__RefHeading___Toc2530925_1468164448"/>
      <w:bookmarkStart w:id="306" w:name="_Toc118"/>
      <w:bookmarkEnd w:id="305"/>
      <w:r>
        <w:rPr>
          <w:rtl w:val="true"/>
        </w:rPr>
        <w:t>الف</w:t>
      </w:r>
      <w:r>
        <w:rPr>
          <w:rtl w:val="true"/>
        </w:rPr>
        <w:t xml:space="preserve">) </w:t>
      </w:r>
      <w:r>
        <w:rPr>
          <w:rtl w:val="true"/>
        </w:rPr>
        <w:t>روایت تحف العقول</w:t>
      </w:r>
      <w:bookmarkEnd w:id="306"/>
    </w:p>
    <w:p>
      <w:pPr>
        <w:pStyle w:val="BookText"/>
        <w:rPr/>
      </w:pPr>
      <w:r>
        <w:rPr>
          <w:rFonts w:ascii="IRNazanin" w:hAnsi="IRNazanin" w:eastAsia="IRNazanin"/>
          <w:color w:val="111111"/>
          <w:sz w:val="28"/>
          <w:sz w:val="28"/>
          <w:szCs w:val="28"/>
          <w:rtl w:val="true"/>
          <w:lang w:bidi="fa-IR"/>
        </w:rPr>
        <w:t>به عنوان اوّلین دلیل به روایت تحف العقول اشاره می‌نماییم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وُجُوهُ الْحَرَامِ مِنَ الْبَیْعِ وَالشِّرَاءِ؛ فَکُلُّ أَمْرٍ یَکُونُ فِیهِ الْفَسَادُ مِمَّا هُوَ مَنْهِیٌّ عَنْهُ مِنْ جِهَةِ أَکْلِهِ أَوْ شُرْبِهِ أَوْ کَسْبِهِ أَوْ نِکَاحِهِ أَوْ مِلْکِهِ أَوْ إِمْسَاکِهِ أَوْ هِبَتِهِ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شَیْ‌ءٍ مِنْ وُجُوهِ النَّجِسِ فَهَذَا کُلُّهُ حَرَامٌ وَمُحَرَّمٌ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فَجَمِیعُ تَقَلُّبِهِ فِی ذَلِکَ حَرَامٌ</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در این روایت، معاملۀ اعیان نجس، یکی از وجوه معاملۀ حرام دانسته شده است و با توجّه به ذیل روایت که می‌فرماید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فجمیع تقلّبه فی ذلک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دریافت که</w:t>
      </w:r>
      <w:bookmarkStart w:id="307" w:name="pg13785_134992"/>
    </w:p>
    <w:p>
      <w:pPr>
        <w:pStyle w:val="BookText"/>
        <w:rPr/>
      </w:pPr>
      <w:bookmarkEnd w:id="307"/>
      <w:r>
        <w:rPr>
          <w:rFonts w:ascii="IRNazanin" w:hAnsi="IRNazanin" w:eastAsia="IRNazanin"/>
          <w:color w:val="111111"/>
          <w:sz w:val="28"/>
          <w:sz w:val="28"/>
          <w:szCs w:val="28"/>
          <w:rtl w:val="true"/>
          <w:lang w:bidi="fa-IR"/>
        </w:rPr>
        <w:t>عین نجس، حرمت دارد و حرمت آن تنها حرمت خوردن و آشامیدن نیست؛ بلکه تمام تصرّفات در آن، از جمله خرید و فروش،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تحف العقول دلالت روشنی بر قاعدۀ کلّیِ حرمت معاوضۀ اعیان نجس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نیز همان گونه که پیش از این بیان شد، مورد قبول است و می‌توان از این روایت به عنوان دلیل استفاده نمود، همان گونه که شیخ انصاری</w:t>
      </w:r>
      <w:r>
        <w:rPr>
          <w:rStyle w:val="FootnoteAnchor"/>
          <w:rtl w:val="true"/>
        </w:rPr>
        <w:footnoteReference w:id="207"/>
      </w:r>
      <w:r>
        <w:rPr>
          <w:rFonts w:ascii="IRNazanin" w:hAnsi="IRNazanin" w:eastAsia="IRNazanin"/>
          <w:color w:val="111111"/>
          <w:sz w:val="28"/>
          <w:sz w:val="28"/>
          <w:szCs w:val="28"/>
          <w:rtl w:val="true"/>
          <w:lang w:bidi="fa-IR"/>
        </w:rPr>
        <w:t>و صاحب حدائق قدس سرهما</w:t>
      </w:r>
      <w:r>
        <w:rPr>
          <w:rStyle w:val="FootnoteAnchor"/>
          <w:rtl w:val="true"/>
        </w:rPr>
        <w:footnoteReference w:id="208"/>
      </w:r>
      <w:r>
        <w:rPr>
          <w:rFonts w:ascii="IRNazanin" w:hAnsi="IRNazanin" w:eastAsia="IRNazanin"/>
          <w:color w:val="111111"/>
          <w:sz w:val="28"/>
          <w:sz w:val="28"/>
          <w:szCs w:val="28"/>
          <w:rtl w:val="true"/>
          <w:lang w:bidi="fa-IR"/>
        </w:rPr>
        <w:t>بارها به این روایت استناد کرده‌اند</w:t>
      </w:r>
      <w:r>
        <w:rPr>
          <w:rFonts w:eastAsia="IRNazanin" w:cs="IRNazanin"/>
          <w:color w:val="111111"/>
          <w:sz w:val="28"/>
          <w:szCs w:val="28"/>
          <w:rtl w:val="true"/>
          <w:lang w:bidi="fa-IR"/>
        </w:rPr>
        <w:t>.</w:t>
      </w:r>
    </w:p>
    <w:p>
      <w:pPr>
        <w:pStyle w:val="Heading6"/>
        <w:numPr>
          <w:ilvl w:val="5"/>
          <w:numId w:val="1"/>
        </w:numPr>
        <w:rPr/>
      </w:pPr>
      <w:bookmarkStart w:id="308" w:name="__RefHeading___Toc2530927_1468164448"/>
      <w:bookmarkStart w:id="309" w:name="_Toc119"/>
      <w:bookmarkEnd w:id="308"/>
      <w:r>
        <w:rPr>
          <w:rtl w:val="true"/>
        </w:rPr>
        <w:t>ب</w:t>
      </w:r>
      <w:r>
        <w:rPr>
          <w:rtl w:val="true"/>
        </w:rPr>
        <w:t xml:space="preserve">) </w:t>
      </w:r>
      <w:r>
        <w:rPr>
          <w:rtl w:val="true"/>
        </w:rPr>
        <w:t>روایت</w:t>
      </w:r>
      <w:bookmarkEnd w:id="309"/>
    </w:p>
    <w:p>
      <w:pPr>
        <w:pStyle w:val="BookText"/>
        <w:rPr/>
      </w:pPr>
      <w:r>
        <w:rPr>
          <w:rFonts w:ascii="IRNazanin" w:hAnsi="IRNazanin" w:eastAsia="IRNazanin"/>
          <w:color w:val="111111"/>
          <w:sz w:val="28"/>
          <w:sz w:val="28"/>
          <w:szCs w:val="28"/>
          <w:rtl w:val="true"/>
          <w:lang w:bidi="fa-IR"/>
        </w:rPr>
        <w:t>فقه الرضا علیه السلام</w:t>
      </w:r>
    </w:p>
    <w:p>
      <w:pPr>
        <w:pStyle w:val="BookText"/>
        <w:rPr/>
      </w:pPr>
      <w:r>
        <w:rPr>
          <w:rFonts w:ascii="Amiri" w:hAnsi="Amiri" w:eastAsia="Amiri" w:cs="Amiri"/>
          <w:color w:val="111111"/>
          <w:sz w:val="28"/>
          <w:sz w:val="28"/>
          <w:szCs w:val="28"/>
          <w:rtl w:val="true"/>
          <w:lang w:bidi="ar-SA"/>
        </w:rPr>
        <w:t>کُلُّ أَمْرٍ یَکُونُ فِیهِ الْفَسَادُ مِمَّا قَدْ نُهِیَ عَنْهُ مِنْ جِهَةِ أَکْلِهِ وَشُرْبِهِ وَلُبْسِهِ وَنِکَاحِهِ وَإِمْسَاکِهِ لِوَجْهِ الْفَسَادِ وَمِثْلُ الْمَیْتَةِ وَالدَّمِ وَلَحْمِ الْخِنْزِیرِ وَالرِّبَا وَجَمِیعِ الْفَوَاحِشِ وَلُحُومِ السِّبَاعِ وَالْخَمْرِ وَمَا أَشْبَهَ ذَلِکَ فَحَرَامٌ ضَارٌّ لِلْجِسْمِ وَفَسَادٌ لِلنَّفْسِ</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در این روایت نیز اعیان نجس، حرام دانسته شده‌اند؛ امّا ظهور این روایت، بیشتر در حرمت وضعی است و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قابل اعتمادی در حرمت تکلیفی دارد و این به خاطر ذیل روایت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ضارٌ للجسم و فساد للنّفس</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 xml:space="preserve">بر خلاف روایت تحف العقول که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وَ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فَجَمِیعُ تَقَلُّبِهِ فِی ذَلِکَ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روشنی در حکم تکلیفی دارد؛ زیرا وقتی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تصرّفی در اعیان نجس حرام است، نگه داشتن اعیان نجس نیز حرام خواهد بود و این نشان‌دهندۀ حکم تکلیفی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برخی از فقها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تحف العقول تنها در بردارندۀ حکم وضعی</w:t>
      </w:r>
      <w:bookmarkStart w:id="310" w:name="pg13785_134993"/>
    </w:p>
    <w:p>
      <w:pPr>
        <w:pStyle w:val="BookText"/>
        <w:rPr/>
      </w:pPr>
      <w:bookmarkEnd w:id="310"/>
      <w:r>
        <w:rPr>
          <w:rFonts w:ascii="IRNazanin" w:hAnsi="IRNazanin" w:eastAsia="IRNazanin"/>
          <w:color w:val="111111"/>
          <w:sz w:val="28"/>
          <w:sz w:val="28"/>
          <w:szCs w:val="28"/>
          <w:rtl w:val="true"/>
          <w:lang w:bidi="fa-IR"/>
        </w:rPr>
        <w:t xml:space="preserve">است؛ امّا همان گونه که پیش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روایت 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شد، این روایت علاوه بر حکم وضعی بر حکم تکلیفی نیز دلالت دارد، ولی ظهور آن در حکم تکلیفی، قوی‌تر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فقه الرضا علیه السلام چنین ظهوری وجود ندارد و نمی‌توان به قرینۀ روشنی بر حرمت تکلیفی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 خمینی قدس سره معتقد است که احتمال حرمت تکلیفی بر حرمت وضعی رجحان دارد،</w:t>
      </w:r>
      <w:r>
        <w:rPr>
          <w:rStyle w:val="FootnoteAnchor"/>
          <w:rtl w:val="true"/>
        </w:rPr>
        <w:footnoteReference w:id="211"/>
      </w:r>
      <w:r>
        <w:rPr>
          <w:rFonts w:ascii="IRNazanin" w:hAnsi="IRNazanin" w:eastAsia="IRNazanin"/>
          <w:color w:val="111111"/>
          <w:sz w:val="28"/>
          <w:sz w:val="28"/>
          <w:szCs w:val="28"/>
          <w:rtl w:val="true"/>
          <w:lang w:bidi="fa-IR"/>
        </w:rPr>
        <w:t>که این یک استظهار از روایت است</w:t>
      </w:r>
      <w:r>
        <w:rPr>
          <w:rFonts w:eastAsia="IRNazanin" w:cs="IRNazanin"/>
          <w:color w:val="111111"/>
          <w:sz w:val="28"/>
          <w:szCs w:val="28"/>
          <w:rtl w:val="true"/>
          <w:lang w:bidi="fa-IR"/>
        </w:rPr>
        <w:t>.</w:t>
      </w:r>
    </w:p>
    <w:p>
      <w:pPr>
        <w:pStyle w:val="Heading6"/>
        <w:numPr>
          <w:ilvl w:val="5"/>
          <w:numId w:val="1"/>
        </w:numPr>
        <w:rPr/>
      </w:pPr>
      <w:bookmarkStart w:id="311" w:name="__RefHeading___Toc2530929_1468164448"/>
      <w:bookmarkStart w:id="312" w:name="_Toc120"/>
      <w:bookmarkEnd w:id="311"/>
      <w:r>
        <w:rPr>
          <w:rtl w:val="true"/>
        </w:rPr>
        <w:t>ج</w:t>
      </w:r>
      <w:r>
        <w:rPr>
          <w:rtl w:val="true"/>
        </w:rPr>
        <w:t xml:space="preserve">) </w:t>
      </w:r>
      <w:r>
        <w:rPr>
          <w:rtl w:val="true"/>
        </w:rPr>
        <w:t>روایت</w:t>
      </w:r>
      <w:bookmarkEnd w:id="312"/>
    </w:p>
    <w:p>
      <w:pPr>
        <w:pStyle w:val="BookText"/>
        <w:rPr/>
      </w:pPr>
      <w:r>
        <w:rPr>
          <w:rFonts w:ascii="IRNazanin" w:hAnsi="IRNazanin" w:eastAsia="IRNazanin"/>
          <w:color w:val="111111"/>
          <w:sz w:val="28"/>
          <w:sz w:val="28"/>
          <w:szCs w:val="28"/>
          <w:rtl w:val="true"/>
          <w:lang w:bidi="fa-IR"/>
        </w:rPr>
        <w:t>دعائم الاسلام</w:t>
      </w:r>
    </w:p>
    <w:p>
      <w:pPr>
        <w:pStyle w:val="BookText"/>
        <w:rPr/>
      </w:pPr>
      <w:r>
        <w:rPr>
          <w:rFonts w:ascii="IRNazanin" w:hAnsi="IRNazanin" w:eastAsia="IRNazanin"/>
          <w:color w:val="111111"/>
          <w:sz w:val="28"/>
          <w:sz w:val="28"/>
          <w:szCs w:val="28"/>
          <w:rtl w:val="true"/>
          <w:lang w:bidi="fa-IR"/>
        </w:rPr>
        <w:t>دلیل سوم، روایت دعائم الاسلام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نیز در ابتدای مکاسب مورد بحث و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الْحَلَالُ مِنَ الْبُیُوعِ کُلُّ مَا هُوَ حَلَالٌ مِنَ الْمَأْکُولِ وَالْمَشْرُوبِ وَغَیْرِ ذَلِکَ مِمَّا هُوَ قِوَامٌ لِلنَّاسِ وَصَلَاحٌ وَمُبَاحٌ لَهُمُ الِانْتِفَاعُ بِهِ وَمَا کَانَ مُحَرَّماً أَصْلُهُ مَنْهِیّاً عَنْهُ لَمْ یَجُزْ بَیْعُهُ وَلَا شِرَاؤُهُ؛</w:t>
      </w:r>
      <w:r>
        <w:rPr>
          <w:rStyle w:val="FootnoteAnchor"/>
          <w:rtl w:val="true"/>
        </w:rPr>
        <w:footnoteReference w:id="212"/>
      </w:r>
      <w:r>
        <w:rPr>
          <w:rFonts w:ascii="IRNazanin" w:hAnsi="IRNazanin" w:eastAsia="IRNazanin"/>
          <w:color w:val="111111"/>
          <w:sz w:val="28"/>
          <w:sz w:val="28"/>
          <w:szCs w:val="28"/>
          <w:rtl w:val="true"/>
          <w:lang w:bidi="fa-IR"/>
        </w:rPr>
        <w:t>خرید و فروش خوردنی‌ها و آشامیدنی‌های حلال و چیزهایی که زندگی مردم به آنها وابسته و انتفاع از آنها مباح است، حلال است؛ ولی خرید و فروش چیزی که اصلش حرام و از آن نهی شده است،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استدلال به این روایت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صدر روایت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الْحَلَالُ مِنَ الْبُیُوعِ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مراد از</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یَجُزْ بَیْعُهُ وَلَا شِرَاؤُهُ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حرمت تکلیفی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عدم صحّت است، آن‌گاه روایت بر حرمت وضعی دلالت می‌کند؛ لیکن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صدر روایت،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شده است و بدین صورت، استدلال تمام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دو اشکال وجود دارد که باید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ادّعا کرده‌اند که مقصود از حلّیت و حرمت بیع در قرآن، روایات و لسان متقدّمین از فقها، حکم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امضای شارع و صحّت بیع است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پس این گونه افراد که معتقدند حرمت و حلّیت در آیات و روایات، اختصاص به حکم وضعی دارد، نمی‌توانند به این روایت تمسّک جویند؛ چراکه در این صورت، این روایت تنها حرمت وضعی را اثبات خواهد کرد، در حالی که ما به دنبال اثبات حرمت تکلیفی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گونه که پیش‌تر بیان شد، حلّیت و حرمت در لسان آیات و روایات، اعم از حکم تکلیفی و وضعی است و در برخی از آیات و روایات، قرائن روشنی وجود دارد که ثابت می‌کند مراد حکم تکلیفی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فقها معتقدند که آیۀ شریفۀ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حکم وضعی، شامل حکم تکلیفی نیز می‌شود؛ برای مثال، حرام دانستن نگهداری عین نجس در روایت تحف العقول، قرینۀ روشنی است بر این‌که روایت، بر حرمت تکلیفی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حلّیت و حرمت در لسان قرآن، روایات و متقدّمین به حکم وضعی اختصاص دارد، مطلب قابل التزام و صحیحی نیست؛ بلکه حلّیت و حرمت در لسان آیات و روایات، علاوه بر حکم وضعی بر حکم تکلیفی نیز دلالت می‌کند و حتّی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دعائم الاسلام نیز شامل حکم تکلیفی و وضعی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امام خمینی قدس سره</w:t>
      </w:r>
      <w:r>
        <w:rPr>
          <w:rStyle w:val="FootnoteAnchor"/>
          <w:rtl w:val="true"/>
        </w:rPr>
        <w:footnoteReference w:id="214"/>
      </w:r>
      <w:r>
        <w:rPr>
          <w:rFonts w:ascii="IRNazanin" w:hAnsi="IRNazanin" w:eastAsia="IRNazanin"/>
          <w:color w:val="111111"/>
          <w:sz w:val="28"/>
          <w:sz w:val="28"/>
          <w:szCs w:val="28"/>
          <w:rtl w:val="true"/>
          <w:lang w:bidi="fa-IR"/>
        </w:rPr>
        <w:t>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ایشان عبارت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یَجُزْ بَیْعُهُ وَلَا شِرَاؤُهُ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حکم وضعی دارد؛ زیرا تعلّق یافتن اوامر و نواهی یا جواز و عدم جواز به یک عنوان آلی و توصّلی، ارشاد به این مطلب است که شما نمی‌توانید به‌وسیلۀ آنها به مقصود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نیز یک عنوان آلی است؛ چراکه به‌وسیلۀ</w:t>
      </w:r>
    </w:p>
    <w:p>
      <w:pPr>
        <w:pStyle w:val="BookText"/>
        <w:rPr/>
      </w:pPr>
      <w:r>
        <w:rPr>
          <w:rFonts w:ascii="IRNazanin" w:hAnsi="IRNazanin" w:eastAsia="IRNazanin"/>
          <w:color w:val="111111"/>
          <w:sz w:val="28"/>
          <w:sz w:val="28"/>
          <w:szCs w:val="28"/>
          <w:rtl w:val="true"/>
          <w:lang w:bidi="fa-IR"/>
        </w:rPr>
        <w:t>بیع، مبیع، ملک مشتری می‌شود و ثمن در ملک بایع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لاتبع ما لیس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این است که فروختن مالی که برای خود فرد نیست، کالعدم محسوب می‌شود و ارشاد به عدم وصول به مقصود از این طریق است؛ یعنی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برای تو نیست نفروش، معنایش این است که خرید و فروش، کالعدم است و با این بیع به مقصود خود نمی‌رسی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در روایت تحف العقول نیز جاری می‌شود؛ زیرا در آن‌جا نیز مسئلۀ بیع و شراء مطرح است و حکم به عنوان آلی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روایت، قرائنی مانند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با کمک آنها حرمت تکلیفی ثابت می‌شود، در حالی که این قرائن در روایت دعائم الإسلام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بیان شد،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روایت دعائم الإسلام ظهور در حرمت وضعی دارد و نمی‌توان به آن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جعفریّات</w:t>
      </w:r>
    </w:p>
    <w:p>
      <w:pPr>
        <w:pStyle w:val="BookText"/>
        <w:rPr/>
      </w:pPr>
      <w:r>
        <w:rPr>
          <w:rFonts w:ascii="IRNazanin" w:hAnsi="IRNazanin" w:eastAsia="IRNazanin"/>
          <w:color w:val="111111"/>
          <w:sz w:val="28"/>
          <w:sz w:val="28"/>
          <w:szCs w:val="28"/>
          <w:rtl w:val="true"/>
          <w:lang w:bidi="fa-IR"/>
        </w:rPr>
        <w:t>دلیل دیگر، روایتی است که در باب المکر و الخیانة کتاب جعفریّات</w:t>
      </w:r>
      <w:r>
        <w:rPr>
          <w:rStyle w:val="FootnoteAnchor"/>
          <w:rtl w:val="true"/>
        </w:rPr>
        <w:footnoteReference w:id="215"/>
      </w:r>
      <w:r>
        <w:rPr>
          <w:rFonts w:ascii="IRNazanin" w:hAnsi="IRNazanin" w:eastAsia="IRNazanin"/>
          <w:color w:val="111111"/>
          <w:sz w:val="28"/>
          <w:sz w:val="28"/>
          <w:szCs w:val="28"/>
          <w:rtl w:val="true"/>
          <w:lang w:bidi="fa-IR"/>
        </w:rPr>
        <w:t>از امیرالمؤمنین علیه السلام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بِإِسْنَادِهِ عَنْ جَعْفَرِ بْنِ مُحَمَّدٍ عَنْ أَبِیهِ عَنْ جَدِّهِ عَلِیِّ بْنِ الْحُسَیْنِ عَنْ أَبِیهِ عَنْ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بَائِعُ الْخَبِیثَاتِ وَمُشْتَرِیهَا فِی الإِثمِ سواء؛</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فروشنده و خریدار خبیثات، در گناه مساوی‌اند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اثبات مدّعا به وسیلۀ این روایت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این روایت، فروشنده و خریدار شیء خبیث، در گناه و اثم برابر شمرده شده‌اند، گناهکار بودن آن</w:t>
      </w:r>
      <w:bookmarkStart w:id="313" w:name="pg13785_134996"/>
    </w:p>
    <w:p>
      <w:pPr>
        <w:pStyle w:val="BookText"/>
        <w:rPr/>
      </w:pPr>
      <w:bookmarkEnd w:id="313"/>
      <w:r>
        <w:rPr>
          <w:rFonts w:ascii="IRNazanin" w:hAnsi="IRNazanin" w:eastAsia="IRNazanin"/>
          <w:color w:val="111111"/>
          <w:sz w:val="28"/>
          <w:sz w:val="28"/>
          <w:szCs w:val="28"/>
          <w:rtl w:val="true"/>
          <w:lang w:bidi="fa-IR"/>
        </w:rPr>
        <w:t>دو مفروغ ٌعنه است و استحقاق عقاب در موارد حرمت تکلیفی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با توجّه به این‌که بارزترین مصداق خبیث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می‌توان نتیجه گرفت که معاوضۀ عین نجس،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انصاف این است که روایت جعفریّات، قابلیت اثبات مدّعا را ندارد و امام علیه السلام در مقام بیان حکم دیگری بوده‌اند؛ زیرا مقصود امام علیه السلام در این روایت، بیان این مطلب است که وقتی مشتری خمر با خرید و استعمال آن مرتکب گناه می‌شود، فروشنده نیز با او در این گناه شریک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روایت شامل این فرض که مشتری پیش از استفاده از خمر از دنیا برود، یا ظرف خمر شکسته و خمر تلف شود، نمی‌گردد؛ چراکه در این صورت، مشتری اصلاً مرتکب گناهی نشده است که بگوییم بایع در این گناه با مشتری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ظهور روایت در بیان تساوی فروشنده و خریدار خبیثات، در گناهی است که خریدار با استعمال آن خبیث، مرتکب می‌شود و نمی‌توان با استفاده از این دلیل، مدّعای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معاوضۀ عین نجاست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ثابت نمود</w:t>
      </w:r>
      <w:r>
        <w:rPr>
          <w:rFonts w:eastAsia="IRNazanin" w:cs="IRNazanin"/>
          <w:color w:val="111111"/>
          <w:sz w:val="28"/>
          <w:szCs w:val="28"/>
          <w:rtl w:val="true"/>
          <w:lang w:bidi="fa-IR"/>
        </w:rPr>
        <w:t>.</w:t>
      </w:r>
    </w:p>
    <w:p>
      <w:pPr>
        <w:pStyle w:val="Heading6"/>
        <w:numPr>
          <w:ilvl w:val="5"/>
          <w:numId w:val="1"/>
        </w:numPr>
        <w:rPr/>
      </w:pPr>
      <w:bookmarkStart w:id="314" w:name="__RefHeading___Toc2530931_1468164448"/>
      <w:bookmarkStart w:id="315" w:name="_Toc121"/>
      <w:bookmarkEnd w:id="314"/>
      <w:r>
        <w:rPr>
          <w:rtl w:val="true"/>
        </w:rPr>
        <w:t>ه</w:t>
      </w:r>
      <w:r>
        <w:rPr>
          <w:rtl w:val="true"/>
        </w:rPr>
        <w:t xml:space="preserve">) </w:t>
      </w:r>
      <w:r>
        <w:rPr>
          <w:rtl w:val="true"/>
        </w:rPr>
        <w:t xml:space="preserve">آیۀ </w:t>
      </w:r>
      <w:r>
        <w:rPr/>
        <w:t>90</w:t>
      </w:r>
      <w:r>
        <w:rPr>
          <w:rtl w:val="true"/>
        </w:rPr>
        <w:t xml:space="preserve"> </w:t>
      </w:r>
      <w:r>
        <w:rPr>
          <w:rtl w:val="true"/>
        </w:rPr>
        <w:t>سورۀ مائده</w:t>
      </w:r>
      <w:bookmarkEnd w:id="3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پنجم، آیۀ شریفه‌ای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إِنَّمَا الْخَمْرُ وَ الْمَیْسِرُ وَ الْأَنْصابُ وَ الْأَزْلامُ رِجْسٌ مِنْ عَمَلِ الشَّیْطانِ فَاجْتَنِبُوهُ لَعَلَّکُمْ تُفْلِحُونَ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کسانی که ایمان آورده‌اید شراب، قمار، بت‌ها و ازلام،</w:t>
      </w:r>
      <w:r>
        <w:rPr>
          <w:rStyle w:val="FootnoteAnchor"/>
          <w:rtl w:val="true"/>
        </w:rPr>
        <w:footnoteReference w:id="217"/>
      </w:r>
      <w:r>
        <w:rPr>
          <w:rFonts w:ascii="IRNazanin" w:hAnsi="IRNazanin" w:eastAsia="IRNazanin"/>
          <w:color w:val="111111"/>
          <w:sz w:val="28"/>
          <w:sz w:val="28"/>
          <w:szCs w:val="28"/>
          <w:rtl w:val="true"/>
          <w:lang w:bidi="fa-IR"/>
        </w:rPr>
        <w:t>پلید بوده و از کارهای شیطانند، از آنها دوری کنید تا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این آیۀ شریفه متوقّف بر مقدّماتی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خمر، میسر، انصاب و ازلام، رجس دانسته شده و</w:t>
      </w:r>
    </w:p>
    <w:p>
      <w:pPr>
        <w:pStyle w:val="BookText"/>
        <w:rPr/>
      </w:pPr>
      <w:r>
        <w:rPr>
          <w:rFonts w:ascii="IRNazanin" w:hAnsi="IRNazanin" w:eastAsia="IRNazanin"/>
          <w:color w:val="111111"/>
          <w:sz w:val="28"/>
          <w:sz w:val="28"/>
          <w:szCs w:val="28"/>
          <w:rtl w:val="true"/>
          <w:lang w:bidi="fa-IR"/>
        </w:rPr>
        <w:t xml:space="preserve">سپس حکم به اجتناب از رجس می‌شود؛ زیرا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استفاده می‌شود که وجوب اجتناب، منحصر در مصادیق مذکور در آیه نیست و باید از همۀ مصادیق رجس اجتناب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نجس از مصادیق رجس به شمار می‌رود و اجتناب از هر نجسی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اجتناب، مطلق است و شامل هر گونه تصرّف، از جمله خرید و فروش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از آن‌جا که نجاست از مصادیق رجس است و آیۀ شریفه، حکم به وجوب اجتناب از رجس کرده است و با توجّه به اطلاق این حکم، می‌توان دریافت که معاوضۀ نجاست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مناقشۀ امام خمینی بر استدلال به آیۀ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قدس سره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استدلال به این آیۀ شریفه را صحیح نمی‌داند و اشکالاتی را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اجتناب در آیۀ شریفه، مرکّبی است که یک جزء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جزء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بدین معنا که در این آیه، حکم به وجوب اجتناب از رجس مطلق نشده است؛ بلکه رجسی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موضوع حکم است؛ یعنی آیه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الإجتناب عن الرجس بما هو 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رجسٌ من عمل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شک داریم که آیا این حکم، شامل خرید و فروش نجاست نیز می‌شود یا خیر؛ زیرا رجس بودن نجاست، معلوم است، ولی وجود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مشکوک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اشکال امام خمینی قدس سره نیاز به تأمّل و بررسی بیشتری دارد؛ زیرا دو احتمال در مورد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وجود دارد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دوم باشد؛ یعنی رجس، خبر اوّل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 دوم است</w:t>
      </w:r>
      <w:r>
        <w:rPr>
          <w:rFonts w:eastAsia="IRNazanin" w:cs="IRNazanin"/>
          <w:color w:val="111111"/>
          <w:sz w:val="28"/>
          <w:szCs w:val="28"/>
          <w:rtl w:val="true"/>
          <w:lang w:bidi="fa-IR"/>
        </w:rPr>
        <w:t>.</w:t>
      </w:r>
      <w:bookmarkStart w:id="316" w:name="pg13785_134998"/>
    </w:p>
    <w:p>
      <w:pPr>
        <w:pStyle w:val="BookText"/>
        <w:rPr/>
      </w:pPr>
      <w:bookmarkEnd w:id="316"/>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یک خبر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قید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دو احتمال در آیه، اشکال امام خمینی قدس سره در صورتی صحیح است که احتمال دوم پذیرفته شود؛ لیکن بنا بر احتمال اوّل، اشکال ناتمام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خارجی مذکور در آیه، مانند خمر و آلات قمار را نمی‌توان رجس و عمل شیطان دانست؛ بلکه باید تقدیری معیّن و مشخّص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خمر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آلات قمار در تقدیر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وجود این تقدیر معیّن، دیگر نوبت به خرید و فروش نمی‌رسد و از این رو، استدلال به آیه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رجس به معنای نجس مصطلح نیست؛ زیرا اگر 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بزند، موجب نجاست دست او نمی‌شود، در حالی که مدّعای ما حرمت معاملۀ نجس مصطلح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نیز اشکال اساسی استدلال به آیه، اشکال سومی است که امام خمینی قدس سره به آن اشاره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بیان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نجس مصطلح نیست و به خاطر همین نمی‌توان به کمک این آیۀ شریفه، حرمت بیع عین نجس را ثابت نمود</w:t>
      </w:r>
      <w:r>
        <w:rPr>
          <w:rFonts w:eastAsia="IRNazanin" w:cs="IRNazanin"/>
          <w:color w:val="111111"/>
          <w:sz w:val="28"/>
          <w:szCs w:val="28"/>
          <w:rtl w:val="true"/>
          <w:lang w:bidi="fa-IR"/>
        </w:rPr>
        <w:t>.</w:t>
      </w:r>
    </w:p>
    <w:p>
      <w:pPr>
        <w:pStyle w:val="Heading6"/>
        <w:numPr>
          <w:ilvl w:val="5"/>
          <w:numId w:val="1"/>
        </w:numPr>
        <w:rPr/>
      </w:pPr>
      <w:bookmarkStart w:id="317" w:name="__RefHeading___Toc2530933_1468164448"/>
      <w:bookmarkStart w:id="318" w:name="_Toc122"/>
      <w:bookmarkEnd w:id="317"/>
      <w:r>
        <w:rPr>
          <w:rtl w:val="true"/>
        </w:rPr>
        <w:t>و</w:t>
      </w:r>
      <w:r>
        <w:rPr>
          <w:rtl w:val="true"/>
        </w:rPr>
        <w:t xml:space="preserve">) </w:t>
      </w:r>
      <w:r>
        <w:rPr>
          <w:rtl w:val="true"/>
        </w:rPr>
        <w:t>آیۀ پنجم سورۀ مدّثر</w:t>
      </w:r>
      <w:bookmarkEnd w:id="318"/>
    </w:p>
    <w:p>
      <w:pPr>
        <w:pStyle w:val="BookText"/>
        <w:rPr/>
      </w:pPr>
      <w:r>
        <w:rPr>
          <w:rFonts w:ascii="IRNazanin" w:hAnsi="IRNazanin" w:eastAsia="IRNazanin"/>
          <w:color w:val="111111"/>
          <w:sz w:val="28"/>
          <w:sz w:val="28"/>
          <w:szCs w:val="28"/>
          <w:rtl w:val="true"/>
          <w:lang w:bidi="fa-IR"/>
        </w:rPr>
        <w:t>دلیل ششم، آیۀ شریفۀ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الرُّجْزَ فَاهْجُرْ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مطلق آمده و شامل نجس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مطلق است و شامل هرگونه تصرّف و تقلّب از جمله خرید و فروش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توجّه به اطلاق حکم و موضوع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دلالت بر وجوب اجتناب از خرید و فروش نجاسات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با اشکالاتی مواجه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کتاب‌های تفسیر و با وجود تطبیق معانی مختلف بر</w:t>
      </w:r>
      <w:bookmarkStart w:id="319" w:name="pg13785_134999"/>
    </w:p>
    <w:p>
      <w:pPr>
        <w:pStyle w:val="BookText"/>
        <w:rPr/>
      </w:pPr>
      <w:bookmarkEnd w:id="3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یک از مفسّران، رجز را به نجس معنا نکرده‌اند</w:t>
      </w:r>
      <w:r>
        <w:rPr>
          <w:rFonts w:eastAsia="IRNazanin" w:cs="IRNazanin"/>
          <w:color w:val="111111"/>
          <w:sz w:val="28"/>
          <w:szCs w:val="28"/>
          <w:rtl w:val="true"/>
          <w:lang w:bidi="fa-IR"/>
        </w:rPr>
        <w:t>.</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قرائت‌های گوناگون معانی متفاوتی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کسر زاء خوانده شود به معنای عذاب خداوند است و اگر به فتح خوانده شود به معنای بت و صنم و در صورتی که به ضم خوانده شود، به معنای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طبرسی قدس سره در مجمع البیان، رجز را به اصنام معنا نموده وبر عذاب، معاصی، فعل قبیح، خُلق مذموم و حتّی حبّ دنیا تطبیق کرده است؛ امّا از نجاست به عنوان معنای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نامی نمی‌برد</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 xml:space="preserve">مگر این‌که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رجس است و این دو کلمه، قرابت زیادی به هم دارند و تنها در یک حرف با هم اختلاف دارند و اعراب نیز گاهی سین را به زاء تلفّظ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گاهی مسجد را مزجد تلفّظ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با فرض این‌که نجاست از معانی رجز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آیۀ قبلی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ثِیابَکَ فَطَهِّرْ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مربوط به نماز است و اگر بخواهیم آن را توسعه دهیم مربوط به خوردن و آشامیدن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برخی از مفسّران احتمال داده‌اند این آیه از اختصاصات پیامبر اکرم صلی الله علیه و آله باشد</w:t>
      </w:r>
      <w:r>
        <w:rPr>
          <w:rFonts w:eastAsia="IRNazanin" w:cs="IRNazanin"/>
          <w:color w:val="111111"/>
          <w:sz w:val="28"/>
          <w:szCs w:val="28"/>
          <w:rtl w:val="true"/>
          <w:lang w:bidi="fa-IR"/>
        </w:rPr>
        <w:t>.</w:t>
      </w:r>
      <w:r>
        <w:rPr>
          <w:rStyle w:val="FootnoteAnchor"/>
          <w:rtl w:val="true"/>
        </w:rPr>
        <w:footnoteReference w:id="220"/>
      </w:r>
    </w:p>
    <w:p>
      <w:pPr>
        <w:pStyle w:val="Heading6"/>
        <w:numPr>
          <w:ilvl w:val="5"/>
          <w:numId w:val="1"/>
        </w:numPr>
        <w:rPr/>
      </w:pPr>
      <w:bookmarkStart w:id="320" w:name="__RefHeading___Toc2530935_1468164448"/>
      <w:bookmarkStart w:id="321" w:name="_Toc123"/>
      <w:bookmarkEnd w:id="320"/>
      <w:r>
        <w:rPr>
          <w:rtl w:val="true"/>
        </w:rPr>
        <w:t>ز</w:t>
      </w:r>
      <w:r>
        <w:rPr>
          <w:rtl w:val="true"/>
        </w:rPr>
        <w:t xml:space="preserve">) </w:t>
      </w:r>
      <w:r>
        <w:rPr>
          <w:rtl w:val="true"/>
        </w:rPr>
        <w:t xml:space="preserve">آیۀ </w:t>
      </w:r>
      <w:r>
        <w:rPr/>
        <w:t>157</w:t>
      </w:r>
      <w:r>
        <w:rPr>
          <w:rtl w:val="true"/>
        </w:rPr>
        <w:t xml:space="preserve"> </w:t>
      </w:r>
      <w:r>
        <w:rPr>
          <w:rtl w:val="true"/>
        </w:rPr>
        <w:t>سورۀ اعراف</w:t>
      </w:r>
      <w:bookmarkEnd w:id="321"/>
    </w:p>
    <w:p>
      <w:pPr>
        <w:pStyle w:val="BookText"/>
        <w:rPr/>
      </w:pPr>
      <w:r>
        <w:rPr>
          <w:rFonts w:ascii="IRNazanin" w:hAnsi="IRNazanin" w:eastAsia="IRNazanin"/>
          <w:color w:val="111111"/>
          <w:sz w:val="28"/>
          <w:sz w:val="28"/>
          <w:szCs w:val="28"/>
          <w:rtl w:val="true"/>
          <w:lang w:bidi="fa-IR"/>
        </w:rPr>
        <w:t>با توجّه به آیۀ شریفۀ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عَلَیْهِمُ الْخَبائِثَ</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خداوند امور خبیث را تحریم نموده و نجاست از بارزترین مصادیق آن است، معاوضۀ نجاست حرام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استدلال یاد شده، این است که تحریم در این آیۀ شریفه شامل همۀ تصرّفات نمی‌شود؛ بلکه شامل انتفاعات معمول و 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ظهور آیه در تحریم انتفاعات رایج خبائث، مثل خوردن، آشامیدن و یا پوشیدن است و شامل خرید و فروش نمی‌شود و چنین نیست که مجرّد ایقاع معامله بر خبائث حرام</w:t>
      </w:r>
      <w:bookmarkStart w:id="322" w:name="pg13785_135000"/>
    </w:p>
    <w:p>
      <w:pPr>
        <w:pStyle w:val="BookText"/>
        <w:rPr/>
      </w:pPr>
      <w:bookmarkEnd w:id="322"/>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نمی‌توان از آیه استفاده نمود که مطلق تصرّفات در خبائث حرام است</w:t>
      </w:r>
      <w:r>
        <w:rPr>
          <w:rFonts w:eastAsia="IRNazanin" w:cs="IRNazanin"/>
          <w:color w:val="111111"/>
          <w:sz w:val="28"/>
          <w:szCs w:val="28"/>
          <w:rtl w:val="true"/>
          <w:lang w:bidi="fa-IR"/>
        </w:rPr>
        <w:t>.</w:t>
      </w:r>
    </w:p>
    <w:p>
      <w:pPr>
        <w:pStyle w:val="Heading6"/>
        <w:numPr>
          <w:ilvl w:val="5"/>
          <w:numId w:val="1"/>
        </w:numPr>
        <w:rPr/>
      </w:pPr>
      <w:bookmarkStart w:id="323" w:name="__RefHeading___Toc2530937_1468164448"/>
      <w:bookmarkStart w:id="324" w:name="_Toc124"/>
      <w:bookmarkEnd w:id="323"/>
      <w:r>
        <w:rPr>
          <w:rtl w:val="true"/>
        </w:rPr>
        <w:t>ح</w:t>
      </w:r>
      <w:r>
        <w:rPr>
          <w:rtl w:val="true"/>
        </w:rPr>
        <w:t xml:space="preserve">) </w:t>
      </w:r>
      <w:r>
        <w:rPr>
          <w:rtl w:val="true"/>
        </w:rPr>
        <w:t>حرمت خوردن و آشامیدن نجاست</w:t>
      </w:r>
      <w:bookmarkEnd w:id="324"/>
    </w:p>
    <w:p>
      <w:pPr>
        <w:pStyle w:val="BookText"/>
        <w:rPr/>
      </w:pPr>
      <w:r>
        <w:rPr>
          <w:rFonts w:ascii="IRNazanin" w:hAnsi="IRNazanin" w:eastAsia="IRNazanin"/>
          <w:color w:val="111111"/>
          <w:sz w:val="28"/>
          <w:sz w:val="28"/>
          <w:szCs w:val="28"/>
          <w:rtl w:val="true"/>
          <w:lang w:bidi="fa-IR"/>
        </w:rPr>
        <w:t>شیخ انصاری قدس سره خرید و فروش بول حیوان حرام گوشت را جایز نمی‌داند و برای حرمت معاملۀ آن، سه دلیل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خوردن و آشامیدن بول حیوان حرام گوشت، نجاست آن و عدم انتفاع از آن؛</w:t>
      </w:r>
      <w:r>
        <w:rPr>
          <w:rStyle w:val="FootnoteAnchor"/>
          <w:rtl w:val="true"/>
        </w:rPr>
        <w:footnoteReference w:id="221"/>
      </w:r>
      <w:r>
        <w:rPr>
          <w:rFonts w:ascii="IRNazanin" w:hAnsi="IRNazanin" w:eastAsia="IRNazanin"/>
          <w:color w:val="111111"/>
          <w:sz w:val="28"/>
          <w:sz w:val="28"/>
          <w:szCs w:val="28"/>
          <w:rtl w:val="true"/>
          <w:lang w:bidi="fa-IR"/>
        </w:rPr>
        <w:t>یعنی وی برای اثبات حرمت معاملۀ بول به حرمت خوردن و آشامیدن آن استناد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این است که آیا حرمت معاملۀ شیء نجس به‌واسطۀ حرمت خوردن و آشامیدن آن ثابت می‌شود؟ برای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قاعده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حرّم أکله أو شربه فبیعه و شرائه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ثابت نیست و چنین کبرایی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نمی‌توان حرمت خوردن و آشامیدن را دلیل بر مدّعای خود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در برخی موارد می‌توان شیء نجس را با وجود حرمت أکل و شرب، در کارهای دیگر مصرف کرده و در همین جهت، آن را مورد خرید و فروش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با وجود حرمت اکل عذره، می‌توان آن را به عنوان کود استفاده نمود و یا خرید و فروش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دلیل نیز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نجاست را نیز نمی‌توان علّت حرمت معاملۀ شیء نجس دانست؛ زیرا این کار مصادره به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وقتی می‌گوییم علّت حرمت معاملۀ شیء نجس، نجاست آن است، دلیل ما عین مدّعا خواهد بود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عدم قابلیت انتفاع و در نتیجه، خارج شدن از مالیّت نیز تنها ثابت‌کنندۀ بطلان بیع است و نمی‌تواند حرمت تکلیفی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بطلان بیع نیز فقط در صورتی است که مالیّت را در صحّت بیع معتبر بدانیم، وگرنه حکم وضعی نیز به انتفاع و عدم آن بستگی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باید بحث شود که آیا مالیّت</w:t>
      </w:r>
      <w:bookmarkStart w:id="325" w:name="pg13785_135001"/>
    </w:p>
    <w:p>
      <w:pPr>
        <w:pStyle w:val="BookText"/>
        <w:rPr/>
      </w:pPr>
      <w:bookmarkEnd w:id="325"/>
      <w:r>
        <w:rPr>
          <w:rFonts w:ascii="IRNazanin" w:hAnsi="IRNazanin" w:eastAsia="IRNazanin"/>
          <w:color w:val="111111"/>
          <w:sz w:val="28"/>
          <w:sz w:val="28"/>
          <w:szCs w:val="28"/>
          <w:rtl w:val="true"/>
          <w:lang w:bidi="fa-IR"/>
        </w:rPr>
        <w:t>ثمن و مثمن در صحّت بیع مؤثّر است یا خیر، و اگر تأثیرگذار است، مالیّت نزد عقلا شرط است یا مالیّت نزد متعاملین کافی است؟ برای مثال، ممکن است چیزی بین دو نفر ارزش زیادی داشته باشد، لیکن همان شیء نزد دیگران بی‌ارزش و فاقد مالیّت شمرده شود، مثل تکّه کاغذی که نزد عقلا هیچ ارزشی ندارد، امّا شخصی حاضر باشد بابت آن قیمتی گزاف را بپردازد؛ چراکه همان کاغذ که در نگاه دیگران ارزش مالی ندارد، تنها یادگاری پدر آن شخص است و برای او ارزش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گونه دانسته شد که از میان هشت دلیل یاد شده، تنها دلیلی که ظهوری روشن بر حرمت تکلیفی معاوضۀ اعیان نجس دارد، روایت تحف العقول است و ادلّۀ دیگر مخدوش و غیر قابل قبول‌اند</w:t>
      </w:r>
      <w:r>
        <w:rPr>
          <w:rFonts w:eastAsia="IRNazanin" w:cs="IRNazanin"/>
          <w:color w:val="111111"/>
          <w:sz w:val="28"/>
          <w:szCs w:val="28"/>
          <w:rtl w:val="true"/>
          <w:lang w:bidi="fa-IR"/>
        </w:rPr>
        <w:t>.</w:t>
      </w:r>
    </w:p>
    <w:p>
      <w:pPr>
        <w:pStyle w:val="Heading5"/>
        <w:numPr>
          <w:ilvl w:val="4"/>
          <w:numId w:val="1"/>
        </w:numPr>
        <w:rPr/>
      </w:pPr>
      <w:bookmarkStart w:id="326" w:name="__RefHeading___Toc2530939_1468164448"/>
      <w:bookmarkStart w:id="327" w:name="_Toc125"/>
      <w:bookmarkEnd w:id="326"/>
      <w:r>
        <w:rPr>
          <w:rtl w:val="true"/>
        </w:rPr>
        <w:t>بند دوم</w:t>
      </w:r>
      <w:r>
        <w:rPr>
          <w:rtl w:val="true"/>
        </w:rPr>
        <w:t xml:space="preserve">: </w:t>
      </w:r>
      <w:r>
        <w:rPr>
          <w:rtl w:val="true"/>
        </w:rPr>
        <w:t>بررسی اجماع</w:t>
      </w:r>
      <w:bookmarkEnd w:id="327"/>
    </w:p>
    <w:p>
      <w:pPr>
        <w:pStyle w:val="BookText"/>
        <w:rPr/>
      </w:pPr>
      <w:r>
        <w:rPr>
          <w:rFonts w:ascii="IRNazanin" w:hAnsi="IRNazanin" w:eastAsia="IRNazanin"/>
          <w:color w:val="111111"/>
          <w:sz w:val="28"/>
          <w:sz w:val="28"/>
          <w:szCs w:val="28"/>
          <w:rtl w:val="true"/>
          <w:lang w:bidi="fa-IR"/>
        </w:rPr>
        <w:t xml:space="preserve">پیش از جمع‌بندی و نتیجه‌گیری نهایی، باید ببینیم که آیا با قطع نظر از ادلّۀ لفظی، آیا اجماعی در این مسئله وجود دارد یا خیر؟ از این رو با توجّه به این‌که ادلّۀ لفظی جز روایت تحف العقول مخدوش بودند، لازم است که کلمات 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قدما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شود تا اگر اجماعی بر حرمت تکلیفی وجود دارد، ما نیز از آن پیروی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فقها ادّعای اجماع کرده‌اند و علاوه بر آن در کلمات قدمای از اصحاب نیز ادّعای شهرت شده است؛ ولی نکته‌ای که باید مورد تأمّل و بررسی قرار گیرد، این است که در برخی از عبارت‌ها تنها حکم تکلیفی، در برخی حکم وضعی و در برخی دیگر، هم حکم تکلیفی و هم حکم وضعی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ببینیم از کلمات فقها کدام حکم، قابل اثبات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قدس سره در کتاب المقنعة می‌نویسد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وبیع المیتة والدم ولحم الخنزیر وما أهلّ به لغیر اللّه وکلّ محرّم من الأشیاء ونجس من الأعیان حرام وأکل ثمنه حرام؛</w:t>
      </w:r>
      <w:r>
        <w:rPr>
          <w:rStyle w:val="FootnoteAnchor"/>
          <w:rtl w:val="true"/>
        </w:rPr>
        <w:footnoteReference w:id="222"/>
      </w:r>
      <w:r>
        <w:rPr>
          <w:rFonts w:ascii="IRNazanin" w:hAnsi="IRNazanin" w:eastAsia="IRNazanin"/>
          <w:color w:val="111111"/>
          <w:sz w:val="28"/>
          <w:sz w:val="28"/>
          <w:szCs w:val="28"/>
          <w:rtl w:val="true"/>
          <w:lang w:bidi="fa-IR"/>
        </w:rPr>
        <w:t>معامله و درآمد حاصل از معاملۀ مردار،</w:t>
      </w:r>
    </w:p>
    <w:p>
      <w:pPr>
        <w:pStyle w:val="BookText"/>
        <w:rPr/>
      </w:pPr>
      <w:r>
        <w:rPr>
          <w:rFonts w:ascii="IRNazanin" w:hAnsi="IRNazanin" w:eastAsia="IRNazanin"/>
          <w:color w:val="111111"/>
          <w:sz w:val="28"/>
          <w:sz w:val="28"/>
          <w:szCs w:val="28"/>
          <w:rtl w:val="true"/>
          <w:lang w:bidi="fa-IR"/>
        </w:rPr>
        <w:t>خون، گوشت خوک، آنچه اسم خدا بر آن برده نشده، آنچه عنوان حرام دارد و همۀ اعیان نجس، حرام‌اند و نمی‌توان در پول به دست آمده از آنها، تصرّف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ثمنه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نمی‌توان کلام شیخ مفید قدس سره را بر حرمت وضعی حمل نمود؛ بلکه نظر ایشان حرمت تکلیفیِ معاملۀ اعیان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قدس سره در کتاب الانتصار اظهار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انفردت به الإمامیّة القول بتحریم بیع الفقاع وإبتیاعه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 حظر شربه، حظر إبتیاعه وبیعه والتفرقة بین الأمرین خروج عن إجماع الأمّة؛</w:t>
      </w:r>
      <w:r>
        <w:rPr>
          <w:rStyle w:val="FootnoteAnchor"/>
          <w:rtl w:val="true"/>
        </w:rPr>
        <w:footnoteReference w:id="223"/>
      </w:r>
      <w:r>
        <w:rPr>
          <w:rFonts w:ascii="IRNazanin" w:hAnsi="IRNazanin" w:eastAsia="IRNazanin"/>
          <w:color w:val="111111"/>
          <w:sz w:val="28"/>
          <w:sz w:val="28"/>
          <w:szCs w:val="28"/>
          <w:rtl w:val="true"/>
          <w:lang w:bidi="fa-IR"/>
        </w:rPr>
        <w:t>از جمله مطالبی که تنها در نزد امامیّه به آن حکم شده، حرمت خرید و فروش آب جو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شرب آن ممنوع باشد، خرید و فروش آن نیز ممنوع خواهد بود و اگر کسی قائل به این ملازمه نشود و بگوید ممکن است شرب چیزی حرام باشد ولی بیع آن ممنوع نباشد، در واقع از اجماع امّت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عبارت سیّد مرتضی قدس سره و همچنین با توجّه به این مطلب که ایشان در کتاب الإنتصار مطالبی را متذکّر شده‌اند که امامیّه در آن متفرّد هستند،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ایشان حرمت تکلیفی است، وگرنه اهل سنّت نیز حکم به حرمت وضعی این گونه خرید و فروش‌ها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سیّد مرتضی قدس سره حرمت تکلیفی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شیخ طوسی</w:t>
      </w:r>
    </w:p>
    <w:p>
      <w:pPr>
        <w:pStyle w:val="BookText"/>
        <w:rPr/>
      </w:pPr>
      <w:r>
        <w:rPr>
          <w:rFonts w:ascii="IRNazanin" w:hAnsi="IRNazanin" w:eastAsia="IRNazanin"/>
          <w:color w:val="111111"/>
          <w:sz w:val="28"/>
          <w:sz w:val="28"/>
          <w:szCs w:val="28"/>
          <w:rtl w:val="true"/>
          <w:lang w:bidi="fa-IR"/>
        </w:rPr>
        <w:t>شیخ طوسی قدس سره در کتاب النهایة به عنوان یک ضابطۀ کلّی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جمیع النجاسات محرّمٌ التصرّف فیها والتکسّب بها؛</w:t>
      </w:r>
      <w:r>
        <w:rPr>
          <w:rStyle w:val="FootnoteAnchor"/>
          <w:rtl w:val="true"/>
        </w:rPr>
        <w:footnoteReference w:id="224"/>
      </w:r>
      <w:r>
        <w:rPr>
          <w:rFonts w:ascii="IRNazanin" w:hAnsi="IRNazanin" w:eastAsia="IRNazanin"/>
          <w:color w:val="111111"/>
          <w:sz w:val="28"/>
          <w:sz w:val="28"/>
          <w:szCs w:val="28"/>
          <w:rtl w:val="true"/>
          <w:lang w:bidi="fa-IR"/>
        </w:rPr>
        <w:t>تصرّف در همۀ نجاسات و تکسّب به آنها حرام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کتاب المبسوط نیز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نجس العین مثل الکلب والخنزیر والخمر والدم فلا یجوز بیعه وإجارته إجماعاً؛</w:t>
      </w:r>
      <w:r>
        <w:rPr>
          <w:rStyle w:val="FootnoteAnchor"/>
          <w:rtl w:val="true"/>
        </w:rPr>
        <w:footnoteReference w:id="225"/>
      </w:r>
      <w:r>
        <w:rPr>
          <w:rFonts w:ascii="IRNazanin" w:hAnsi="IRNazanin" w:eastAsia="IRNazanin"/>
          <w:color w:val="111111"/>
          <w:sz w:val="28"/>
          <w:sz w:val="28"/>
          <w:szCs w:val="28"/>
          <w:rtl w:val="true"/>
          <w:lang w:bidi="fa-IR"/>
        </w:rPr>
        <w:t>بیع و اجاره عین نجاست مثل سگ، خوک، شراب و خون به دلیل وجود اجماع،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شیخ طوسی قدس سره، حرمت تکلیفی است و برخی نیز پنداشته‌اند مراد ایشان حرمت وضعی است؛ امّا باید دانست که نظیر این عبارت در کتاب الخلاف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روشن شدن مطلب و تشخیص مراد ایشان، عبارت کتاب الخلاف را نیز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کتاب الخلاف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وجود دارد مبنی بر این‌که بیع شیء نجس جایز نیست و در ادامه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یجوز بیع العبد الآبق؛</w:t>
      </w:r>
      <w:r>
        <w:rPr>
          <w:rStyle w:val="FootnoteAnchor"/>
          <w:rtl w:val="true"/>
        </w:rPr>
        <w:footnoteReference w:id="226"/>
      </w:r>
      <w:r>
        <w:rPr>
          <w:rFonts w:ascii="IRNazanin" w:hAnsi="IRNazanin" w:eastAsia="IRNazanin"/>
          <w:color w:val="111111"/>
          <w:sz w:val="28"/>
          <w:sz w:val="28"/>
          <w:szCs w:val="28"/>
          <w:rtl w:val="true"/>
          <w:lang w:bidi="fa-IR"/>
        </w:rPr>
        <w:t>بیع عبد فراری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لایجوز بیع الصوف علی ظهور الغنم منفرداً؛</w:t>
      </w:r>
      <w:r>
        <w:rPr>
          <w:rStyle w:val="FootnoteAnchor"/>
          <w:rtl w:val="true"/>
        </w:rPr>
        <w:footnoteReference w:id="227"/>
      </w:r>
      <w:r>
        <w:rPr>
          <w:rFonts w:ascii="IRNazanin" w:hAnsi="IRNazanin" w:eastAsia="IRNazanin"/>
          <w:color w:val="111111"/>
          <w:sz w:val="28"/>
          <w:sz w:val="28"/>
          <w:szCs w:val="28"/>
          <w:rtl w:val="true"/>
          <w:lang w:bidi="fa-IR"/>
        </w:rPr>
        <w:t>بیع پشم گوسفند بر روی بدن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عبارت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شیخ طوسی قدس سره حرمت وضعی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 کنار هم قرار دادن اظهارات شیخ طوسی قدس سره در دو کتاب المبسوط و الخلاف، نمی‌توان حرمت تکلیفی را در سخن ایشان ثابت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ابن زهره و علاّمۀ حلّی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زهره در غنیة النزوع</w:t>
      </w:r>
      <w:r>
        <w:rPr>
          <w:rStyle w:val="FootnoteAnchor"/>
          <w:rtl w:val="true"/>
        </w:rPr>
        <w:footnoteReference w:id="228"/>
      </w:r>
      <w:r>
        <w:rPr>
          <w:rFonts w:ascii="IRNazanin" w:hAnsi="IRNazanin" w:eastAsia="IRNazanin"/>
          <w:color w:val="111111"/>
          <w:sz w:val="28"/>
          <w:sz w:val="28"/>
          <w:szCs w:val="28"/>
          <w:rtl w:val="true"/>
          <w:lang w:bidi="fa-IR"/>
        </w:rPr>
        <w:t xml:space="preserve">و علاّمۀ حلّی قدس سرهما در تذکرة الفقهاء، از طهارت به عنوان یکی از شرایط عوضین در معامله نام برده‌اند؛ امّا با توجّه به عبارات این بزرگان می‌توان دریافت که ایشان مورد اجماع را عدم 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حکم وضعی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w:t>
      </w:r>
    </w:p>
    <w:p>
      <w:pPr>
        <w:pStyle w:val="BookText"/>
        <w:rPr/>
      </w:pPr>
      <w:r>
        <w:rPr>
          <w:rFonts w:ascii="IRNazanin" w:hAnsi="IRNazanin" w:eastAsia="IRNazanin"/>
          <w:color w:val="111111"/>
          <w:sz w:val="28"/>
          <w:sz w:val="28"/>
          <w:szCs w:val="28"/>
          <w:rtl w:val="true"/>
          <w:lang w:bidi="fa-IR"/>
        </w:rPr>
        <w:t>حلّی قدس سره اظهار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یشترط فی المعقود علیه الطهارة الأصیلة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باع نجس العین کالخمر والمیتة والخنزیر لم یصّح اجماعاً؛</w:t>
      </w:r>
      <w:r>
        <w:rPr>
          <w:rStyle w:val="FootnoteAnchor"/>
          <w:rtl w:val="true"/>
        </w:rPr>
        <w:footnoteReference w:id="229"/>
      </w:r>
      <w:r>
        <w:rPr>
          <w:rFonts w:ascii="IRNazanin" w:hAnsi="IRNazanin" w:eastAsia="IRNazanin"/>
          <w:color w:val="111111"/>
          <w:sz w:val="28"/>
          <w:sz w:val="28"/>
          <w:szCs w:val="28"/>
          <w:rtl w:val="true"/>
          <w:lang w:bidi="fa-IR"/>
        </w:rPr>
        <w:t>در معقود علیه شرط است که اصالتاً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شخصی عین نجسی مانند خمر و مردار و خوک را بفروشد، اجماعاً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یصّح اجماعاً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نظر ایشان مبنی بر بطلان و عدم صحّت بیع عین نجاست است، نه حرمت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سخن ایشان در کتاب منتهی المطلب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أجمع العلماء کافّةً علی تحریم بیع المیتة و الخمر و الخنزیر بالنصّ والإجماع</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ظهور در حرمت تکلیفی دارد؛ امّا این عبارت نیز ضابطه‌ای کلّی در مورد تمام اعیان نجس ارائه نمی‌دهد؛ بلکه اجماع، تنها حرمت معاملۀ مردار، خمر و خوک را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شیخ سلّار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 المسکرات من الأشربة والفقّاع والأدویة المزوّجة بالخمر والتصرّف فی المیتة ولحم الخنزیر وشحمه، والدم والعذرة والأبوال، ببیع وغیره حرام</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به نظر ایشان معاملۀ مردار، گوشت خوک، خون، عذره و بول که از جملۀ تصرّفات ممکن در آن است، حرام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ایشان ظهور در حرمت تکلیفی دارد و از این رو، معلوم می‌شود که از نگاه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قدمای فقها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اعیان نجس حرمت تکلیفی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محقّق حلّی</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حلّی قدس سره در کتاب شرایع، موارد حرمت اکتساب را ذکر می‌کند و بیع اعیان</w:t>
      </w:r>
    </w:p>
    <w:p>
      <w:pPr>
        <w:pStyle w:val="BookText"/>
        <w:rPr/>
      </w:pPr>
      <w:r>
        <w:rPr>
          <w:rFonts w:ascii="IRNazanin" w:hAnsi="IRNazanin" w:eastAsia="IRNazanin"/>
          <w:color w:val="111111"/>
          <w:sz w:val="28"/>
          <w:sz w:val="28"/>
          <w:szCs w:val="28"/>
          <w:rtl w:val="true"/>
          <w:lang w:bidi="fa-IR"/>
        </w:rPr>
        <w:t>نجس را به عنوان یکی از این موارد نام می‌برد؛ امّا عبارت ایشان ظهور روشنی در حرمت تکلیفی ندارد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صاحب جواهر</w:t>
      </w:r>
    </w:p>
    <w:p>
      <w:pPr>
        <w:pStyle w:val="BookText"/>
        <w:rPr/>
      </w:pPr>
      <w:r>
        <w:rPr>
          <w:rFonts w:ascii="IRNazanin" w:hAnsi="IRNazanin" w:eastAsia="IRNazanin"/>
          <w:color w:val="111111"/>
          <w:sz w:val="28"/>
          <w:sz w:val="28"/>
          <w:szCs w:val="28"/>
          <w:rtl w:val="true"/>
          <w:lang w:bidi="fa-IR"/>
        </w:rPr>
        <w:t>محقّق نجفی قدس سره در جواهر الکلام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خلاف یعتدّ به فی حرمة التکسّب فی الأعیان النجسة؛</w:t>
      </w:r>
      <w:r>
        <w:rPr>
          <w:rStyle w:val="FootnoteAnchor"/>
          <w:rtl w:val="true"/>
        </w:rPr>
        <w:footnoteReference w:id="233"/>
      </w:r>
      <w:r>
        <w:rPr>
          <w:rFonts w:ascii="IRNazanin" w:hAnsi="IRNazanin" w:eastAsia="IRNazanin"/>
          <w:color w:val="111111"/>
          <w:sz w:val="28"/>
          <w:sz w:val="28"/>
          <w:szCs w:val="28"/>
          <w:rtl w:val="true"/>
          <w:lang w:bidi="fa-IR"/>
        </w:rPr>
        <w:t>در این‌که تکسّب به اعیان نجس حرام است، نظر مخالفی که قابل اعتنا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برگزیده</w:t>
      </w:r>
    </w:p>
    <w:p>
      <w:pPr>
        <w:pStyle w:val="BookText"/>
        <w:rPr/>
      </w:pPr>
      <w:r>
        <w:rPr>
          <w:rFonts w:ascii="IRNazanin" w:hAnsi="IRNazanin" w:eastAsia="IRNazanin"/>
          <w:color w:val="111111"/>
          <w:sz w:val="28"/>
          <w:sz w:val="28"/>
          <w:szCs w:val="28"/>
          <w:rtl w:val="true"/>
          <w:lang w:bidi="fa-IR"/>
        </w:rPr>
        <w:t>بر اساس آنچه بیان شد، برخی از فقها همچون شیخ مفید، سیّد مرتضی، شیخ طوسی در النهایة، و علاّمۀ حلّی در منتهی المطلب قدس سرهم، معاملۀ اعیان نجس را به صورت کلّی یا در موارد خاص حرام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قدس سره نیز در این‌که تکسّب به اعیان نجس حرام است، ادّعای عدم خلاف نموده است؛ ولی این وجود نمی‌توان گفت که اجماع مسلّم در این مسئله وجود دارد؛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قدما، شیخ صدوق قدس سره در هیچ یک از کتب خود این قاعدۀ کلّی را بیان نکرده است؛ بلکه تنها در دو باب از کتاب المقنع، بحث حرمت معاملۀ کلب و خنزیر را مطرح نموده است</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 xml:space="preserve">شیخ طوسی قدس سره نیز فقط در کتاب النهایة به این قاعده اشاره کرده است و نمی‌توان از دو کتاب دیگرِ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 و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قاعده‌ای را استنباط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قدمای فقها ملتزم بودند که کتاب‌های فقهی خود را بر اساس آنچه دست به دست از امامان معصوم علیهم السلام دریافت کردند و بدون تغییر و اضافه نمودن فروعات تنظیم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سؤال پیش می‌آید که چرا در کتاب‌های شیخ صدوق و شیخ طوسی قدس سرهما اشاره‌ای به این قاعده نشده است؟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مستند فقهایی که ادّعای اجماع نمودند، ادلّه‌ای باشد که</w:t>
      </w:r>
      <w:bookmarkStart w:id="328" w:name="pg13785_135006"/>
    </w:p>
    <w:p>
      <w:pPr>
        <w:pStyle w:val="BookText"/>
        <w:rPr/>
      </w:pPr>
      <w:bookmarkEnd w:id="328"/>
      <w:r>
        <w:rPr>
          <w:rFonts w:ascii="IRNazanin" w:hAnsi="IRNazanin" w:eastAsia="IRNazanin"/>
          <w:color w:val="111111"/>
          <w:sz w:val="28"/>
          <w:sz w:val="28"/>
          <w:szCs w:val="28"/>
          <w:rtl w:val="true"/>
          <w:lang w:bidi="fa-IR"/>
        </w:rPr>
        <w:t>پیش از این به آنها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اجماع، مدرکی و مستند به دلیل است و اجماع مدرکی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نظر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عبارت‌های فقها چنین برداشت می‌شود که ایشان برای بیان چنین قاعده‌ای الغای خصوصیت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فقیه با مشاهدۀ روایاتی که در آنها خریدار و فروشندۀ خمر یا کلب، لعن شده‌اند و موارد دیگر از این قبیل، الغای خصوصیت کرده و یک قاعدۀ کلّی را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وجود اجماع در این مسئله با توجّه به این سه نکته، بعید به نظر می‌رسد</w:t>
      </w:r>
      <w:r>
        <w:rPr>
          <w:rFonts w:eastAsia="IRNazanin" w:cs="IRNazanin"/>
          <w:color w:val="111111"/>
          <w:sz w:val="28"/>
          <w:szCs w:val="28"/>
          <w:rtl w:val="true"/>
          <w:lang w:bidi="fa-IR"/>
        </w:rPr>
        <w:t>.</w:t>
      </w:r>
    </w:p>
    <w:p>
      <w:pPr>
        <w:pStyle w:val="Heading5"/>
        <w:numPr>
          <w:ilvl w:val="4"/>
          <w:numId w:val="1"/>
        </w:numPr>
        <w:rPr/>
      </w:pPr>
      <w:bookmarkStart w:id="329" w:name="__RefHeading___Toc2530941_1468164448"/>
      <w:bookmarkStart w:id="330" w:name="_Toc126"/>
      <w:bookmarkEnd w:id="329"/>
      <w:r>
        <w:rPr>
          <w:rtl w:val="true"/>
        </w:rPr>
        <w:t>بند سوم</w:t>
      </w:r>
      <w:r>
        <w:rPr>
          <w:rtl w:val="true"/>
        </w:rPr>
        <w:t xml:space="preserve">: </w:t>
      </w:r>
      <w:r>
        <w:rPr>
          <w:rtl w:val="true"/>
        </w:rPr>
        <w:t>بررسی شهرت در مسئله</w:t>
      </w:r>
      <w:bookmarkEnd w:id="330"/>
    </w:p>
    <w:p>
      <w:pPr>
        <w:pStyle w:val="BookText"/>
        <w:rPr/>
      </w:pPr>
      <w:r>
        <w:rPr>
          <w:rFonts w:ascii="IRNazanin" w:hAnsi="IRNazanin" w:eastAsia="IRNazanin"/>
          <w:color w:val="111111"/>
          <w:sz w:val="28"/>
          <w:sz w:val="28"/>
          <w:szCs w:val="28"/>
          <w:rtl w:val="true"/>
          <w:lang w:bidi="fa-IR"/>
        </w:rPr>
        <w:t>با وجود ادّعای برخی مبنی بر وجود شهرت میان قدما در حرمت تکلیفی معاملۀ اعیان نجس،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کتب فقها، تنها شیخ مفید در المقنعة،</w:t>
      </w:r>
      <w:r>
        <w:rPr>
          <w:rStyle w:val="FootnoteAnchor"/>
          <w:rtl w:val="true"/>
        </w:rPr>
        <w:footnoteReference w:id="235"/>
      </w:r>
      <w:r>
        <w:rPr>
          <w:rFonts w:ascii="IRNazanin" w:hAnsi="IRNazanin" w:eastAsia="IRNazanin"/>
          <w:color w:val="111111"/>
          <w:sz w:val="28"/>
          <w:sz w:val="28"/>
          <w:szCs w:val="28"/>
          <w:rtl w:val="true"/>
          <w:lang w:bidi="fa-IR"/>
        </w:rPr>
        <w:t>سلّار در المراسم،</w:t>
      </w:r>
      <w:r>
        <w:rPr>
          <w:rStyle w:val="FootnoteAnchor"/>
          <w:rtl w:val="true"/>
        </w:rPr>
        <w:footnoteReference w:id="236"/>
      </w:r>
      <w:r>
        <w:rPr>
          <w:rFonts w:ascii="IRNazanin" w:hAnsi="IRNazanin" w:eastAsia="IRNazanin"/>
          <w:color w:val="111111"/>
          <w:sz w:val="28"/>
          <w:sz w:val="28"/>
          <w:szCs w:val="28"/>
          <w:rtl w:val="true"/>
          <w:lang w:bidi="fa-IR"/>
        </w:rPr>
        <w:t>شیخ طوسی در النهایة</w:t>
      </w:r>
      <w:r>
        <w:rPr>
          <w:rStyle w:val="FootnoteAnchor"/>
          <w:rtl w:val="true"/>
        </w:rPr>
        <w:footnoteReference w:id="237"/>
      </w:r>
      <w:r>
        <w:rPr>
          <w:rFonts w:ascii="Amiri" w:hAnsi="Amiri" w:eastAsia="Amiri" w:cs="Amiri"/>
          <w:color w:val="111111"/>
          <w:sz w:val="28"/>
          <w:sz w:val="28"/>
          <w:szCs w:val="28"/>
          <w:rtl w:val="true"/>
          <w:lang w:bidi="ar-SA"/>
        </w:rPr>
        <w:t>و سیّد مرتضی</w:t>
      </w:r>
      <w:r>
        <w:rPr>
          <w:rStyle w:val="FootnoteAnchor"/>
          <w:rtl w:val="true"/>
        </w:rPr>
        <w:footnoteReference w:id="238"/>
      </w:r>
      <w:r>
        <w:rPr>
          <w:rFonts w:ascii="IRNazanin" w:hAnsi="IRNazanin" w:eastAsia="IRNazanin"/>
          <w:color w:val="111111"/>
          <w:sz w:val="28"/>
          <w:sz w:val="28"/>
          <w:szCs w:val="28"/>
          <w:rtl w:val="true"/>
          <w:lang w:bidi="fa-IR"/>
        </w:rPr>
        <w:t>در الإنتصار قدس سرهم به صورت صریح معاملۀ اعیان نجس را حرام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شهرتی میان قدما وجود دارد و تحقّق شهرت در بین قدما، به جهت این چهار فتوا نیز مشکوک است</w:t>
      </w:r>
      <w:r>
        <w:rPr>
          <w:rFonts w:eastAsia="IRNazanin" w:cs="IRNazanin"/>
          <w:color w:val="111111"/>
          <w:sz w:val="28"/>
          <w:szCs w:val="28"/>
          <w:rtl w:val="true"/>
          <w:lang w:bidi="fa-IR"/>
        </w:rPr>
        <w:t>.</w:t>
      </w:r>
    </w:p>
    <w:p>
      <w:pPr>
        <w:pStyle w:val="Heading5"/>
        <w:numPr>
          <w:ilvl w:val="4"/>
          <w:numId w:val="1"/>
        </w:numPr>
        <w:rPr/>
      </w:pPr>
      <w:bookmarkStart w:id="331" w:name="__RefHeading___Toc2530943_1468164448"/>
      <w:bookmarkStart w:id="332" w:name="_Toc127"/>
      <w:bookmarkEnd w:id="331"/>
      <w:r>
        <w:rPr>
          <w:rtl w:val="true"/>
        </w:rPr>
        <w:t>بند چهارم</w:t>
      </w:r>
      <w:r>
        <w:rPr>
          <w:rtl w:val="true"/>
        </w:rPr>
        <w:t xml:space="preserve">: </w:t>
      </w:r>
      <w:r>
        <w:rPr>
          <w:rtl w:val="true"/>
        </w:rPr>
        <w:t>نتیجه گیری و دیدگاه برگزیده</w:t>
      </w:r>
      <w:bookmarkEnd w:id="332"/>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بررسی استدلال‌ها مشخّص شد که روایت تحف العقول، تنها دلیل معتبر برای حکم به حرمت تکلیفیِ معاملۀ اعیان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پیش از این بیان شد، این روایت حجّیت داشته و می‌توان به آن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با وجود قرائن متعدّد، دلالت روشنی بر حرمت تکلیفی معاملۀ اعیان نجس دارد؛ لیکن مشکل این‌جاست که بسیاری از فقها از مضمون روایت تحف العقول در این بحث اعراض</w:t>
      </w:r>
    </w:p>
    <w:p>
      <w:pPr>
        <w:pStyle w:val="BookText"/>
        <w:rPr/>
      </w:pPr>
      <w:r>
        <w:rPr>
          <w:rFonts w:ascii="IRNazanin" w:hAnsi="IRNazanin" w:eastAsia="IRNazanin"/>
          <w:color w:val="111111"/>
          <w:sz w:val="28"/>
          <w:sz w:val="28"/>
          <w:szCs w:val="28"/>
          <w:rtl w:val="true"/>
          <w:lang w:bidi="fa-IR"/>
        </w:rPr>
        <w:t>نموده و چنین فتوایی نداده‌اند؛ یعنی نه تنها اجماع و شهرتی وجود ندارد تا با انضمام به روایت تحف العقول دلیلی بر این مدّعا باشند، بلکه می‌توان گفت فقها از مدلول این روایت اعراض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فقها دو مبنا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به روایتی که سند و متن آن صحیح است، می‌توان عمل کرد و مطابق آن فتوا داد، خواه مشهور فقها به این روایت عمل نموده یا عمل نکرده باشند؛</w:t>
      </w:r>
      <w:r>
        <w:rPr>
          <w:rStyle w:val="FootnoteAnchor"/>
          <w:rtl w:val="true"/>
        </w:rPr>
        <w:footnoteReference w:id="239"/>
      </w:r>
      <w:r>
        <w:rPr>
          <w:rFonts w:ascii="IRNazanin" w:hAnsi="IRNazanin" w:eastAsia="IRNazanin"/>
          <w:color w:val="111111"/>
          <w:sz w:val="28"/>
          <w:sz w:val="28"/>
          <w:szCs w:val="28"/>
          <w:rtl w:val="true"/>
          <w:lang w:bidi="fa-IR"/>
        </w:rPr>
        <w:t>لیکن مبنای مشهور این است که شهرت فتوایی می‌تواند ضعف سند یک روایت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اعراض فقها از یک روایت صحیح السند نیز می‌تواند آن را از اعتبار خارج نماید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به همین دلیل، نمی‌توان به صورت کلّی به حرمت تکلیفی بیع اعیان نجس فتوا داد، هرچند در موارد خاص همچون بیع خمر، حرمت تکلیفی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قدس سره نیز در کتاب المکاسب المحرّمة به چنین نتیجه‌ای رسیده‌اند، هرچند ایشان اعراض فقها از مضمون روایت تحف العقول را قبول نکرده است</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این بحث و مباحث مشابه آن، تمرین فقهی و استنباطی مناسبی برای طلّاب درس خارج شمرده می‌شود؛ زیرا در این بحث، غیر از روایت تحف العقول دلیل لفظی دیگر، یا اجماع و شهرتی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ابتدا باید احتمالات را بررسی کنیم و از میان آنها به دیدگاهی متقن و موجّه برسیم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اوّل،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دلیل لفظی، مدّعا ثابت می‌شود و معاملۀ اعیان نجس را حرام می‌کند</w:t>
      </w:r>
      <w:r>
        <w:rPr>
          <w:rFonts w:eastAsia="IRNazanin" w:cs="IRNazanin"/>
          <w:color w:val="111111"/>
          <w:sz w:val="28"/>
          <w:szCs w:val="28"/>
          <w:rtl w:val="true"/>
          <w:lang w:bidi="fa-IR"/>
        </w:rPr>
        <w:t>.</w:t>
      </w:r>
      <w:bookmarkStart w:id="333" w:name="pg13785_135008"/>
    </w:p>
    <w:p>
      <w:pPr>
        <w:pStyle w:val="BookText"/>
        <w:rPr/>
      </w:pPr>
      <w:bookmarkEnd w:id="333"/>
      <w:r>
        <w:rPr>
          <w:rFonts w:ascii="IRNazanin" w:hAnsi="IRNazanin" w:eastAsia="IRNazanin"/>
          <w:color w:val="111111"/>
          <w:sz w:val="28"/>
          <w:sz w:val="28"/>
          <w:szCs w:val="28"/>
          <w:rtl w:val="true"/>
          <w:lang w:bidi="fa-IR"/>
        </w:rPr>
        <w:t>احتمال دوم، این است که با توجّه به فتوای فقهایی همچون شیخ مفید، سلّار و سیّد مرتضی قدس سرهم مبنی بر حرمت معامله با اعیان نجس، باید در این مسئله احتیاط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نیز این است که گرچه برخی از فقها بر حرمت معامله با اعیان نجس فتوا داده‌اند، ولی از آن‌جا که بیشتر فقها از مدلولِ تنها دلیل لفظی موجود، یعنی روایت تحف العقول، اعراض کرده و چنین فتوایی نداده‌اند، دلیلی مبنی بر حرمت معامله با اعیان نجس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همین احتمال را پذیرفته‌ایم</w:t>
      </w:r>
      <w:r>
        <w:rPr>
          <w:rFonts w:eastAsia="IRNazanin" w:cs="IRNazanin"/>
          <w:color w:val="111111"/>
          <w:sz w:val="28"/>
          <w:szCs w:val="28"/>
          <w:rtl w:val="true"/>
          <w:lang w:bidi="fa-IR"/>
        </w:rPr>
        <w:t>.</w:t>
      </w:r>
    </w:p>
    <w:p>
      <w:pPr>
        <w:pStyle w:val="Heading4"/>
        <w:numPr>
          <w:ilvl w:val="3"/>
          <w:numId w:val="1"/>
        </w:numPr>
        <w:rPr/>
      </w:pPr>
      <w:bookmarkStart w:id="334" w:name="__RefHeading___Toc2530945_1468164448"/>
      <w:bookmarkStart w:id="335" w:name="_Toc128"/>
      <w:bookmarkEnd w:id="334"/>
      <w:r>
        <w:rPr>
          <w:rtl w:val="true"/>
        </w:rPr>
        <w:t>گفتار دوم</w:t>
      </w:r>
      <w:r>
        <w:rPr>
          <w:rtl w:val="true"/>
        </w:rPr>
        <w:t xml:space="preserve">: </w:t>
      </w:r>
      <w:r>
        <w:rPr>
          <w:rtl w:val="true"/>
        </w:rPr>
        <w:t>حکم اخذ ثمن در مقابل فروش اعیان نجس</w:t>
      </w:r>
      <w:bookmarkEnd w:id="335"/>
    </w:p>
    <w:p>
      <w:pPr>
        <w:pStyle w:val="Heading5"/>
        <w:numPr>
          <w:ilvl w:val="4"/>
          <w:numId w:val="1"/>
        </w:numPr>
        <w:rPr/>
      </w:pPr>
      <w:bookmarkStart w:id="336" w:name="__RefHeading___Toc2530947_1468164448"/>
      <w:bookmarkStart w:id="337" w:name="_Toc129"/>
      <w:bookmarkEnd w:id="336"/>
      <w:r>
        <w:rPr>
          <w:rtl w:val="true"/>
        </w:rPr>
        <w:t>اشارة</w:t>
      </w:r>
      <w:bookmarkEnd w:id="337"/>
    </w:p>
    <w:p>
      <w:pPr>
        <w:pStyle w:val="BookText"/>
        <w:rPr/>
      </w:pPr>
      <w:r>
        <w:rPr>
          <w:rFonts w:ascii="IRNazanin" w:hAnsi="IRNazanin" w:eastAsia="IRNazanin"/>
          <w:color w:val="111111"/>
          <w:sz w:val="28"/>
          <w:sz w:val="28"/>
          <w:szCs w:val="28"/>
          <w:rtl w:val="true"/>
          <w:lang w:bidi="fa-IR"/>
        </w:rPr>
        <w:t>بحث دوم، پیرامون حکم دریافت ثمن در مقابل فروش عین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نخست، در مورد حرمت معاملۀ اعیان نجس مباحثی مطرح گردید و به این نتیجه منتهی شد که نمی‌توان با ادلّۀ موجود، حرمت تکلیفی معاملۀ اعیان نجس را به‌طور کلّی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بحث پیرامون حکم اخذ ثمن در مقابل فروش عین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صِرف گرفتن ثمن در مقابل شیء نجس چه حکمی دارد؟ آیا حرام است یا خیر؟ آیا به محض دریافت ثمن، حرمتی تحقّق پیدا خواهد کرد یا خیر؟</w:t>
      </w:r>
    </w:p>
    <w:p>
      <w:pPr>
        <w:pStyle w:val="BookText"/>
        <w:rPr/>
      </w:pPr>
      <w:r>
        <w:rPr>
          <w:rFonts w:ascii="IRNazanin" w:hAnsi="IRNazanin" w:eastAsia="IRNazanin"/>
          <w:color w:val="111111"/>
          <w:sz w:val="28"/>
          <w:sz w:val="28"/>
          <w:szCs w:val="28"/>
          <w:rtl w:val="true"/>
          <w:lang w:bidi="fa-IR"/>
        </w:rPr>
        <w:t>تذکّر دو نکته در این‌جا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اخذ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تصرّف در ثمن متفاوت است و منظور ما در این بحث، اخذ و گرفتن ثمن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معاملۀ عین نجس در طرح این مسئله تأثیری ندارد؛ بلکه اگر کسی معاملۀ شیء نجس را حرام بداند و اخذ ثمن حرام را نیز حرام بداند، آن‌گاه فروشندۀ عین نجاست با دریافت ثمن، مرتکب دو حرام شده است؛ ولی اگر معاملۀ عین نجس را حرام ندانیم، امّا اخذ ثمن را حرام بشماریم، در این صورت فرد با فروش عین نجاست و اخذ ثمن، مرتکب یک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بحث دربارۀ حکم اخذ ثمن در مقابل عین نجس، تفاوتی نمی‌کند که در بحث قبلی چه حکمی را برای معاملۀ آن ثابت دانسته باشیم</w:t>
      </w:r>
      <w:r>
        <w:rPr>
          <w:rFonts w:eastAsia="IRNazanin" w:cs="IRNazanin"/>
          <w:color w:val="111111"/>
          <w:sz w:val="28"/>
          <w:szCs w:val="28"/>
          <w:rtl w:val="true"/>
          <w:lang w:bidi="fa-IR"/>
        </w:rPr>
        <w:t>.</w:t>
      </w:r>
      <w:bookmarkStart w:id="338" w:name="pg13785_135009"/>
    </w:p>
    <w:p>
      <w:pPr>
        <w:pStyle w:val="Heading5"/>
        <w:numPr>
          <w:ilvl w:val="4"/>
          <w:numId w:val="1"/>
        </w:numPr>
        <w:rPr/>
      </w:pPr>
      <w:bookmarkStart w:id="339" w:name="__RefHeading___Toc2530949_1468164448"/>
      <w:bookmarkStart w:id="340" w:name="_Toc130"/>
      <w:bookmarkEnd w:id="338"/>
      <w:bookmarkEnd w:id="339"/>
      <w:r>
        <w:rPr>
          <w:rtl w:val="true"/>
        </w:rPr>
        <w:t>بند اوّل</w:t>
      </w:r>
      <w:r>
        <w:rPr>
          <w:rtl w:val="true"/>
        </w:rPr>
        <w:t xml:space="preserve">: </w:t>
      </w:r>
      <w:r>
        <w:rPr>
          <w:rtl w:val="true"/>
        </w:rPr>
        <w:t>دیدگاه امام خمینی</w:t>
      </w:r>
      <w:bookmarkEnd w:id="340"/>
    </w:p>
    <w:p>
      <w:pPr>
        <w:pStyle w:val="Heading6"/>
        <w:numPr>
          <w:ilvl w:val="5"/>
          <w:numId w:val="1"/>
        </w:numPr>
        <w:rPr/>
      </w:pPr>
      <w:bookmarkStart w:id="341" w:name="__RefHeading___Toc2530951_1468164448"/>
      <w:bookmarkStart w:id="342" w:name="_Toc131"/>
      <w:bookmarkEnd w:id="341"/>
      <w:r>
        <w:rPr>
          <w:rtl w:val="true"/>
        </w:rPr>
        <w:t>اشارة</w:t>
      </w:r>
      <w:bookmarkEnd w:id="342"/>
    </w:p>
    <w:p>
      <w:pPr>
        <w:pStyle w:val="BookText"/>
        <w:rPr/>
      </w:pPr>
      <w:r>
        <w:rPr>
          <w:rFonts w:ascii="IRNazanin" w:hAnsi="IRNazanin" w:eastAsia="IRNazanin"/>
          <w:color w:val="111111"/>
          <w:sz w:val="28"/>
          <w:sz w:val="28"/>
          <w:szCs w:val="28"/>
          <w:rtl w:val="true"/>
          <w:lang w:bidi="fa-IR"/>
        </w:rPr>
        <w:t>امام خمینی قدس سره در کتاب المکاسب المحرّمة این بحث را مطرح و پنج دلیل برای اثبات حرمت اخذ ثمن، اقامه می‌کند</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برای روشن شدن مطلب و رسیدن به نتیجۀ مطلوب، ادلّۀ ایشان را بیان می‌کنیم و پس از نقد و بررسی، نتیجۀ نهایی را توضیح می‌دهیم</w:t>
      </w:r>
      <w:r>
        <w:rPr>
          <w:rFonts w:eastAsia="IRNazanin" w:cs="IRNazanin"/>
          <w:color w:val="111111"/>
          <w:sz w:val="28"/>
          <w:szCs w:val="28"/>
          <w:rtl w:val="true"/>
          <w:lang w:bidi="fa-IR"/>
        </w:rPr>
        <w:t>.</w:t>
      </w:r>
    </w:p>
    <w:p>
      <w:pPr>
        <w:pStyle w:val="Heading6"/>
        <w:numPr>
          <w:ilvl w:val="5"/>
          <w:numId w:val="1"/>
        </w:numPr>
        <w:rPr/>
      </w:pPr>
      <w:bookmarkStart w:id="343" w:name="__RefHeading___Toc2530953_1468164448"/>
      <w:bookmarkStart w:id="344" w:name="_Toc132"/>
      <w:bookmarkEnd w:id="343"/>
      <w:r>
        <w:rPr>
          <w:rtl w:val="true"/>
        </w:rPr>
        <w:t>الف</w:t>
      </w:r>
      <w:r>
        <w:rPr>
          <w:rtl w:val="true"/>
        </w:rPr>
        <w:t xml:space="preserve">) </w:t>
      </w:r>
      <w:r>
        <w:rPr>
          <w:rtl w:val="true"/>
        </w:rPr>
        <w:t>دلیل یکم</w:t>
      </w:r>
      <w:bookmarkEnd w:id="344"/>
    </w:p>
    <w:p>
      <w:pPr>
        <w:pStyle w:val="BookText"/>
        <w:rPr/>
      </w:pPr>
      <w:r>
        <w:rPr>
          <w:rFonts w:ascii="IRNazanin" w:hAnsi="IRNazanin" w:eastAsia="IRNazanin"/>
          <w:color w:val="111111"/>
          <w:sz w:val="28"/>
          <w:sz w:val="28"/>
          <w:szCs w:val="28"/>
          <w:rtl w:val="true"/>
          <w:lang w:bidi="fa-IR"/>
        </w:rPr>
        <w:t>نخستین دلیل، روایت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حَرَّمَ شیئاً، حَرَّمَ ثَمَنَه</w:t>
      </w:r>
      <w:r>
        <w:rPr>
          <w:rFonts w:eastAsia="Amiri" w:cs="Amiri" w:ascii="Amiri" w:hAnsi="Amiri"/>
          <w:color w:val="111111"/>
          <w:sz w:val="28"/>
          <w:szCs w:val="28"/>
          <w:rtl w:val="true"/>
          <w:lang w:bidi="ar-SA"/>
        </w:rPr>
        <w:t>»</w:t>
      </w:r>
      <w:r>
        <w:rPr>
          <w:rStyle w:val="FootnoteAnchor"/>
          <w:rtl w:val="true"/>
        </w:rPr>
        <w:footnoteReference w:id="243"/>
      </w:r>
      <w:r>
        <w:rPr>
          <w:rFonts w:ascii="IRNazanin" w:hAnsi="IRNazanin" w:eastAsia="IRNazanin"/>
          <w:color w:val="111111"/>
          <w:sz w:val="28"/>
          <w:sz w:val="28"/>
          <w:szCs w:val="28"/>
          <w:rtl w:val="true"/>
          <w:lang w:bidi="fa-IR"/>
        </w:rPr>
        <w:t>است که پیش از این، سند و دلالت آن به‌طور کامل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استفاده می‌شود که اگر انسان چیز حرامی را بفروشد و در مقابل آن پولی بگیرد، گرفتن ثمن یاد شده،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این استدلال از دو جهت، قابل نقد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با مدّعا مطابقت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دنبال اثبات حرمت اخذ ثمن در مقابل عین نجس هستیم و مدّعای ما اثبات حرمت اخذ ثمن نجس، به عنوان نجس است، در حالی که این روایت بر این مطلب دلالت ندارد؛ بلکه در آن حکم به حرمت اخذ ثمن حرام به عنوان حرام شده است و چه بسا این عنوان حرام به شیء نجس تعلّق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یک ماهی در آب بمیرد، خوردن آن حرام است، ولی ماهی نجس نیست؛ با این حال با توجّه به روایت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آن ماهی و ثمنِ دریافت شده در مقابل‌آن، حرام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وجود دارد که منظور از حرمت ثمن در روایت، حرمت معامله باشد؛ چراکه اوّلاً نمی‌توان ملتزم شد که در چنین مواردی گرفتن پول برای بایع حرام است، امّا گرفتن شیء حرام برای مشتری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تفکیک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معامله در پولِ به دست آمده است و</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معامله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گاهی ثمن در مقابل مثمن قرار دارد و گاهی ثمن به معامله اشاره می‌کند که در این روایت نیز به احتمال قوی، معنای اخیر اراده شده است</w:t>
      </w:r>
      <w:r>
        <w:rPr>
          <w:rFonts w:eastAsia="IRNazanin" w:cs="IRNazanin"/>
          <w:color w:val="111111"/>
          <w:sz w:val="28"/>
          <w:szCs w:val="28"/>
          <w:rtl w:val="true"/>
          <w:lang w:bidi="fa-IR"/>
        </w:rPr>
        <w:t>.</w:t>
      </w:r>
      <w:bookmarkStart w:id="345" w:name="pg13785_135010"/>
    </w:p>
    <w:p>
      <w:pPr>
        <w:pStyle w:val="Heading6"/>
        <w:numPr>
          <w:ilvl w:val="5"/>
          <w:numId w:val="1"/>
        </w:numPr>
        <w:rPr/>
      </w:pPr>
      <w:bookmarkStart w:id="346" w:name="__RefHeading___Toc2530955_1468164448"/>
      <w:bookmarkStart w:id="347" w:name="_Toc133"/>
      <w:bookmarkEnd w:id="345"/>
      <w:bookmarkEnd w:id="346"/>
      <w:r>
        <w:rPr>
          <w:rtl w:val="true"/>
        </w:rPr>
        <w:t>ب</w:t>
      </w:r>
      <w:r>
        <w:rPr>
          <w:rtl w:val="true"/>
        </w:rPr>
        <w:t xml:space="preserve">) </w:t>
      </w:r>
      <w:r>
        <w:rPr>
          <w:rtl w:val="true"/>
        </w:rPr>
        <w:t>دلیل دوم</w:t>
      </w:r>
      <w:bookmarkEnd w:id="347"/>
    </w:p>
    <w:p>
      <w:pPr>
        <w:pStyle w:val="BookText"/>
        <w:rPr/>
      </w:pPr>
      <w:r>
        <w:rPr>
          <w:rFonts w:ascii="IRNazanin" w:hAnsi="IRNazanin" w:eastAsia="IRNazanin"/>
          <w:color w:val="111111"/>
          <w:sz w:val="28"/>
          <w:sz w:val="28"/>
          <w:szCs w:val="28"/>
          <w:rtl w:val="true"/>
          <w:lang w:bidi="fa-IR"/>
        </w:rPr>
        <w:t>دلیل دوم، روایتی است که در کتاب نوادر از امام موسی کاظم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مُوسَی بْنِ جَعْفَرٍ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إِنَّ أَخْوَفَ مَا أَخَافُ عَلَی أُمَّتِی مِنْ بَعْدِی هَذِهِ الْمَکَاسِبُ الْمُحَرَّمَةُ وَالشَّهْوَةُ الْخَفِیَّةُ وَالرِّبَا؛</w:t>
      </w:r>
      <w:r>
        <w:rPr>
          <w:rStyle w:val="FootnoteAnchor"/>
          <w:rtl w:val="true"/>
        </w:rPr>
        <w:footnoteReference w:id="244"/>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چیزی که من از آن، برای امّت پس از خودم می‌ترسم این کسب‌های محرّم و شهوت پنهان و رباست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 اکرم صلی الله علیه و آله از این‌که فروش اعیان نجس در میان امّت خود رایج شود، می‌ترسیدند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استدلال به این روایت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مکاسب جمع مکسب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یکتسب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گفته‌اند که این لفظ، ظهور در ثمن معامله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توجّه به معنای لغوی مکاسب می‌توان برای اثبات حرمت اخذ ثمن نجس به این روایت استناد نمود؛ یعنی منظور از مکاسب محرّمه در روایت، ثمن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به نظر می‌رسد که معنای لغوی ذکر شده برای مکاسب، با عرف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 عرف،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المکاسب المحرّمة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اصل معامله‌ای دارد که در خارج واقع شده است، نه خصوص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می‌توان در پاسخ امام خمینی قدس سره به این نکته اشاره کرد که عرف این معنای لغوی را درک نمی‌کند؛ بلکه مکاسب محرّمه از دید عرف، ظهور در خصوص ثمن ندارد، بلکه ظاهر در معاملۀ خارجی است</w:t>
      </w:r>
      <w:r>
        <w:rPr>
          <w:rFonts w:eastAsia="IRNazanin" w:cs="IRNazanin"/>
          <w:color w:val="111111"/>
          <w:sz w:val="28"/>
          <w:szCs w:val="28"/>
          <w:rtl w:val="true"/>
          <w:lang w:bidi="fa-IR"/>
        </w:rPr>
        <w:t>.</w:t>
      </w:r>
    </w:p>
    <w:p>
      <w:pPr>
        <w:pStyle w:val="Heading6"/>
        <w:numPr>
          <w:ilvl w:val="5"/>
          <w:numId w:val="1"/>
        </w:numPr>
        <w:rPr/>
      </w:pPr>
      <w:bookmarkStart w:id="348" w:name="__RefHeading___Toc2530957_1468164448"/>
      <w:bookmarkStart w:id="349" w:name="_Toc134"/>
      <w:bookmarkEnd w:id="348"/>
      <w:r>
        <w:rPr>
          <w:rtl w:val="true"/>
        </w:rPr>
        <w:t>ج</w:t>
      </w:r>
      <w:r>
        <w:rPr>
          <w:rtl w:val="true"/>
        </w:rPr>
        <w:t xml:space="preserve">) </w:t>
      </w:r>
      <w:r>
        <w:rPr>
          <w:rtl w:val="true"/>
        </w:rPr>
        <w:t>دلیل سوم</w:t>
      </w:r>
      <w:bookmarkEnd w:id="34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دلیلی که امام خمینی قدس سره به آن استناد می‌کند، روایتی است که محمّد بن مسلم از امام صادق علیه السلام نقل می‌کند</w:t>
      </w:r>
      <w:r>
        <w:rPr>
          <w:rFonts w:eastAsia="IRNazanin" w:cs="IRNazanin"/>
          <w:color w:val="111111"/>
          <w:sz w:val="28"/>
          <w:szCs w:val="28"/>
          <w:rtl w:val="true"/>
          <w:lang w:bidi="fa-IR"/>
        </w:rPr>
        <w:t>:</w:t>
      </w:r>
      <w:bookmarkStart w:id="350" w:name="pg13785_135011"/>
    </w:p>
    <w:p>
      <w:pPr>
        <w:pStyle w:val="BookText"/>
        <w:rPr/>
      </w:pPr>
      <w:bookmarkEnd w:id="35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ثَقِیفٍ أَهْدَی إِلَی رَسُولِ اللّهِ صلی الله علیه و آله رَاوِیَتَیْنِ مِنْ خَمْرٍ، فَأَمَرَ بِهِمَا رَسُولُ اللّهِ صلی الله علیه و آله فَأُهَرِیقَتَا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 حَرَّمَ شُرْبَهَا حَرَّمَ ثَمَنَهَ؛</w:t>
      </w:r>
      <w:r>
        <w:rPr>
          <w:rStyle w:val="FootnoteAnchor"/>
          <w:rtl w:val="true"/>
        </w:rPr>
        <w:footnoteReference w:id="245"/>
      </w:r>
      <w:r>
        <w:rPr>
          <w:rFonts w:ascii="IRNazanin" w:hAnsi="IRNazanin" w:eastAsia="IRNazanin"/>
          <w:color w:val="111111"/>
          <w:sz w:val="28"/>
          <w:sz w:val="28"/>
          <w:szCs w:val="28"/>
          <w:rtl w:val="true"/>
          <w:lang w:bidi="fa-IR"/>
        </w:rPr>
        <w:t>مردی از قبیله ثقیف دو ظرف پر از خمر به پیامبر اهدا کرد، پیامبر صلی الله علیه و آله امر کرد که اینها را دور بریزید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شرب خمر را حرام نموده، ثمن آن را نیز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ذیل روایت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حرّم شربها، حرّم ثمنها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ثمن حاصل از فروش خمر،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به نظر می‌رسد که همان‌گونه که در نقد دلیل اوّل بیان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در مقابل مثمن نیست؛ بلکه کنایه از اصل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در بسیاری از آیات قرآن و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بطلان و صحّت استعمال شده‌اند، برای نمونه، معنای أحلّ و حرّم در آیۀ شریفۀ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أَحَلَّ اللّهُ الْبَیْعَ وَ حَرَّمَ الرِّبا</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صحّت و 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این روایت نیز بعید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حکم وضعی داشته باشد و در معنای بطلان استعمال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احتمال استدلال به روایت بر حکم تکلیفی مخدوش و ناتمام است</w:t>
      </w:r>
      <w:r>
        <w:rPr>
          <w:rFonts w:eastAsia="IRNazanin" w:cs="IRNazanin"/>
          <w:color w:val="111111"/>
          <w:sz w:val="28"/>
          <w:szCs w:val="28"/>
          <w:rtl w:val="true"/>
          <w:lang w:bidi="fa-IR"/>
        </w:rPr>
        <w:t>.</w:t>
      </w:r>
    </w:p>
    <w:p>
      <w:pPr>
        <w:pStyle w:val="Heading6"/>
        <w:numPr>
          <w:ilvl w:val="5"/>
          <w:numId w:val="1"/>
        </w:numPr>
        <w:rPr/>
      </w:pPr>
      <w:bookmarkStart w:id="351" w:name="__RefHeading___Toc2530959_1468164448"/>
      <w:bookmarkStart w:id="352" w:name="_Toc135"/>
      <w:bookmarkEnd w:id="351"/>
      <w:r>
        <w:rPr>
          <w:rtl w:val="true"/>
        </w:rPr>
        <w:t>د</w:t>
      </w:r>
      <w:r>
        <w:rPr>
          <w:rtl w:val="true"/>
        </w:rPr>
        <w:t xml:space="preserve">) </w:t>
      </w:r>
      <w:r>
        <w:rPr>
          <w:rtl w:val="true"/>
        </w:rPr>
        <w:t>دلیل چهارم</w:t>
      </w:r>
      <w:bookmarkEnd w:id="352"/>
    </w:p>
    <w:p>
      <w:pPr>
        <w:pStyle w:val="BookText"/>
        <w:rPr/>
      </w:pPr>
      <w:r>
        <w:rPr>
          <w:rFonts w:ascii="IRNazanin" w:hAnsi="IRNazanin" w:eastAsia="IRNazanin"/>
          <w:color w:val="111111"/>
          <w:sz w:val="28"/>
          <w:sz w:val="28"/>
          <w:szCs w:val="28"/>
          <w:rtl w:val="true"/>
          <w:lang w:bidi="fa-IR"/>
        </w:rPr>
        <w:t>دلیل چهارم، روایتی است که ابوبصیر از امام صادق علیه السلام نقل کرده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ثَمَنِ الْخَمْرِ؛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اهْدِیَ إِلَی رَسُولِ اللّهِ صلی الله علیه و آله رَاوِیَةُ خَمْرٍ بَعْدَ مَا حُرِّمَتِ الْخَمْرُ، فَأَمَرَ بِهَا أَنْ تُبَاعَ، فَلَمَّا أَنْ مَرَّ بِهَا الَّذِی یَبِیعُهَا نَادَاهُ رَسُولُ اللّهِ صلی الله علیه و آله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صَاحِبَ الرَّاوِیَةِ إِنَّ الَّذِی حَرَّمَ شُرْبَهَا فَقَدْ حَرَّمَ ثَمَنَهَا، فَأَمَرَ بِهَا فَصُبَّتْ فِی الصَّعِیدِ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الْخَمْرِ وَمَهْرُ الْبَغِیِّ وَثَمَنُ الْکَلْبِ الَّذِی لَایَصْطَادُ مِنَ السُّحْتِ؛</w:t>
      </w:r>
      <w:r>
        <w:rPr>
          <w:rStyle w:val="FootnoteAnchor"/>
          <w:rtl w:val="true"/>
        </w:rPr>
        <w:footnoteReference w:id="246"/>
      </w:r>
      <w:r>
        <w:rPr>
          <w:rFonts w:ascii="IRNazanin" w:hAnsi="IRNazanin" w:eastAsia="IRNazanin"/>
          <w:color w:val="111111"/>
          <w:sz w:val="28"/>
          <w:sz w:val="28"/>
          <w:szCs w:val="28"/>
          <w:rtl w:val="true"/>
          <w:lang w:bidi="fa-IR"/>
        </w:rPr>
        <w:t>ابی بصیر می‌گوید از امام صادق علیه السلام در مورد</w:t>
      </w:r>
      <w:bookmarkStart w:id="353" w:name="pg13785_135012"/>
    </w:p>
    <w:p>
      <w:pPr>
        <w:pStyle w:val="BookText"/>
        <w:rPr/>
      </w:pPr>
      <w:bookmarkEnd w:id="353"/>
      <w:r>
        <w:rPr>
          <w:rFonts w:ascii="IRNazanin" w:hAnsi="IRNazanin" w:eastAsia="IRNazanin"/>
          <w:color w:val="111111"/>
          <w:sz w:val="28"/>
          <w:sz w:val="28"/>
          <w:szCs w:val="28"/>
          <w:rtl w:val="true"/>
          <w:lang w:bidi="fa-IR"/>
        </w:rPr>
        <w:t>ثمن شراب سؤال کردم،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تشریع حرمت خمر، ظرف شرابی به پیامبر صلی الله علیه و آله اهدا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پیشنهاد شد که این خمر فروخته شود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هنگامی که پیامبر صلی الله علیه و آله از کنار کسی که در حال فروش این ظرف خمر بود، عبور می‌کردند، صدایش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شرب خمر را حرام کرده، ثمن آن را نیز حرام کرده است، سپس امر کردند که این شراب دور ریخته شود و فرمودند، ثمن شراب و درآمد و پولی که زن زناکار در مقابل عمل زنا دریافت می‌کند و ثمن سگ غیر شکاری، از سحت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 برای اثبات مدّعا مناسب باشد؛ زیرا با توجّه به ذیل روایت و قرار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می‌شود که اخذ ثمن حرام است؛ لیکن باید توجّه داشت که این روایت، تنها در مورد ثمن خمر، مهر البغی و ثمن کلب وارد شده، ولی مدّعای امام خمینی قدس سره عام است</w:t>
      </w:r>
      <w:r>
        <w:rPr>
          <w:rFonts w:eastAsia="IRNazanin" w:cs="IRNazanin"/>
          <w:color w:val="111111"/>
          <w:sz w:val="28"/>
          <w:szCs w:val="28"/>
          <w:rtl w:val="true"/>
          <w:lang w:bidi="fa-IR"/>
        </w:rPr>
        <w:t>.</w:t>
      </w:r>
    </w:p>
    <w:p>
      <w:pPr>
        <w:pStyle w:val="Heading6"/>
        <w:numPr>
          <w:ilvl w:val="5"/>
          <w:numId w:val="1"/>
        </w:numPr>
        <w:rPr/>
      </w:pPr>
      <w:bookmarkStart w:id="354" w:name="__RefHeading___Toc2530961_1468164448"/>
      <w:bookmarkStart w:id="355" w:name="_Toc136"/>
      <w:bookmarkEnd w:id="354"/>
      <w:r>
        <w:rPr>
          <w:rtl w:val="true"/>
        </w:rPr>
        <w:t>ه</w:t>
      </w:r>
      <w:r>
        <w:rPr>
          <w:rtl w:val="true"/>
        </w:rPr>
        <w:t xml:space="preserve">) </w:t>
      </w:r>
      <w:r>
        <w:rPr>
          <w:rtl w:val="true"/>
        </w:rPr>
        <w:t>دلیل پنجم</w:t>
      </w:r>
      <w:bookmarkEnd w:id="355"/>
    </w:p>
    <w:p>
      <w:pPr>
        <w:pStyle w:val="BookText"/>
        <w:rPr/>
      </w:pPr>
      <w:r>
        <w:rPr>
          <w:rFonts w:ascii="IRNazanin" w:hAnsi="IRNazanin" w:eastAsia="IRNazanin"/>
          <w:color w:val="111111"/>
          <w:sz w:val="28"/>
          <w:sz w:val="28"/>
          <w:szCs w:val="28"/>
          <w:rtl w:val="true"/>
          <w:lang w:bidi="fa-IR"/>
        </w:rPr>
        <w:t>امام خمینی قدس سره به عنوان پنجمین دلیل برای اثبات حرمت اخذ ثمن در مقابل عین نجس،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فَیُمْکِن استفادةُ العموم من مواردِ الخاصّة</w:t>
      </w:r>
      <w:r>
        <w:rPr>
          <w:rFonts w:eastAsia="Amiri" w:cs="Amiri" w:ascii="Amiri" w:hAnsi="Amiri"/>
          <w:color w:val="111111"/>
          <w:sz w:val="28"/>
          <w:szCs w:val="28"/>
          <w:rtl w:val="true"/>
          <w:lang w:bidi="ar-SA"/>
        </w:rPr>
        <w:t>.</w:t>
      </w:r>
      <w:r>
        <w:rPr>
          <w:rStyle w:val="FootnoteAnchor"/>
          <w:rtl w:val="true"/>
        </w:rPr>
        <w:footnoteReference w:id="248"/>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با مراجعه به موارد خاص مانند خمر، نبیذ، مردار، کلب، عذرة، مهر البغی، اجور الفواحش و مانند آن، می‌بینیم که در همۀ این موارد، دلیل بر حرمت اخذ ثمن</w:t>
      </w:r>
      <w:bookmarkStart w:id="356" w:name="pg13785_135013"/>
    </w:p>
    <w:p>
      <w:pPr>
        <w:pStyle w:val="BookText"/>
        <w:rPr/>
      </w:pPr>
      <w:bookmarkEnd w:id="356"/>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می‌توان از این مصادیق الغای خصوصیت کرده و چنین نتیجه گرفت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اخذ ثمن نجس به عنوان نجس، حرام است، بلکه اخذ ثمن حرام نیز به عنوان حرام،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پاسخ به این پرسش که امکان الغای خصوصیت وجود دارد یا خیر، متوقّف بر بررسی ادلّۀ موارد خاص است که در ادامه، مورد بحث قرار می‌گیرد</w:t>
      </w:r>
      <w:r>
        <w:rPr>
          <w:rFonts w:eastAsia="IRNazanin" w:cs="IRNazanin"/>
          <w:color w:val="111111"/>
          <w:sz w:val="28"/>
          <w:szCs w:val="28"/>
          <w:rtl w:val="true"/>
          <w:lang w:bidi="fa-IR"/>
        </w:rPr>
        <w:t>.</w:t>
      </w:r>
    </w:p>
    <w:p>
      <w:pPr>
        <w:pStyle w:val="Heading5"/>
        <w:numPr>
          <w:ilvl w:val="4"/>
          <w:numId w:val="1"/>
        </w:numPr>
        <w:rPr/>
      </w:pPr>
      <w:bookmarkStart w:id="357" w:name="__RefHeading___Toc2530963_1468164448"/>
      <w:bookmarkStart w:id="358" w:name="_Toc137"/>
      <w:bookmarkEnd w:id="357"/>
      <w:r>
        <w:rPr>
          <w:rtl w:val="true"/>
        </w:rPr>
        <w:t>بند دوم</w:t>
      </w:r>
      <w:r>
        <w:rPr>
          <w:rtl w:val="true"/>
        </w:rPr>
        <w:t xml:space="preserve">: </w:t>
      </w:r>
      <w:r>
        <w:rPr>
          <w:rtl w:val="true"/>
        </w:rPr>
        <w:t>نقد دیدگاه امام خمینی</w:t>
      </w:r>
      <w:bookmarkEnd w:id="358"/>
    </w:p>
    <w:p>
      <w:pPr>
        <w:pStyle w:val="BookText"/>
        <w:rPr/>
      </w:pPr>
      <w:r>
        <w:rPr>
          <w:rFonts w:ascii="IRNazanin" w:hAnsi="IRNazanin" w:eastAsia="IRNazanin"/>
          <w:color w:val="111111"/>
          <w:sz w:val="28"/>
          <w:sz w:val="28"/>
          <w:szCs w:val="28"/>
          <w:rtl w:val="true"/>
          <w:lang w:bidi="fa-IR"/>
        </w:rPr>
        <w:t>به نظر می‌رسد از میان ادلّه‌ای که امام خمینی قدس سره جهت اثبات حرمت اخذ ثمن در مقابل شیء نجس بیان کردند، سه دلیل اوّل قابل پذیرش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دلیل چهارم نیز حکمی عام به دست نمی‌آید؛ بلکه این روایت در سه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ثمن الخمر، مهر البغی و ثمن الکلب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اخذ ثمن را ثابت می‌کند و این‌که بتوان از حکم مصادیق و موارد خاص، الغای خصوصیت نمود و یک حکم عام در مورد اشیای نجس به دست آورد، منوط است به گفتگو دربارۀ تک تک مصادیق نجاست که در مباحث آینده انجام می‌شود</w:t>
      </w:r>
      <w:r>
        <w:rPr>
          <w:rFonts w:eastAsia="IRNazanin" w:cs="IRNazanin"/>
          <w:color w:val="111111"/>
          <w:sz w:val="28"/>
          <w:szCs w:val="28"/>
          <w:rtl w:val="true"/>
          <w:lang w:bidi="fa-IR"/>
        </w:rPr>
        <w:t>.</w:t>
      </w:r>
    </w:p>
    <w:p>
      <w:pPr>
        <w:pStyle w:val="Heading4"/>
        <w:numPr>
          <w:ilvl w:val="3"/>
          <w:numId w:val="1"/>
        </w:numPr>
        <w:rPr/>
      </w:pPr>
      <w:bookmarkStart w:id="359" w:name="__RefHeading___Toc2530965_1468164448"/>
      <w:bookmarkStart w:id="360" w:name="_Toc138"/>
      <w:bookmarkEnd w:id="359"/>
      <w:r>
        <w:rPr>
          <w:rtl w:val="true"/>
        </w:rPr>
        <w:t>گفتار سوم</w:t>
      </w:r>
      <w:r>
        <w:rPr>
          <w:rtl w:val="true"/>
        </w:rPr>
        <w:t xml:space="preserve">: </w:t>
      </w:r>
      <w:r>
        <w:rPr>
          <w:rtl w:val="true"/>
        </w:rPr>
        <w:t>حکم وضعی معاملۀ اعیان نجس</w:t>
      </w:r>
      <w:bookmarkEnd w:id="360"/>
    </w:p>
    <w:p>
      <w:pPr>
        <w:pStyle w:val="BookText"/>
        <w:rPr/>
      </w:pPr>
      <w:r>
        <w:rPr>
          <w:rFonts w:ascii="IRNazanin" w:hAnsi="IRNazanin" w:eastAsia="IRNazanin"/>
          <w:color w:val="111111"/>
          <w:sz w:val="28"/>
          <w:sz w:val="28"/>
          <w:szCs w:val="28"/>
          <w:rtl w:val="true"/>
          <w:lang w:bidi="fa-IR"/>
        </w:rPr>
        <w:t>برای این‌که بتوانیم به بطلان معامله‌ای حکم کنیم، دو راه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در معاملات مانند نهی در عبادات، دلالت بر فساد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بیشتر اصولیان معاصر و بلکه همۀ ایشان، این روش را رد کرده‌اند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اخذ شده در مقابل شیء نجس،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معامله واقع شده نیز باطل خواهد بود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بحث دربارۀ حرمت وضعی و بطلان معاملۀ اعیان نجس، پس از اثبات حرمت تکلیفی و حرمت ثمن مأخوذ، مطرح شده و متوقّف بر اثبات یکی</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نمی‌توان نهی در معامله را دلیل بر بطلان آن دانست؛ چراکه چنین ملازمه‌ای وجود ندارد؛ امّا اگر ثابت شود ثمن مأخوذ در مقابل شیء نجس، حرام است، آن‌گاه می‌توان به کمک آن بطلان معامله را ثابت نمود</w:t>
      </w:r>
      <w:r>
        <w:rPr>
          <w:rFonts w:eastAsia="IRNazanin" w:cs="IRNazanin"/>
          <w:color w:val="111111"/>
          <w:sz w:val="28"/>
          <w:szCs w:val="28"/>
          <w:rtl w:val="true"/>
          <w:lang w:bidi="fa-IR"/>
        </w:rPr>
        <w:t>.</w:t>
      </w:r>
      <w:bookmarkStart w:id="361" w:name="pg13785_135016"/>
    </w:p>
    <w:p>
      <w:pPr>
        <w:pStyle w:val="Heading3"/>
        <w:numPr>
          <w:ilvl w:val="2"/>
          <w:numId w:val="1"/>
        </w:numPr>
        <w:rPr/>
      </w:pPr>
      <w:bookmarkStart w:id="362" w:name="__RefHeading___Toc2530967_1468164448"/>
      <w:bookmarkStart w:id="363" w:name="_Toc139"/>
      <w:bookmarkEnd w:id="361"/>
      <w:bookmarkEnd w:id="362"/>
      <w:r>
        <w:rPr>
          <w:rtl w:val="true"/>
        </w:rPr>
        <w:t>فصل دوم</w:t>
      </w:r>
      <w:r>
        <w:rPr>
          <w:rtl w:val="true"/>
        </w:rPr>
        <w:t xml:space="preserve">: </w:t>
      </w:r>
      <w:r>
        <w:rPr>
          <w:rtl w:val="true"/>
        </w:rPr>
        <w:t>معاملۀ بول</w:t>
      </w:r>
      <w:bookmarkEnd w:id="363"/>
    </w:p>
    <w:p>
      <w:pPr>
        <w:pStyle w:val="Heading4"/>
        <w:numPr>
          <w:ilvl w:val="3"/>
          <w:numId w:val="1"/>
        </w:numPr>
        <w:rPr/>
      </w:pPr>
      <w:bookmarkStart w:id="364" w:name="__RefHeading___Toc2530969_1468164448"/>
      <w:bookmarkStart w:id="365" w:name="_Toc140"/>
      <w:bookmarkEnd w:id="364"/>
      <w:r>
        <w:rPr>
          <w:rtl w:val="true"/>
        </w:rPr>
        <w:t>اشارة</w:t>
      </w:r>
      <w:bookmarkEnd w:id="365"/>
    </w:p>
    <w:p>
      <w:pPr>
        <w:pStyle w:val="BookText"/>
        <w:rPr/>
      </w:pPr>
      <w:r>
        <w:rPr>
          <w:rFonts w:ascii="IRNazanin" w:hAnsi="IRNazanin" w:eastAsia="IRNazanin"/>
          <w:color w:val="111111"/>
          <w:sz w:val="28"/>
          <w:sz w:val="28"/>
          <w:szCs w:val="28"/>
          <w:rtl w:val="true"/>
          <w:lang w:bidi="fa-IR"/>
        </w:rPr>
        <w:t xml:space="preserve">شیخ انصاری قدس سره پیرامون حکم معاوضۀ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المعاوضة علی بول غیر مأکول اللحم بلا خلافٍ ظاهر لحرمته ونجاسته وعدم الإنتفاع به منفعة محلّلة مقصودة فیما عدا بعض أفراده کبول الإبل الجلّالة أو الموطوئة؛</w:t>
      </w:r>
      <w:r>
        <w:rPr>
          <w:rStyle w:val="FootnoteAnchor"/>
          <w:rtl w:val="true"/>
        </w:rPr>
        <w:footnoteReference w:id="250"/>
      </w:r>
      <w:r>
        <w:rPr>
          <w:rFonts w:ascii="IRNazanin" w:hAnsi="IRNazanin" w:eastAsia="IRNazanin"/>
          <w:color w:val="111111"/>
          <w:sz w:val="28"/>
          <w:sz w:val="28"/>
          <w:szCs w:val="28"/>
          <w:rtl w:val="true"/>
          <w:lang w:bidi="fa-IR"/>
        </w:rPr>
        <w:t>معاوضۀ بول حیوان حرام گوشت حرام است بدون این‌که هیچ خلاف روشنی در این مسئله در بین فقها باشد، واین حرمت معاوضه به‌خاطر حرام بودن ونجاست آن ونداشتن منفعت محلّله مقصوده است که جز در برخی از افراد آن مانند بول شتر جلّاله یا موطوئه وجود ندارد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به کلمات فقها درمی‌یابیم که فقهای بزرگی همچون شیخ مفید</w:t>
      </w:r>
      <w:r>
        <w:rPr>
          <w:rStyle w:val="FootnoteAnchor"/>
          <w:rtl w:val="true"/>
        </w:rPr>
        <w:footnoteReference w:id="251"/>
      </w:r>
      <w:r>
        <w:rPr>
          <w:rFonts w:ascii="IRNazanin" w:hAnsi="IRNazanin" w:eastAsia="IRNazanin"/>
          <w:color w:val="111111"/>
          <w:sz w:val="28"/>
          <w:sz w:val="28"/>
          <w:szCs w:val="28"/>
          <w:rtl w:val="true"/>
          <w:lang w:bidi="fa-IR"/>
        </w:rPr>
        <w:t>و شیخ طوسی قدس سرهما،</w:t>
      </w:r>
      <w:r>
        <w:rPr>
          <w:rStyle w:val="FootnoteAnchor"/>
          <w:rtl w:val="true"/>
        </w:rPr>
        <w:footnoteReference w:id="252"/>
      </w:r>
      <w:r>
        <w:rPr>
          <w:rFonts w:ascii="IRNazanin" w:hAnsi="IRNazanin" w:eastAsia="IRNazanin"/>
          <w:color w:val="111111"/>
          <w:sz w:val="28"/>
          <w:sz w:val="28"/>
          <w:szCs w:val="28"/>
          <w:rtl w:val="true"/>
          <w:lang w:bidi="fa-IR"/>
        </w:rPr>
        <w:t>معاوضۀ ابوال را به صورت مطلق حرام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ایشان معاملۀ بول، حرمت تکلیفی و وضعی دارد و در این زمینه، میان بول حیوان حلال گوشت و حرام گوشت نیز تفاوتی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نظر قدما، فقهای متأخّر همچون ابن</w:t>
      </w:r>
      <w:bookmarkStart w:id="366" w:name="pg13785_135017"/>
    </w:p>
    <w:p>
      <w:pPr>
        <w:pStyle w:val="BookText"/>
        <w:rPr/>
      </w:pPr>
      <w:bookmarkEnd w:id="366"/>
      <w:r>
        <w:rPr>
          <w:rFonts w:ascii="IRNazanin" w:hAnsi="IRNazanin" w:eastAsia="IRNazanin"/>
          <w:color w:val="111111"/>
          <w:sz w:val="28"/>
          <w:sz w:val="28"/>
          <w:szCs w:val="28"/>
          <w:rtl w:val="true"/>
          <w:lang w:bidi="fa-IR"/>
        </w:rPr>
        <w:t>ادریس،</w:t>
      </w:r>
      <w:r>
        <w:rPr>
          <w:rStyle w:val="FootnoteAnchor"/>
          <w:rtl w:val="true"/>
        </w:rPr>
        <w:footnoteReference w:id="253"/>
      </w:r>
      <w:r>
        <w:rPr>
          <w:rFonts w:ascii="Amiri" w:hAnsi="Amiri" w:eastAsia="Amiri" w:cs="Amiri"/>
          <w:color w:val="111111"/>
          <w:sz w:val="28"/>
          <w:sz w:val="28"/>
          <w:szCs w:val="28"/>
          <w:rtl w:val="true"/>
          <w:lang w:bidi="ar-SA"/>
        </w:rPr>
        <w:t>محقّق حلّی،</w:t>
      </w:r>
      <w:r>
        <w:rPr>
          <w:rStyle w:val="FootnoteAnchor"/>
          <w:rtl w:val="true"/>
        </w:rPr>
        <w:footnoteReference w:id="254"/>
      </w:r>
      <w:r>
        <w:rPr>
          <w:rFonts w:ascii="IRNazanin" w:hAnsi="IRNazanin" w:eastAsia="IRNazanin"/>
          <w:color w:val="111111"/>
          <w:sz w:val="28"/>
          <w:sz w:val="28"/>
          <w:szCs w:val="28"/>
          <w:rtl w:val="true"/>
          <w:lang w:bidi="fa-IR"/>
        </w:rPr>
        <w:t>صاحب جواهر</w:t>
      </w:r>
      <w:r>
        <w:rPr>
          <w:rStyle w:val="FootnoteAnchor"/>
          <w:rtl w:val="true"/>
        </w:rPr>
        <w:footnoteReference w:id="255"/>
      </w:r>
      <w:r>
        <w:rPr>
          <w:rFonts w:ascii="IRNazanin" w:hAnsi="IRNazanin" w:eastAsia="IRNazanin"/>
          <w:color w:val="111111"/>
          <w:sz w:val="28"/>
          <w:sz w:val="28"/>
          <w:szCs w:val="28"/>
          <w:rtl w:val="true"/>
          <w:lang w:bidi="fa-IR"/>
        </w:rPr>
        <w:t>و شیخ انصاری قدس سرهم،</w:t>
      </w:r>
      <w:r>
        <w:rPr>
          <w:rStyle w:val="FootnoteAnchor"/>
          <w:rtl w:val="true"/>
        </w:rPr>
        <w:footnoteReference w:id="256"/>
      </w:r>
      <w:r>
        <w:rPr>
          <w:rFonts w:ascii="IRNazanin" w:hAnsi="IRNazanin" w:eastAsia="IRNazanin"/>
          <w:color w:val="111111"/>
          <w:sz w:val="28"/>
          <w:sz w:val="28"/>
          <w:szCs w:val="28"/>
          <w:rtl w:val="true"/>
          <w:lang w:bidi="fa-IR"/>
        </w:rPr>
        <w:t>میان بول حیوان حلال گوشت و حرام گوشت فرق گذاشته‌اند و تنها بر حرمت تکلیفی و وضعی کسب درآمد با بول حیوان حرام گوشت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فقهای معاصر، بزرگانی همچون محقّق خویی قدس سره بر این باورند که معاوضه و اکتساب با بول حیوان حرام گوشت نیز حرام نیست و دایر مدار غرض متعاملین است</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برای روشن شدن موضوع، مطالب این فصل را در دو مبحث پی‌گیری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اوّل، دربارۀ حکم معاوضه و اکتساب با بول حیوان حرام گوشت گفتگو می‌کنیم و در مبحث دوم، به بررسی حکم معاملۀ بول حیوان حلال گوشت خواهیم پرداخت</w:t>
      </w:r>
      <w:r>
        <w:rPr>
          <w:rFonts w:eastAsia="IRNazanin" w:cs="IRNazanin"/>
          <w:color w:val="111111"/>
          <w:sz w:val="28"/>
          <w:szCs w:val="28"/>
          <w:rtl w:val="true"/>
          <w:lang w:bidi="fa-IR"/>
        </w:rPr>
        <w:t>.</w:t>
      </w:r>
    </w:p>
    <w:p>
      <w:pPr>
        <w:pStyle w:val="Heading4"/>
        <w:numPr>
          <w:ilvl w:val="3"/>
          <w:numId w:val="1"/>
        </w:numPr>
        <w:rPr/>
      </w:pPr>
      <w:bookmarkStart w:id="367" w:name="__RefHeading___Toc2530971_1468164448"/>
      <w:bookmarkStart w:id="368" w:name="_Toc141"/>
      <w:bookmarkEnd w:id="367"/>
      <w:r>
        <w:rPr>
          <w:rtl w:val="true"/>
        </w:rPr>
        <w:t>گفتار اوّل</w:t>
      </w:r>
      <w:r>
        <w:rPr>
          <w:rtl w:val="true"/>
        </w:rPr>
        <w:t xml:space="preserve">: </w:t>
      </w:r>
      <w:r>
        <w:rPr>
          <w:rtl w:val="true"/>
        </w:rPr>
        <w:t>معاملۀ بول حیوان حرام گوشت</w:t>
      </w:r>
      <w:bookmarkEnd w:id="368"/>
    </w:p>
    <w:p>
      <w:pPr>
        <w:pStyle w:val="Heading5"/>
        <w:numPr>
          <w:ilvl w:val="4"/>
          <w:numId w:val="1"/>
        </w:numPr>
        <w:rPr/>
      </w:pPr>
      <w:bookmarkStart w:id="369" w:name="__RefHeading___Toc2530973_1468164448"/>
      <w:bookmarkStart w:id="370" w:name="_Toc142"/>
      <w:bookmarkEnd w:id="369"/>
      <w:r>
        <w:rPr>
          <w:rtl w:val="true"/>
        </w:rPr>
        <w:t>اشارة</w:t>
      </w:r>
      <w:bookmarkEnd w:id="370"/>
    </w:p>
    <w:p>
      <w:pPr>
        <w:pStyle w:val="BookText"/>
        <w:rPr/>
      </w:pPr>
      <w:r>
        <w:rPr>
          <w:rFonts w:ascii="IRNazanin" w:hAnsi="IRNazanin" w:eastAsia="IRNazanin"/>
          <w:color w:val="111111"/>
          <w:sz w:val="28"/>
          <w:sz w:val="28"/>
          <w:szCs w:val="28"/>
          <w:rtl w:val="true"/>
          <w:lang w:bidi="fa-IR"/>
        </w:rPr>
        <w:t>باور بیشتر فقها این است که معاملۀ بول حیوان حرام گوشت، حرمت وضعی و تکلیفی دارد؛ لیکن ایشان ادلّۀ گوناگونی را برای اثابت این ادّعا ارائه کرده‌اند که باید به بررسی آنها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ابتدا کلمات فقها را مورد بررسی قرار داده و سپس دیدگاه خود را بیان می‌کنیم</w:t>
      </w:r>
      <w:r>
        <w:rPr>
          <w:rFonts w:eastAsia="IRNazanin" w:cs="IRNazanin"/>
          <w:color w:val="111111"/>
          <w:sz w:val="28"/>
          <w:szCs w:val="28"/>
          <w:rtl w:val="true"/>
          <w:lang w:bidi="fa-IR"/>
        </w:rPr>
        <w:t>.</w:t>
      </w:r>
    </w:p>
    <w:p>
      <w:pPr>
        <w:pStyle w:val="Heading5"/>
        <w:numPr>
          <w:ilvl w:val="4"/>
          <w:numId w:val="1"/>
        </w:numPr>
        <w:rPr/>
      </w:pPr>
      <w:bookmarkStart w:id="371" w:name="__RefHeading___Toc2530975_1468164448"/>
      <w:bookmarkStart w:id="372" w:name="_Toc143"/>
      <w:bookmarkEnd w:id="371"/>
      <w:r>
        <w:rPr>
          <w:rtl w:val="true"/>
        </w:rPr>
        <w:t>بند اوّل</w:t>
      </w:r>
      <w:r>
        <w:rPr>
          <w:rtl w:val="true"/>
        </w:rPr>
        <w:t xml:space="preserve">: </w:t>
      </w:r>
      <w:r>
        <w:rPr>
          <w:rtl w:val="true"/>
        </w:rPr>
        <w:t>دیدگاه شیخ انصاری</w:t>
      </w:r>
      <w:bookmarkEnd w:id="372"/>
    </w:p>
    <w:p>
      <w:pPr>
        <w:pStyle w:val="BookText"/>
        <w:rPr/>
      </w:pPr>
      <w:r>
        <w:rPr>
          <w:rFonts w:ascii="IRNazanin" w:hAnsi="IRNazanin" w:eastAsia="IRNazanin"/>
          <w:color w:val="111111"/>
          <w:sz w:val="28"/>
          <w:sz w:val="28"/>
          <w:szCs w:val="28"/>
          <w:rtl w:val="true"/>
          <w:lang w:bidi="fa-IR"/>
        </w:rPr>
        <w:t>چنانچه در سرآغاز فصل گذشت، شیخ انصاری قدس سره معاوضۀ بول حیوان حرام گوشت را حرام می‌داند و برای اثبات نظر خود، پس از ادّعای اجماع و عدم خلاف، به سه دلیل استناد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دلیل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نجاست و عدم منفعت حلال در بول</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قدس سره به عنوان اولین دلیل، به این مطلب اشاره می‌کند که نوشیدن بول</w:t>
      </w:r>
      <w:bookmarkStart w:id="373" w:name="pg13785_135018"/>
    </w:p>
    <w:p>
      <w:pPr>
        <w:pStyle w:val="BookText"/>
        <w:rPr/>
      </w:pPr>
      <w:bookmarkEnd w:id="373"/>
      <w:r>
        <w:rPr>
          <w:rFonts w:ascii="IRNazanin" w:hAnsi="IRNazanin" w:eastAsia="IRNazanin"/>
          <w:color w:val="111111"/>
          <w:sz w:val="28"/>
          <w:sz w:val="28"/>
          <w:szCs w:val="28"/>
          <w:rtl w:val="true"/>
          <w:lang w:bidi="fa-IR"/>
        </w:rPr>
        <w:t>حیوان حرام گوشت،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معاوضۀ آن نیز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ایشان، این است که بول حیوان حرام گوشت،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سومین دلیلی که شیخ انصاری قدس سره برای اثبات حرمت معامله به آن استناد می‌کند، عدم وجود منفعت محلّل برای بول حیوان حرام گوشت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نکتۀ دیگر این‌که شیخ انصاری قدس سره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المعاوضة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 و این عبارت، بیع، اجاره، رهن، هبه و هر معامله‌ای را که عنوان معاوضه دارد،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نیز ایشان استثنایی را مطرح کرده است که دو احتمال در مورد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عدا بعض أفراده کبول الإبل الجلّالة أو الموطوئة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بعضی از افراد بول از دایرۀ حرمت خارج‌اند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عبارت استثنای از عدم انتفاع باشد؛ یعنی بول حیوان حرام گوشت، منفعت محلّل ندارد، مگر بول شتر جلّاله که می‌توان برای آن، منفعتی را فرض کرد</w:t>
      </w:r>
      <w:r>
        <w:rPr>
          <w:rFonts w:eastAsia="IRNazanin" w:cs="IRNazanin"/>
          <w:color w:val="111111"/>
          <w:sz w:val="28"/>
          <w:szCs w:val="28"/>
          <w:rtl w:val="true"/>
          <w:lang w:bidi="fa-IR"/>
        </w:rPr>
        <w:t>.</w:t>
      </w:r>
    </w:p>
    <w:p>
      <w:pPr>
        <w:pStyle w:val="Heading5"/>
        <w:numPr>
          <w:ilvl w:val="4"/>
          <w:numId w:val="1"/>
        </w:numPr>
        <w:rPr/>
      </w:pPr>
      <w:bookmarkStart w:id="374" w:name="__RefHeading___Toc2530977_1468164448"/>
      <w:bookmarkStart w:id="375" w:name="_Toc144"/>
      <w:bookmarkEnd w:id="374"/>
      <w:r>
        <w:rPr>
          <w:rtl w:val="true"/>
        </w:rPr>
        <w:t>بند دوم</w:t>
      </w:r>
      <w:r>
        <w:rPr>
          <w:rtl w:val="true"/>
        </w:rPr>
        <w:t xml:space="preserve">: </w:t>
      </w:r>
      <w:r>
        <w:rPr>
          <w:rtl w:val="true"/>
        </w:rPr>
        <w:t>دیدگاه محقّق نائینی</w:t>
      </w:r>
      <w:bookmarkEnd w:id="375"/>
    </w:p>
    <w:p>
      <w:pPr>
        <w:pStyle w:val="BookText"/>
        <w:rPr/>
      </w:pPr>
      <w:r>
        <w:rPr>
          <w:rFonts w:ascii="IRNazanin" w:hAnsi="IRNazanin" w:eastAsia="IRNazanin"/>
          <w:color w:val="111111"/>
          <w:sz w:val="28"/>
          <w:sz w:val="28"/>
          <w:szCs w:val="28"/>
          <w:rtl w:val="true"/>
          <w:lang w:bidi="fa-IR"/>
        </w:rPr>
        <w:t>محقّق نائینی قدس سره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یجوز بیع الأعیان النّجسة ولا سائر أنحاء المعاملات من غیر فرق بین أن یکون حیواناً أو مبدأ حیوان کالکلب والخنزیر والمنیّ وغیره، ومن غیر فرق بین أن یکون مائعاً کالخمر والدّم والبول وأن یکون جامداً کجلد المیتة والعذرة واللّحوم المحرّمة النّجسة؛ ویدلّ علیه النبویّ المعمول به عند الفریقین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إذا حرّم شیئاً حرّم ثمنه</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محقّق نائینی قدس سره معتقد است که بیع و هرگونه معاملۀ اعیان نجس،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تفاوتی نمی‌کند که عین نجس، حیوان باشد یا منشأ حیوان، مایع باشد یا 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اثبات این ادّعا به روایت</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حَرَّمَ شیئاً حَرَّمَ ثَمَنَه</w:t>
      </w:r>
      <w:r>
        <w:rPr>
          <w:rFonts w:eastAsia="Amiri" w:cs="Amiri" w:ascii="Amiri" w:hAnsi="Amiri"/>
          <w:color w:val="111111"/>
          <w:sz w:val="28"/>
          <w:szCs w:val="28"/>
          <w:rtl w:val="true"/>
          <w:lang w:bidi="ar-SA"/>
        </w:rPr>
        <w:t>»</w:t>
      </w:r>
      <w:r>
        <w:rPr>
          <w:rStyle w:val="FootnoteAnchor"/>
          <w:rtl w:val="true"/>
        </w:rPr>
        <w:footnoteReference w:id="259"/>
      </w:r>
      <w:r>
        <w:rPr>
          <w:rFonts w:ascii="IRNazanin" w:hAnsi="IRNazanin" w:eastAsia="IRNazanin"/>
          <w:color w:val="111111"/>
          <w:sz w:val="28"/>
          <w:sz w:val="28"/>
          <w:szCs w:val="28"/>
          <w:rtl w:val="true"/>
          <w:lang w:bidi="fa-IR"/>
        </w:rPr>
        <w:t>استناد</w:t>
      </w:r>
      <w:bookmarkStart w:id="376" w:name="pg13785_135019"/>
    </w:p>
    <w:p>
      <w:pPr>
        <w:pStyle w:val="BookText"/>
        <w:rPr/>
      </w:pPr>
      <w:bookmarkEnd w:id="376"/>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ایشان نجاست و عدم منفعت عقلایی را دلیل حرمت نمی‌داند و حتّی در ادامه اظهار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معاوضۀ عذره با وجود منافع مهم و عام آن، حرام است</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یعنی طبق نظر ایشان، صرف وجود منفعت عقلایی، موجب جواز معامله نمی‌شود؛ زیرا خوردن و آشامیدن عذره و بول، حرام است و با توجّه به اطلاق روایت، معاملۀ آنها نیز حرام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در فصل اوّل و در میان روایات عام،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سند این روایت را بپذیرد، استدلال به آن تمام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همان‌گونه که پیش از این بیان شد،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به معامله اشاره دارد و در مقابل مثمن نیست؛ یعنی مطابق این روایت اگر چیزی حرام باشد، معاملۀ آن حرام خواهد بود و محقّق نائینی قدس سره نیز به این اطلاق تمسّک کرده‌است</w:t>
      </w:r>
      <w:r>
        <w:rPr>
          <w:rFonts w:eastAsia="IRNazanin" w:cs="IRNazanin"/>
          <w:color w:val="111111"/>
          <w:sz w:val="28"/>
          <w:szCs w:val="28"/>
          <w:rtl w:val="true"/>
          <w:lang w:bidi="fa-IR"/>
        </w:rPr>
        <w:t>.</w:t>
      </w:r>
    </w:p>
    <w:p>
      <w:pPr>
        <w:pStyle w:val="Heading5"/>
        <w:numPr>
          <w:ilvl w:val="4"/>
          <w:numId w:val="1"/>
        </w:numPr>
        <w:rPr/>
      </w:pPr>
      <w:bookmarkStart w:id="377" w:name="__RefHeading___Toc2530979_1468164448"/>
      <w:bookmarkStart w:id="378" w:name="_Toc145"/>
      <w:bookmarkEnd w:id="377"/>
      <w:r>
        <w:rPr>
          <w:rtl w:val="true"/>
        </w:rPr>
        <w:t>بند سوم</w:t>
      </w:r>
      <w:r>
        <w:rPr>
          <w:rtl w:val="true"/>
        </w:rPr>
        <w:t xml:space="preserve">: </w:t>
      </w:r>
      <w:r>
        <w:rPr>
          <w:rtl w:val="true"/>
        </w:rPr>
        <w:t>دیدگاه محقّق حلّی</w:t>
      </w:r>
      <w:bookmarkEnd w:id="378"/>
    </w:p>
    <w:p>
      <w:pPr>
        <w:pStyle w:val="BookText"/>
        <w:rPr/>
      </w:pPr>
      <w:r>
        <w:rPr>
          <w:rFonts w:ascii="IRNazanin" w:hAnsi="IRNazanin" w:eastAsia="IRNazanin"/>
          <w:color w:val="111111"/>
          <w:sz w:val="28"/>
          <w:sz w:val="28"/>
          <w:szCs w:val="28"/>
          <w:rtl w:val="true"/>
          <w:lang w:bidi="fa-IR"/>
        </w:rPr>
        <w:t>محقّق حلّی قدس سره در کتاب شرائع، یکی از انواع معاملات محرّمه را معاملۀ اعیان نجس می‌داند و در تبیین این مطلب اظهار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الأعیان النجسة‌کالخمرة والأنبذة والفقّاع وکل مائع نجس عدا الأدهان لفائدة الإستصباح بها تحت السماء والمیتة والدم وأرواث وأبوال 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قیل بتحریم الأبوال کلّها إلّابول الإبل خاصّة والأوّل أشبه والخنزیر وجمیع أجزائه وجلد الکلب وما یکون منه</w:t>
      </w:r>
      <w:r>
        <w:rPr>
          <w:rFonts w:eastAsia="IRNazanin" w:cs="IRNazanin"/>
          <w:color w:val="111111"/>
          <w:sz w:val="28"/>
          <w:szCs w:val="28"/>
          <w:rtl w:val="true"/>
          <w:lang w:bidi="fa-IR"/>
        </w:rPr>
        <w:t>.</w:t>
      </w:r>
      <w:r>
        <w:rPr>
          <w:rStyle w:val="FootnoteAnchor"/>
          <w:rtl w:val="true"/>
        </w:rPr>
        <w:footnoteReference w:id="261"/>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معاملۀ بول حیوان حرام گوشت را حرام می‌داند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قائل‌اند که معاملۀ ابوال به‌طور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 حیوان حلال گوشت و حرام گوشت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 تنها استثنای آن، بول 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دیدگاه نخست و این‌که تنها معاملۀ بول حیوان حرام گوشت حرام است را به قواعد مذهب و ادلّه، نزدیک‌تر می‌داند</w:t>
      </w:r>
      <w:r>
        <w:rPr>
          <w:rFonts w:eastAsia="IRNazanin" w:cs="IRNazanin"/>
          <w:color w:val="111111"/>
          <w:sz w:val="28"/>
          <w:szCs w:val="28"/>
          <w:rtl w:val="true"/>
          <w:lang w:bidi="fa-IR"/>
        </w:rPr>
        <w:t>.</w:t>
      </w:r>
      <w:bookmarkStart w:id="379" w:name="pg13785_135020"/>
    </w:p>
    <w:p>
      <w:pPr>
        <w:pStyle w:val="Heading5"/>
        <w:numPr>
          <w:ilvl w:val="4"/>
          <w:numId w:val="1"/>
        </w:numPr>
        <w:rPr/>
      </w:pPr>
      <w:bookmarkStart w:id="380" w:name="__RefHeading___Toc2530981_1468164448"/>
      <w:bookmarkStart w:id="381" w:name="_Toc146"/>
      <w:bookmarkEnd w:id="379"/>
      <w:bookmarkEnd w:id="380"/>
      <w:r>
        <w:rPr>
          <w:rtl w:val="true"/>
        </w:rPr>
        <w:t>بند چهارم</w:t>
      </w:r>
      <w:r>
        <w:rPr>
          <w:rtl w:val="true"/>
        </w:rPr>
        <w:t xml:space="preserve">: </w:t>
      </w:r>
      <w:r>
        <w:rPr>
          <w:rtl w:val="true"/>
        </w:rPr>
        <w:t>دیدگاه صاحب جواهر</w:t>
      </w:r>
      <w:bookmarkEnd w:id="381"/>
    </w:p>
    <w:p>
      <w:pPr>
        <w:pStyle w:val="BookText"/>
        <w:rPr/>
      </w:pPr>
      <w:r>
        <w:rPr>
          <w:rFonts w:ascii="IRNazanin" w:hAnsi="IRNazanin" w:eastAsia="IRNazanin"/>
          <w:color w:val="111111"/>
          <w:sz w:val="28"/>
          <w:sz w:val="28"/>
          <w:szCs w:val="28"/>
          <w:rtl w:val="true"/>
          <w:lang w:bidi="fa-IR"/>
        </w:rPr>
        <w:t>صاحب جواهر قدس سره، معاوضۀ بول حیوان حرام گوشت را حرام می‌داند و در مقام استدلال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أخرجها الشارع عن حکم التموّل وقد عرفت عدم جواز الإنتفاع بها علی وجه یجوز التکسّب بها، بلا خلاف معتدٍّ به، بل الإجماع بقسمیه بل المنقول منهما مستفیض، بل هی یعنی عذرة والأبوال والدماء لیست من المتموّلات عرفاً؛</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شارع بول حیوان حرام گوشت را از حکم مالیت خارج کرده است و پیش‌تر دانستیم که انتفاع از آن به گونه‌ای که کسب درآمد از آن جایز باشد،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خلافی وجود ندارد و بلکه اجماع محصّل و منقول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حتّی اجماع منقول آن، مستفیض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آن این است که عذره و ابوال و خون‌ها، حتّی از نظر عرفی هم مال شمرده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ایشان برای اثبات حرمت معاوضۀ بول حیوان حرام گوشت به اجماع، خروج از مالیّت شرعیه، عدم منفعت محلّل و عدم مالیّت عرفی بول، استدلال کرده و سخنی از نجاست و حرمت بول به میان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مالیّت شرعی بول که صاحب جواهر قدس سره به آن اشاره کرده، به دلیل نجاست آن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ملازمه‌ای میان نجاست و عدم مالیّت شرعی وجود ندارد و برخی از اشیای نجس، مانند خون، دارای مالیّت شرعی‌اند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با توجّه به همین نکته است که ایشان پس از بیان عدم مالیّت شرعی بول، از سخن خود اضراب کرده و قائل به عدم مالیّت عرفی بول شده است و عدم تحقّق ضمان در مورد تلف یا سرقت بول حیوان حرام گوشت را شاهدی بر عدم مالیّت عرفی بول دانسته است؛ چراکه تحقّق ضمان، منوط به مالیّت داشتن شیء تلف شده است</w:t>
      </w:r>
      <w:r>
        <w:rPr>
          <w:rFonts w:eastAsia="IRNazanin" w:cs="IRNazanin"/>
          <w:color w:val="111111"/>
          <w:sz w:val="28"/>
          <w:szCs w:val="28"/>
          <w:rtl w:val="true"/>
          <w:lang w:bidi="fa-IR"/>
        </w:rPr>
        <w:t>.</w:t>
      </w:r>
      <w:bookmarkStart w:id="382" w:name="pg13785_135021"/>
    </w:p>
    <w:p>
      <w:pPr>
        <w:pStyle w:val="BookText"/>
        <w:rPr/>
      </w:pPr>
      <w:bookmarkEnd w:id="382"/>
      <w:r>
        <w:rPr>
          <w:rFonts w:ascii="IRNazanin" w:hAnsi="IRNazanin" w:eastAsia="IRNazanin"/>
          <w:color w:val="111111"/>
          <w:sz w:val="28"/>
          <w:sz w:val="28"/>
          <w:szCs w:val="28"/>
          <w:rtl w:val="true"/>
          <w:lang w:bidi="fa-IR"/>
        </w:rPr>
        <w:t>به نظر می‌رسد که عدم مالیّت عرفی و عدم منفعت محلّل، موجب بطلان معامله می‌شود، نه حرمت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نه تنها نجاست، بلکه عدم تموّل شرعی و عرفی و عدم منفعت محلّل نیز سبب حرمت معامله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تنها دلیل قابل قبول که تا کنون مورد بررسی قرار داده‌ایم، مسئلۀ اجماع است؛ چراکه فقهای امامیّه بر حرمت معاملۀ بول حیوان حرام گوشت، اجماع دارند</w:t>
      </w:r>
      <w:r>
        <w:rPr>
          <w:rFonts w:eastAsia="IRNazanin" w:cs="IRNazanin"/>
          <w:color w:val="111111"/>
          <w:sz w:val="28"/>
          <w:szCs w:val="28"/>
          <w:rtl w:val="true"/>
          <w:lang w:bidi="fa-IR"/>
        </w:rPr>
        <w:t>.</w:t>
      </w:r>
    </w:p>
    <w:p>
      <w:pPr>
        <w:pStyle w:val="Heading5"/>
        <w:numPr>
          <w:ilvl w:val="4"/>
          <w:numId w:val="1"/>
        </w:numPr>
        <w:rPr/>
      </w:pPr>
      <w:bookmarkStart w:id="383" w:name="__RefHeading___Toc2530983_1468164448"/>
      <w:bookmarkStart w:id="384" w:name="_Toc147"/>
      <w:bookmarkEnd w:id="383"/>
      <w:r>
        <w:rPr>
          <w:rtl w:val="true"/>
        </w:rPr>
        <w:t>بند پنجم</w:t>
      </w:r>
      <w:r>
        <w:rPr>
          <w:rtl w:val="true"/>
        </w:rPr>
        <w:t xml:space="preserve">: </w:t>
      </w:r>
      <w:r>
        <w:rPr>
          <w:rtl w:val="true"/>
        </w:rPr>
        <w:t>دیدگاه محقّق خویی</w:t>
      </w:r>
      <w:bookmarkEnd w:id="384"/>
    </w:p>
    <w:p>
      <w:pPr>
        <w:pStyle w:val="Heading6"/>
        <w:numPr>
          <w:ilvl w:val="5"/>
          <w:numId w:val="1"/>
        </w:numPr>
        <w:rPr/>
      </w:pPr>
      <w:bookmarkStart w:id="385" w:name="__RefHeading___Toc2530985_1468164448"/>
      <w:bookmarkStart w:id="386" w:name="_Toc148"/>
      <w:bookmarkEnd w:id="385"/>
      <w:r>
        <w:rPr>
          <w:rtl w:val="true"/>
        </w:rPr>
        <w:t>اشارة</w:t>
      </w:r>
      <w:bookmarkEnd w:id="386"/>
    </w:p>
    <w:p>
      <w:pPr>
        <w:pStyle w:val="BookText"/>
        <w:rPr/>
      </w:pPr>
      <w:r>
        <w:rPr>
          <w:rFonts w:ascii="IRNazanin" w:hAnsi="IRNazanin" w:eastAsia="IRNazanin"/>
          <w:color w:val="111111"/>
          <w:sz w:val="28"/>
          <w:sz w:val="28"/>
          <w:szCs w:val="28"/>
          <w:rtl w:val="true"/>
          <w:lang w:bidi="fa-IR"/>
        </w:rPr>
        <w:t>ایشان معتقد به عدم حرمت وضعی و تکلیفی معاوضۀ بول حیوان حرام گوشت است و ادلّۀ قائلین به حرمت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خدشه در اجماع به خاطر مدرکی بودن آن و خدشه در سند و دلالت روایت نبوی، تنها دلیل باقیمانده برای قائلین به حرمت معاوضه را عدم انتفاع عقلایی می‌داند، با این بیان که عدم انتفاع عقلایی ملازم با عدم مالیّت بوده و عدم مالیّت نیز موجب بطلان معاوضه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بیان چهار مطلب، نتیجه می‌گیرد که عدم مالیّت نیز موجب بطلان معامله نمی‌شود و از این رو، چنین معامله‌ای وضعاً و تکلیفاً حرام نیست</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ما در ادامه این چهار مطلب را مورد بررسی قرار می‌دهیم</w:t>
      </w:r>
      <w:r>
        <w:rPr>
          <w:rFonts w:eastAsia="IRNazanin" w:cs="IRNazanin"/>
          <w:color w:val="111111"/>
          <w:sz w:val="28"/>
          <w:szCs w:val="28"/>
          <w:rtl w:val="true"/>
          <w:lang w:bidi="fa-IR"/>
        </w:rPr>
        <w:t>:</w:t>
      </w:r>
    </w:p>
    <w:p>
      <w:pPr>
        <w:pStyle w:val="Heading6"/>
        <w:numPr>
          <w:ilvl w:val="5"/>
          <w:numId w:val="1"/>
        </w:numPr>
        <w:rPr/>
      </w:pPr>
      <w:bookmarkStart w:id="387" w:name="__RefHeading___Toc2530987_1468164448"/>
      <w:bookmarkStart w:id="388" w:name="_Toc149"/>
      <w:bookmarkEnd w:id="387"/>
      <w:r>
        <w:rPr/>
        <w:t>1</w:t>
      </w:r>
      <w:r>
        <w:rPr>
          <w:rtl w:val="true"/>
        </w:rPr>
        <w:t xml:space="preserve">- </w:t>
      </w:r>
      <w:r>
        <w:rPr>
          <w:rtl w:val="true"/>
        </w:rPr>
        <w:t>عدم اعتبار مالیّت در بیع</w:t>
      </w:r>
      <w:bookmarkEnd w:id="388"/>
    </w:p>
    <w:p>
      <w:pPr>
        <w:pStyle w:val="BookText"/>
        <w:rPr/>
      </w:pPr>
      <w:r>
        <w:rPr>
          <w:rFonts w:ascii="IRNazanin" w:hAnsi="IRNazanin" w:eastAsia="IRNazanin"/>
          <w:color w:val="111111"/>
          <w:sz w:val="28"/>
          <w:sz w:val="28"/>
          <w:szCs w:val="28"/>
          <w:rtl w:val="true"/>
          <w:lang w:bidi="fa-IR"/>
        </w:rPr>
        <w:t>محقّق خویی قدس سره معتقد است که دلیلی برای معتبر دانستن مالیّت در بیع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ایشان نیازی نیست که عوضین در معامله، از نظر عقلایی مالیّت داشته باشند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دربارۀ سخن شیخ انصاری قدس سره</w:t>
      </w:r>
      <w:r>
        <w:rPr>
          <w:rStyle w:val="FootnoteAnchor"/>
          <w:rtl w:val="true"/>
        </w:rPr>
        <w:footnoteReference w:id="264"/>
      </w:r>
      <w:r>
        <w:rPr>
          <w:rFonts w:ascii="IRNazanin" w:hAnsi="IRNazanin" w:eastAsia="IRNazanin"/>
          <w:color w:val="111111"/>
          <w:sz w:val="28"/>
          <w:sz w:val="28"/>
          <w:szCs w:val="28"/>
          <w:rtl w:val="true"/>
          <w:lang w:bidi="fa-IR"/>
        </w:rPr>
        <w:t>در کتاب المکاسب که به نقل از مصباح،</w:t>
      </w:r>
      <w:r>
        <w:rPr>
          <w:rStyle w:val="FootnoteAnchor"/>
          <w:rtl w:val="true"/>
        </w:rPr>
        <w:footnoteReference w:id="265"/>
      </w:r>
      <w:r>
        <w:rPr>
          <w:rFonts w:ascii="IRNazanin" w:hAnsi="IRNazanin" w:eastAsia="IRNazanin"/>
          <w:color w:val="111111"/>
          <w:sz w:val="28"/>
          <w:sz w:val="28"/>
          <w:szCs w:val="28"/>
          <w:rtl w:val="true"/>
          <w:lang w:bidi="fa-IR"/>
        </w:rPr>
        <w:t xml:space="preserve">بیع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مبادلة مال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تعریف، لغوی است، اعتباری ندارد؛ چراکه سخن لغوی برای فقیه حجّت نیست</w:t>
      </w:r>
      <w:r>
        <w:rPr>
          <w:rFonts w:eastAsia="IRNazanin" w:cs="IRNazanin"/>
          <w:color w:val="111111"/>
          <w:sz w:val="28"/>
          <w:szCs w:val="28"/>
          <w:rtl w:val="true"/>
          <w:lang w:bidi="fa-IR"/>
        </w:rPr>
        <w:t>.</w:t>
      </w:r>
      <w:bookmarkStart w:id="389" w:name="pg13785_135022"/>
    </w:p>
    <w:p>
      <w:pPr>
        <w:pStyle w:val="Heading6"/>
        <w:numPr>
          <w:ilvl w:val="5"/>
          <w:numId w:val="1"/>
        </w:numPr>
        <w:rPr/>
      </w:pPr>
      <w:bookmarkStart w:id="390" w:name="__RefHeading___Toc2530989_1468164448"/>
      <w:bookmarkStart w:id="391" w:name="_Toc150"/>
      <w:bookmarkEnd w:id="389"/>
      <w:bookmarkEnd w:id="390"/>
      <w:r>
        <w:rPr/>
        <w:t>2</w:t>
      </w:r>
      <w:r>
        <w:rPr>
          <w:rtl w:val="true"/>
        </w:rPr>
        <w:t xml:space="preserve">- </w:t>
      </w:r>
      <w:r>
        <w:rPr>
          <w:rtl w:val="true"/>
        </w:rPr>
        <w:t>مالیّت داشتن بول حیوان حرام گوشت</w:t>
      </w:r>
      <w:bookmarkEnd w:id="391"/>
    </w:p>
    <w:p>
      <w:pPr>
        <w:pStyle w:val="BookText"/>
        <w:rPr/>
      </w:pPr>
      <w:r>
        <w:rPr>
          <w:rFonts w:ascii="IRNazanin" w:hAnsi="IRNazanin" w:eastAsia="IRNazanin"/>
          <w:color w:val="111111"/>
          <w:sz w:val="28"/>
          <w:sz w:val="28"/>
          <w:szCs w:val="28"/>
          <w:rtl w:val="true"/>
          <w:lang w:bidi="fa-IR"/>
        </w:rPr>
        <w:t>محقّق خویی قدس سره با این فرض که مالیّت داشتن مورد معامله در بیع و معاوضه، معتبر و لازم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و با توجّه به شرایط زمانی و مکانی، بول حیوان حرام گوشت ارزش مالی دارد و مال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مکانی که کمبود آب وجود دارد و برای ساختن بنا نیاز به آب است، می‌توان بول را مال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مالیّت بول با توجّه به مکان و زمان سنجیده می‌شود و همان گونه که در مناطق پر آب، بول مالیّت ندارد، در مناطق کم آب و برای اموری از قبیل کارهای ساختمانی یا ساخت انواع داروها، بول دارای ارزش مالی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همچنین سخن کسانی را که معتقدند شارع مالیّت را از بول حیوان حرام گوشت ساقط کرده است، بدون دلیل می‌داند و حرمت شرب بول را به عنوان دلیلی برای عدم مالیّت شرعی آن کافی نمی‌داند،</w:t>
      </w:r>
      <w:r>
        <w:rPr>
          <w:rStyle w:val="FootnoteAnchor"/>
          <w:rtl w:val="true"/>
        </w:rPr>
        <w:footnoteReference w:id="266"/>
      </w:r>
      <w:r>
        <w:rPr>
          <w:rFonts w:ascii="IRNazanin" w:hAnsi="IRNazanin" w:eastAsia="IRNazanin"/>
          <w:color w:val="111111"/>
          <w:sz w:val="28"/>
          <w:sz w:val="28"/>
          <w:szCs w:val="28"/>
          <w:rtl w:val="true"/>
          <w:lang w:bidi="fa-IR"/>
        </w:rPr>
        <w:t>به این بیان که مالیّت دایر مدار جواز شرب نیست و منفعت بول نیز منحصر در شرب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شرب بول حیوان حرام گوشت حرام است، از مالیّت خارج می‌شود</w:t>
      </w:r>
      <w:r>
        <w:rPr>
          <w:rFonts w:eastAsia="IRNazanin" w:cs="IRNazanin"/>
          <w:color w:val="111111"/>
          <w:sz w:val="28"/>
          <w:szCs w:val="28"/>
          <w:rtl w:val="true"/>
          <w:lang w:bidi="fa-IR"/>
        </w:rPr>
        <w:t>.</w:t>
      </w:r>
    </w:p>
    <w:p>
      <w:pPr>
        <w:pStyle w:val="Heading6"/>
        <w:numPr>
          <w:ilvl w:val="5"/>
          <w:numId w:val="1"/>
        </w:numPr>
        <w:rPr/>
      </w:pPr>
      <w:bookmarkStart w:id="392" w:name="__RefHeading___Toc2530991_1468164448"/>
      <w:bookmarkStart w:id="393" w:name="_Toc151"/>
      <w:bookmarkEnd w:id="392"/>
      <w:r>
        <w:rPr/>
        <w:t>3</w:t>
      </w:r>
      <w:r>
        <w:rPr>
          <w:rtl w:val="true"/>
        </w:rPr>
        <w:t xml:space="preserve">- </w:t>
      </w:r>
      <w:r>
        <w:rPr>
          <w:rtl w:val="true"/>
        </w:rPr>
        <w:t>مال بودن نزد متعاملین کافی است</w:t>
      </w:r>
      <w:bookmarkEnd w:id="393"/>
    </w:p>
    <w:p>
      <w:pPr>
        <w:pStyle w:val="BookText"/>
        <w:rPr/>
      </w:pPr>
      <w:r>
        <w:rPr>
          <w:rFonts w:ascii="IRNazanin" w:hAnsi="IRNazanin" w:eastAsia="IRNazanin"/>
          <w:color w:val="111111"/>
          <w:sz w:val="28"/>
          <w:sz w:val="28"/>
          <w:szCs w:val="28"/>
          <w:rtl w:val="true"/>
          <w:lang w:bidi="fa-IR"/>
        </w:rPr>
        <w:t>محقّق خویی قدس سره در مطلب سوم، با فرض معتبر دانستن مالیّت شیء در صحّت معامله،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مورد معامله نزد دو طرف معامله دارای ارزش مالی باشد، معامله صحیح خواهد بود، هرچند مورد معامله نزد عرف و عقلا مالیّت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ایشان لباس کهنۀ پدر فوت کرده را قابل معامله بین دو برادر می‌داند؛ زیرا هرچند عرف این لباس را مال نمی‌داند، امّا از نظر این دو نفر دارای ارزش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حتّی اگر مالیّت را شرط بدانیم، سؤال این است که آیا مالیّت نزد عقلا شرط است، یا مالیّت نزد متعاملین کافی است؟ محقّق خویی قدس سره معتقد است که بر</w:t>
      </w:r>
      <w:bookmarkStart w:id="394" w:name="pg13785_135023"/>
    </w:p>
    <w:p>
      <w:pPr>
        <w:pStyle w:val="BookText"/>
        <w:rPr/>
      </w:pPr>
      <w:bookmarkEnd w:id="394"/>
      <w:r>
        <w:rPr>
          <w:rFonts w:ascii="IRNazanin" w:hAnsi="IRNazanin" w:eastAsia="IRNazanin"/>
          <w:color w:val="111111"/>
          <w:sz w:val="28"/>
          <w:sz w:val="28"/>
          <w:szCs w:val="28"/>
          <w:rtl w:val="true"/>
          <w:lang w:bidi="fa-IR"/>
        </w:rPr>
        <w:t>فرض معتبر دانست مالیّت، همین‌که چیزی نزد خریدار و فروشنده، مال شمرده شود کافی است</w:t>
      </w:r>
      <w:r>
        <w:rPr>
          <w:rFonts w:eastAsia="IRNazanin" w:cs="IRNazanin"/>
          <w:color w:val="111111"/>
          <w:sz w:val="28"/>
          <w:szCs w:val="28"/>
          <w:rtl w:val="true"/>
          <w:lang w:bidi="fa-IR"/>
        </w:rPr>
        <w:t>.</w:t>
      </w:r>
    </w:p>
    <w:p>
      <w:pPr>
        <w:pStyle w:val="Heading6"/>
        <w:numPr>
          <w:ilvl w:val="5"/>
          <w:numId w:val="1"/>
        </w:numPr>
        <w:rPr/>
      </w:pPr>
      <w:bookmarkStart w:id="395" w:name="__RefHeading___Toc2530993_1468164448"/>
      <w:bookmarkStart w:id="396" w:name="_Toc152"/>
      <w:bookmarkEnd w:id="395"/>
      <w:r>
        <w:rPr/>
        <w:t>4</w:t>
      </w:r>
      <w:r>
        <w:rPr>
          <w:rtl w:val="true"/>
        </w:rPr>
        <w:t xml:space="preserve">- </w:t>
      </w:r>
      <w:r>
        <w:rPr>
          <w:rtl w:val="true"/>
        </w:rPr>
        <w:t>عدم بطلان معاملۀ سفهی</w:t>
      </w:r>
      <w:bookmarkEnd w:id="396"/>
    </w:p>
    <w:p>
      <w:pPr>
        <w:pStyle w:val="BookText"/>
        <w:rPr/>
      </w:pPr>
      <w:r>
        <w:rPr>
          <w:rFonts w:ascii="IRNazanin" w:hAnsi="IRNazanin" w:eastAsia="IRNazanin"/>
          <w:color w:val="111111"/>
          <w:sz w:val="28"/>
          <w:sz w:val="28"/>
          <w:szCs w:val="28"/>
          <w:rtl w:val="true"/>
          <w:lang w:bidi="fa-IR"/>
        </w:rPr>
        <w:t>نکتۀ دیگری که محقّق خویی قدس سره برای اثبات مدّعای خود ذکر می‌کند این است که اگر بگوییم بول حیوان حرام گوشت نزد متعاملین نیز مالیّت ندارد، نهایتاً این معامله مصداق معاملۀ سفهی خواهد بود؛ لیکن دلیلی برای بطلان معاملۀ سفهی وجود ندارد؛ بلکه فقط معاملۀ انسان سفیهی که شرعاً محجور باشد،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دو طرف معامله سفیه نباشند، ولی به گونه‌ای معامله کنند که هیچ انسان عاقلی در حالت عادی حاضر به انجام آن نیست، هرچند این معامله سفهی است، لیکن دلیلی بر بطلان آن وجود ندارد، مانند این‌که فرشی با ارزش یک میلیون به مبلغ ده هزار تومان فروخته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نقد این سخن محقّق خویی قدس سره باید به این مطلب اشاره کنیم که مبنای ما در باب معاملات، پیروی از عقلا و عرف است؛ چراکه آیات شریفۀ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ادلّه‌ای امضایی بوده و آنچه را که نزد عقلا متعارف است، امضا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عقلا وجود مالیّت در عوضین را معتبر و معاملۀ سفهی را باطل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عقلا معاملۀ سکّۀ طلا در مقابل مقداری کاه را صحیح نمی‌دانند</w:t>
      </w:r>
      <w:r>
        <w:rPr>
          <w:rFonts w:eastAsia="IRNazanin" w:cs="IRNazanin"/>
          <w:color w:val="111111"/>
          <w:sz w:val="28"/>
          <w:szCs w:val="28"/>
          <w:rtl w:val="true"/>
          <w:lang w:bidi="fa-IR"/>
        </w:rPr>
        <w:t>.</w:t>
      </w:r>
    </w:p>
    <w:p>
      <w:pPr>
        <w:pStyle w:val="Heading5"/>
        <w:numPr>
          <w:ilvl w:val="4"/>
          <w:numId w:val="1"/>
        </w:numPr>
        <w:rPr/>
      </w:pPr>
      <w:bookmarkStart w:id="397" w:name="__RefHeading___Toc2530995_1468164448"/>
      <w:bookmarkStart w:id="398" w:name="_Toc153"/>
      <w:bookmarkEnd w:id="397"/>
      <w:r>
        <w:rPr>
          <w:rtl w:val="true"/>
        </w:rPr>
        <w:t>بند ششم</w:t>
      </w:r>
      <w:r>
        <w:rPr>
          <w:rtl w:val="true"/>
        </w:rPr>
        <w:t xml:space="preserve">: </w:t>
      </w:r>
      <w:r>
        <w:rPr>
          <w:rtl w:val="true"/>
        </w:rPr>
        <w:t>دیدگاه محقّق ایروانی</w:t>
      </w:r>
      <w:bookmarkEnd w:id="398"/>
    </w:p>
    <w:p>
      <w:pPr>
        <w:pStyle w:val="BookText"/>
        <w:rPr/>
      </w:pPr>
      <w:r>
        <w:rPr>
          <w:rFonts w:ascii="IRNazanin" w:hAnsi="IRNazanin" w:eastAsia="IRNazanin"/>
          <w:color w:val="111111"/>
          <w:sz w:val="28"/>
          <w:sz w:val="28"/>
          <w:szCs w:val="28"/>
          <w:rtl w:val="true"/>
          <w:lang w:bidi="fa-IR"/>
        </w:rPr>
        <w:t>ایشان برای اثبات حرمت وضعی معاوضۀ بول حیوان حرام گوشت، به آیۀ شریفۀ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تَأْکُلُوا أَمْوالَکُمْ بَیْنَکُمْ بِالْباطِلِ إِلاّ أَنْ تَکُونَ تِجارَةً عَنْ تَراضٍ</w:t>
      </w:r>
      <w:r>
        <w:rPr>
          <w:rFonts w:eastAsia="IRNazanin" w:cs="IRNazanin"/>
          <w:color w:val="111111"/>
          <w:sz w:val="28"/>
          <w:szCs w:val="28"/>
          <w:rtl w:val="true"/>
          <w:lang w:bidi="fa-IR"/>
        </w:rPr>
        <w:t>»</w:t>
      </w:r>
      <w:r>
        <w:rPr>
          <w:rFonts w:eastAsia="IRNazanin" w:cs="IRNazanin"/>
          <w:color w:val="111111"/>
          <w:sz w:val="28"/>
          <w:szCs w:val="28"/>
          <w:lang w:bidi="fa-IR"/>
        </w:rPr>
        <w:t>3</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استناد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عقیدۀ ایشان، باطل در این آیۀ شریفه، اعم از باطل شرعی و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اکتساب از طریق عنوانی که عرف آن را باطل می‌داند، مصداق أکل</w:t>
      </w:r>
    </w:p>
    <w:p>
      <w:pPr>
        <w:pStyle w:val="BookText"/>
        <w:rPr/>
      </w:pPr>
      <w:r>
        <w:rPr>
          <w:rFonts w:ascii="IRNazanin" w:hAnsi="IRNazanin" w:eastAsia="IRNazanin"/>
          <w:color w:val="111111"/>
          <w:sz w:val="28"/>
          <w:sz w:val="28"/>
          <w:szCs w:val="28"/>
          <w:rtl w:val="true"/>
          <w:lang w:bidi="fa-IR"/>
        </w:rPr>
        <w:t>مال به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توجّه به این‌که عرف بول حیوان حرام گوشت را مال نمی‌داند، معاملۀ آن مصداق آیه و باطل عرفی است</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به بیان دیگر، اگر به دست آوردن فلان مال از نظر عرف، باطل باشد و عرف بگوید این شخص استحقاق رسیدن به این مال را ندارد، ما به آن باطل عرفی می‌گوییم؛ ولی اگر در این آیه، باطل را اعم از باطل شرعی و عرفی بدانیم، آن‌گاه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از مصادیق اکل مال به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دریافت پول از مراجعه‌کننده، توسّط کارمندان ادارات در ازای انجام عملی که وظیفۀ آنها می‌باشد، از مصادیق باطل عرفی است؛ زیرا عرف آنها را مستحقّ این پول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دریافت این مبالغ توسّط کارمندان ادارات، عنوان اکل مال به باطل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کرد که نمی‌توان این عمل را دریافت رشوه تلقّی کرد؛ زیرا در فقه، رشوه تنها در باب قضاوت مطرح شده است و در غیر از باب قضاوت، دریافت و پرداخت مبالغی در ازای انجام برخی امور، عنوان رشوۀ فقهی را ندارد؛ بلکه مصداقی برای اکل مال به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نظر محقّق ایروانی قدس سره، برخی معتقدند که منظور از باطل در این آیه، باطل شرعی است؛ چراکه باء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باء سببیّت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بیان، این آیه از کسب مال به طریق و سببی که شرع، باطل می‌داند، نهی کرده است و اسباب باطل نیز مانند قمار، غصب، سرقت و مانند آن، محصور و محدود است که در آیه به آنها اشاره نشده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سخن محقّق ایروانی قدس سره که باطل را اعم از شرعی و عرفی می‌داند، صحیح است؛ یعنی آیه به دنبال اسباب شرعی نیست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اکتساب از راهی که عرف آن را باطل می‌داند،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دیدگاه، معاملاتی همچون شرکت‌های هرمی که امروزه در جامعه رواج یافته، باطل‌اند؛ چراکه در این گونه معاملات، افرادی که در ردۀ اوّل، دوم، سوم و چهارم‌اند، در قبال پیوستن افراد</w:t>
      </w:r>
      <w:bookmarkStart w:id="399" w:name="pg13785_135025"/>
    </w:p>
    <w:p>
      <w:pPr>
        <w:pStyle w:val="BookText"/>
        <w:rPr/>
      </w:pPr>
      <w:bookmarkEnd w:id="399"/>
      <w:r>
        <w:rPr>
          <w:rFonts w:ascii="IRNazanin" w:hAnsi="IRNazanin" w:eastAsia="IRNazanin"/>
          <w:color w:val="111111"/>
          <w:sz w:val="28"/>
          <w:sz w:val="28"/>
          <w:szCs w:val="28"/>
          <w:rtl w:val="true"/>
          <w:lang w:bidi="fa-IR"/>
        </w:rPr>
        <w:t>بعدی به مجموعه، پول به دست می‌آورند، در حالی که از نظر عرف و عقلا استحقاق آن را ندارند</w:t>
      </w:r>
      <w:r>
        <w:rPr>
          <w:rFonts w:eastAsia="IRNazanin" w:cs="IRNazanin"/>
          <w:color w:val="111111"/>
          <w:sz w:val="28"/>
          <w:szCs w:val="28"/>
          <w:rtl w:val="true"/>
          <w:lang w:bidi="fa-IR"/>
        </w:rPr>
        <w:t>.</w:t>
      </w:r>
    </w:p>
    <w:p>
      <w:pPr>
        <w:pStyle w:val="Heading5"/>
        <w:numPr>
          <w:ilvl w:val="4"/>
          <w:numId w:val="1"/>
        </w:numPr>
        <w:rPr/>
      </w:pPr>
      <w:bookmarkStart w:id="400" w:name="__RefHeading___Toc2530997_1468164448"/>
      <w:bookmarkStart w:id="401" w:name="_Toc154"/>
      <w:bookmarkEnd w:id="400"/>
      <w:r>
        <w:rPr>
          <w:rtl w:val="true"/>
        </w:rPr>
        <w:t>بند هفتم</w:t>
      </w:r>
      <w:r>
        <w:rPr>
          <w:rtl w:val="true"/>
        </w:rPr>
        <w:t xml:space="preserve">: </w:t>
      </w:r>
      <w:r>
        <w:rPr>
          <w:rtl w:val="true"/>
        </w:rPr>
        <w:t>دیدگاه برگزیده</w:t>
      </w:r>
      <w:bookmarkEnd w:id="401"/>
    </w:p>
    <w:p>
      <w:pPr>
        <w:pStyle w:val="BookText"/>
        <w:rPr/>
      </w:pPr>
      <w:r>
        <w:rPr>
          <w:rFonts w:ascii="IRNazanin" w:hAnsi="IRNazanin" w:eastAsia="IRNazanin"/>
          <w:color w:val="111111"/>
          <w:sz w:val="28"/>
          <w:sz w:val="28"/>
          <w:szCs w:val="28"/>
          <w:rtl w:val="true"/>
          <w:lang w:bidi="fa-IR"/>
        </w:rPr>
        <w:t>پس از بررسی دیدگاه فقها،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معاوضۀ بول حیوان حرام گوشت حرام است؛ چراکه وجود اجماع محصّل و منقول بر حرمت تکلیفیِ معاوضۀ بول و روایت نبوی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اذا حرّم شیئاً حرّم ثمنه</w:t>
      </w:r>
      <w:r>
        <w:rPr>
          <w:rFonts w:eastAsia="Amiri" w:cs="Amiri" w:ascii="Amiri" w:hAnsi="Amiri"/>
          <w:color w:val="111111"/>
          <w:sz w:val="28"/>
          <w:szCs w:val="28"/>
          <w:rtl w:val="true"/>
          <w:lang w:bidi="ar-SA"/>
        </w:rPr>
        <w:t>»</w:t>
      </w:r>
      <w:r>
        <w:rPr>
          <w:rStyle w:val="FootnoteAnchor"/>
          <w:rtl w:val="true"/>
        </w:rPr>
        <w:footnoteReference w:id="268"/>
      </w:r>
      <w:r>
        <w:rPr>
          <w:rFonts w:ascii="IRNazanin" w:hAnsi="IRNazanin" w:eastAsia="IRNazanin"/>
          <w:color w:val="111111"/>
          <w:sz w:val="28"/>
          <w:sz w:val="28"/>
          <w:szCs w:val="28"/>
          <w:rtl w:val="true"/>
          <w:lang w:bidi="fa-IR"/>
        </w:rPr>
        <w:t>بر حرمت وضعی آن دلالت کامل دارد، هرچند ادلّۀ دیگر از جمله نجاست و عدم مالیّت شرعی، نمی‌توانند علّت حرمت معاملۀ بول باشند</w:t>
      </w:r>
      <w:r>
        <w:rPr>
          <w:rFonts w:eastAsia="IRNazanin" w:cs="IRNazanin"/>
          <w:color w:val="111111"/>
          <w:sz w:val="28"/>
          <w:szCs w:val="28"/>
          <w:rtl w:val="true"/>
          <w:lang w:bidi="fa-IR"/>
        </w:rPr>
        <w:t>.</w:t>
      </w:r>
    </w:p>
    <w:p>
      <w:pPr>
        <w:pStyle w:val="Heading4"/>
        <w:numPr>
          <w:ilvl w:val="3"/>
          <w:numId w:val="1"/>
        </w:numPr>
        <w:rPr/>
      </w:pPr>
      <w:bookmarkStart w:id="402" w:name="__RefHeading___Toc2530999_1468164448"/>
      <w:bookmarkStart w:id="403" w:name="_Toc155"/>
      <w:bookmarkEnd w:id="402"/>
      <w:r>
        <w:rPr>
          <w:rtl w:val="true"/>
        </w:rPr>
        <w:t>گفتار دوم</w:t>
      </w:r>
      <w:r>
        <w:rPr>
          <w:rtl w:val="true"/>
        </w:rPr>
        <w:t xml:space="preserve">: </w:t>
      </w:r>
      <w:r>
        <w:rPr>
          <w:rtl w:val="true"/>
        </w:rPr>
        <w:t>معاملۀ بول حیوان حلال گوشت</w:t>
      </w:r>
      <w:bookmarkEnd w:id="403"/>
    </w:p>
    <w:p>
      <w:pPr>
        <w:pStyle w:val="Heading5"/>
        <w:numPr>
          <w:ilvl w:val="4"/>
          <w:numId w:val="1"/>
        </w:numPr>
        <w:rPr/>
      </w:pPr>
      <w:bookmarkStart w:id="404" w:name="__RefHeading___Toc2531001_1468164448"/>
      <w:bookmarkStart w:id="405" w:name="_Toc156"/>
      <w:bookmarkEnd w:id="404"/>
      <w:r>
        <w:rPr>
          <w:rtl w:val="true"/>
        </w:rPr>
        <w:t>اشارة</w:t>
      </w:r>
      <w:bookmarkEnd w:id="405"/>
    </w:p>
    <w:p>
      <w:pPr>
        <w:pStyle w:val="BookText"/>
        <w:rPr/>
      </w:pPr>
      <w:r>
        <w:rPr>
          <w:rFonts w:ascii="IRNazanin" w:hAnsi="IRNazanin" w:eastAsia="IRNazanin"/>
          <w:color w:val="111111"/>
          <w:sz w:val="28"/>
          <w:sz w:val="28"/>
          <w:szCs w:val="28"/>
          <w:rtl w:val="true"/>
          <w:lang w:bidi="fa-IR"/>
        </w:rPr>
        <w:t>بول حیوان حلال گوشت بنا بر نظر مشهور فقها طاهر است؛ ولی با این وجود در جواز شرب آن،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شرب بول حیوان حلال گوشت را در حال اختیار و برخی دیگر، شرب آن را تنها در حال اضطرار جایز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معاملۀ بول طاهر نیز بین فقها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متقدّم معتقدند که میان بول حیوان حرام گوشت و بول حیوان حلال گوشت، هیچ تفاوتی وجود ندارد و معاملۀ ابوال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ابوال نجس و ابوال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و باطل است؛ ولی گروهی از فقها همچون شیخ انصاری</w:t>
      </w:r>
      <w:r>
        <w:rPr>
          <w:rStyle w:val="FootnoteAnchor"/>
          <w:rtl w:val="true"/>
        </w:rPr>
        <w:footnoteReference w:id="269"/>
      </w:r>
      <w:r>
        <w:rPr>
          <w:rFonts w:ascii="IRNazanin" w:hAnsi="IRNazanin" w:eastAsia="IRNazanin"/>
          <w:color w:val="111111"/>
          <w:sz w:val="28"/>
          <w:sz w:val="28"/>
          <w:szCs w:val="28"/>
          <w:rtl w:val="true"/>
          <w:lang w:bidi="fa-IR"/>
        </w:rPr>
        <w:t>و صاحب جواهر قدس سرهما</w:t>
      </w:r>
      <w:r>
        <w:rPr>
          <w:rStyle w:val="FootnoteAnchor"/>
          <w:rtl w:val="true"/>
        </w:rPr>
        <w:footnoteReference w:id="270"/>
      </w:r>
      <w:r>
        <w:rPr>
          <w:rFonts w:ascii="IRNazanin" w:hAnsi="IRNazanin" w:eastAsia="IRNazanin"/>
          <w:color w:val="111111"/>
          <w:sz w:val="28"/>
          <w:sz w:val="28"/>
          <w:szCs w:val="28"/>
          <w:rtl w:val="true"/>
          <w:lang w:bidi="fa-IR"/>
        </w:rPr>
        <w:t>بحث بیع ابوال طاهر را دایر مدار حکم شرب آن دانسته‌اند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روشن‌تر، ایشان معتقدند که اگر شرب بول طاهر را جایز بدانیم، حکم به جواز معاملۀ آن داده می‌شود و اگر شرب آن را جایز ندانیم، باید حکم به حرمت معاملۀ آن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نظر، گروهی دیگر از فقها که از آن جمله می‌توان به امام خمینی و محقّق خویی قدس سرهما</w:t>
      </w:r>
      <w:r>
        <w:rPr>
          <w:rStyle w:val="FootnoteAnchor"/>
          <w:rtl w:val="true"/>
        </w:rPr>
        <w:footnoteReference w:id="271"/>
      </w:r>
      <w:r>
        <w:rPr>
          <w:rFonts w:ascii="IRNazanin" w:hAnsi="IRNazanin" w:eastAsia="IRNazanin"/>
          <w:color w:val="111111"/>
          <w:sz w:val="28"/>
          <w:sz w:val="28"/>
          <w:szCs w:val="28"/>
          <w:rtl w:val="true"/>
          <w:lang w:bidi="fa-IR"/>
        </w:rPr>
        <w:t>اشاره نمود، معتقدند که ملاک جواز یا عدم جواز معاملۀ</w:t>
      </w:r>
    </w:p>
    <w:p>
      <w:pPr>
        <w:pStyle w:val="BookText"/>
        <w:rPr/>
      </w:pPr>
      <w:r>
        <w:rPr>
          <w:rFonts w:ascii="IRNazanin" w:hAnsi="IRNazanin" w:eastAsia="IRNazanin"/>
          <w:color w:val="111111"/>
          <w:sz w:val="28"/>
          <w:sz w:val="28"/>
          <w:szCs w:val="28"/>
          <w:rtl w:val="true"/>
          <w:lang w:bidi="fa-IR"/>
        </w:rPr>
        <w:t>ابوال طاهر، جواز شرب یا عدم آن نیست؛ بلکه جواز بیع، بر منفعت عقلایی و جواز عقلایی، متوقّف است که در صورت فقدان آن، بیع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قدس سره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ذکرناه، جواز الإنتفاع بصنوف النجاسات، ولا دلیل عامّ علی حرمة جمیع الإنتفاعات بها، کما لا دلیل کذلک علی حرمة بیعها، بل مقتضی إطلاق الأدلّة، جوازه فیما ینتفع به، فلا بدّ من التماس دلیل علی الخروج من الکلّیتین المتقدّمتین، ففی کلّ مورد لیس الدلیل إلّاالأدلّة العامّة، یحکم بجواز الإنتفاع به، وجواز البیع فی ما ینتفع به</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به عقیدۀ ایشان انتفاع به اقسام نجاسات، جایز است و دلیلی مبنی بر حرمت همۀ انتفاعات آنها وجود ندارد و از سوی دیگر، در هر مورد که نفعی عقلایی در میان باشد، معامله صحیح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کرد که امام خمینی قدس سره این مطلب را در خصوص ابوال طاهر، مطرح نکرده است؛ بلکه دربارۀ بول حیوان حرام گوشت و همۀ نجاسات، این ادّعا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عقیدۀ ایشان ملاک جواز یا حرمت معامله در این موارد، جواز شرب یا عدم آن نیست؛ بلکه ملاک، وجود یا عدم وجود منفعت عقلایی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باید به این مطلب اشاره کنیم که تفاوت این دو مبنا در روش بحث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مبنای اوّل، ابتدا باید بحث شرب بول حیوان حلال گوشت را مطرح نمود و با استفاده از نتیجۀ این بحث، به حکم معاملۀ آن رسید؛ امّا بنا بر مبنای دوم، نیازی به بحث دربارۀ شرب این ابوال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با توجّه به این‌که حکم شرب ابوال طاهر تنها در بحث اطعمه و اشربه مطرح می‌شود و کمتر مورد توجّه قرار می‌گیرد، ابتدا این بحث را مطرح می‌کنیم و سپس پیرامون حکم معاملۀ آن، گفتگو خواهیم نمود</w:t>
      </w:r>
      <w:r>
        <w:rPr>
          <w:rFonts w:eastAsia="IRNazanin" w:cs="IRNazanin"/>
          <w:color w:val="111111"/>
          <w:sz w:val="28"/>
          <w:szCs w:val="28"/>
          <w:rtl w:val="true"/>
          <w:lang w:bidi="fa-IR"/>
        </w:rPr>
        <w:t>.</w:t>
      </w:r>
      <w:bookmarkStart w:id="406" w:name="pg13785_135027"/>
    </w:p>
    <w:p>
      <w:pPr>
        <w:pStyle w:val="Heading5"/>
        <w:numPr>
          <w:ilvl w:val="4"/>
          <w:numId w:val="1"/>
        </w:numPr>
        <w:rPr/>
      </w:pPr>
      <w:bookmarkStart w:id="407" w:name="__RefHeading___Toc2531003_1468164448"/>
      <w:bookmarkStart w:id="408" w:name="_Toc157"/>
      <w:bookmarkEnd w:id="406"/>
      <w:bookmarkEnd w:id="407"/>
      <w:r>
        <w:rPr>
          <w:rtl w:val="true"/>
        </w:rPr>
        <w:t>بند اوّل</w:t>
      </w:r>
      <w:r>
        <w:rPr>
          <w:rtl w:val="true"/>
        </w:rPr>
        <w:t xml:space="preserve">: </w:t>
      </w:r>
      <w:r>
        <w:rPr>
          <w:rtl w:val="true"/>
        </w:rPr>
        <w:t>حکم شرب بول حیوان حلال گوشت</w:t>
      </w:r>
      <w:bookmarkEnd w:id="408"/>
    </w:p>
    <w:p>
      <w:pPr>
        <w:pStyle w:val="Heading6"/>
        <w:numPr>
          <w:ilvl w:val="5"/>
          <w:numId w:val="1"/>
        </w:numPr>
        <w:rPr/>
      </w:pPr>
      <w:bookmarkStart w:id="409" w:name="__RefHeading___Toc2531005_1468164448"/>
      <w:bookmarkStart w:id="410" w:name="_Toc158"/>
      <w:bookmarkEnd w:id="409"/>
      <w:r>
        <w:rPr>
          <w:rtl w:val="true"/>
        </w:rPr>
        <w:t>اشارة</w:t>
      </w:r>
      <w:bookmarkEnd w:id="410"/>
    </w:p>
    <w:p>
      <w:pPr>
        <w:pStyle w:val="BookText"/>
        <w:rPr/>
      </w:pPr>
      <w:r>
        <w:rPr>
          <w:rFonts w:ascii="Amiri" w:hAnsi="Amiri" w:eastAsia="Amiri" w:cs="Amiri"/>
          <w:color w:val="111111"/>
          <w:sz w:val="28"/>
          <w:sz w:val="28"/>
          <w:szCs w:val="28"/>
          <w:rtl w:val="true"/>
          <w:lang w:bidi="ar-SA"/>
        </w:rPr>
        <w:t>سیّد مرتضی</w:t>
      </w:r>
      <w:r>
        <w:rPr>
          <w:rStyle w:val="FootnoteAnchor"/>
          <w:rtl w:val="true"/>
        </w:rPr>
        <w:footnoteReference w:id="273"/>
      </w:r>
      <w:r>
        <w:rPr>
          <w:rFonts w:ascii="IRNazanin" w:hAnsi="IRNazanin" w:eastAsia="IRNazanin"/>
          <w:color w:val="111111"/>
          <w:sz w:val="28"/>
          <w:sz w:val="28"/>
          <w:szCs w:val="28"/>
          <w:rtl w:val="true"/>
          <w:lang w:bidi="fa-IR"/>
        </w:rPr>
        <w:t>و ابن جنید قدس سرهما</w:t>
      </w:r>
      <w:r>
        <w:rPr>
          <w:rStyle w:val="FootnoteAnchor"/>
          <w:rtl w:val="true"/>
        </w:rPr>
        <w:footnoteReference w:id="274"/>
      </w:r>
      <w:r>
        <w:rPr>
          <w:rFonts w:ascii="IRNazanin" w:hAnsi="IRNazanin" w:eastAsia="IRNazanin"/>
          <w:color w:val="111111"/>
          <w:sz w:val="28"/>
          <w:sz w:val="28"/>
          <w:szCs w:val="28"/>
          <w:rtl w:val="true"/>
          <w:lang w:bidi="fa-IR"/>
        </w:rPr>
        <w:t>که از قدما به شمار می‌روند و نیز ابن ادریس،</w:t>
      </w:r>
      <w:r>
        <w:rPr>
          <w:rStyle w:val="FootnoteAnchor"/>
          <w:rtl w:val="true"/>
        </w:rPr>
        <w:footnoteReference w:id="275"/>
      </w:r>
      <w:r>
        <w:rPr>
          <w:rFonts w:ascii="IRNazanin" w:hAnsi="IRNazanin" w:eastAsia="IRNazanin"/>
          <w:color w:val="111111"/>
          <w:sz w:val="28"/>
          <w:sz w:val="28"/>
          <w:szCs w:val="28"/>
          <w:rtl w:val="true"/>
          <w:lang w:bidi="fa-IR"/>
        </w:rPr>
        <w:t>محقّق حلّی در مختصر النافع،</w:t>
      </w:r>
      <w:r>
        <w:rPr>
          <w:rStyle w:val="FootnoteAnchor"/>
          <w:rtl w:val="true"/>
        </w:rPr>
        <w:footnoteReference w:id="276"/>
      </w:r>
      <w:r>
        <w:rPr>
          <w:rFonts w:ascii="IRNazanin" w:hAnsi="IRNazanin" w:eastAsia="IRNazanin"/>
          <w:color w:val="111111"/>
          <w:sz w:val="28"/>
          <w:sz w:val="28"/>
          <w:szCs w:val="28"/>
          <w:rtl w:val="true"/>
          <w:lang w:bidi="fa-IR"/>
        </w:rPr>
        <w:t>فاضل آبی</w:t>
      </w:r>
      <w:r>
        <w:rPr>
          <w:rStyle w:val="FootnoteAnchor"/>
          <w:rtl w:val="true"/>
        </w:rPr>
        <w:footnoteReference w:id="277"/>
      </w:r>
      <w:r>
        <w:rPr>
          <w:rFonts w:ascii="IRNazanin" w:hAnsi="IRNazanin" w:eastAsia="IRNazanin"/>
          <w:color w:val="111111"/>
          <w:sz w:val="28"/>
          <w:sz w:val="28"/>
          <w:szCs w:val="28"/>
          <w:rtl w:val="true"/>
          <w:lang w:bidi="fa-IR"/>
        </w:rPr>
        <w:t>و محقّق سبزواری قدس سرهم</w:t>
      </w:r>
      <w:r>
        <w:rPr>
          <w:rStyle w:val="FootnoteAnchor"/>
          <w:rtl w:val="true"/>
        </w:rPr>
        <w:footnoteReference w:id="278"/>
      </w:r>
      <w:r>
        <w:rPr>
          <w:rFonts w:ascii="IRNazanin" w:hAnsi="IRNazanin" w:eastAsia="IRNazanin"/>
          <w:color w:val="111111"/>
          <w:sz w:val="28"/>
          <w:sz w:val="28"/>
          <w:szCs w:val="28"/>
          <w:rtl w:val="true"/>
          <w:lang w:bidi="fa-IR"/>
        </w:rPr>
        <w:t>که همگی از متأخّرین هستند، شرب ابوال طاهر را جایز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محقّق حلّی در شرائع الإسلام،</w:t>
      </w:r>
      <w:r>
        <w:rPr>
          <w:rStyle w:val="FootnoteAnchor"/>
          <w:rtl w:val="true"/>
        </w:rPr>
        <w:footnoteReference w:id="279"/>
      </w:r>
      <w:r>
        <w:rPr>
          <w:rFonts w:ascii="IRNazanin" w:hAnsi="IRNazanin" w:eastAsia="IRNazanin"/>
          <w:color w:val="111111"/>
          <w:sz w:val="28"/>
          <w:sz w:val="28"/>
          <w:szCs w:val="28"/>
          <w:rtl w:val="true"/>
          <w:lang w:bidi="fa-IR"/>
        </w:rPr>
        <w:t>علاّمۀ حلّی در مختلف الشیعة</w:t>
      </w:r>
      <w:r>
        <w:rPr>
          <w:rStyle w:val="FootnoteAnchor"/>
          <w:rtl w:val="true"/>
        </w:rPr>
        <w:footnoteReference w:id="280"/>
      </w:r>
      <w:r>
        <w:rPr>
          <w:rFonts w:ascii="IRNazanin" w:hAnsi="IRNazanin" w:eastAsia="IRNazanin"/>
          <w:color w:val="111111"/>
          <w:sz w:val="28"/>
          <w:sz w:val="28"/>
          <w:szCs w:val="28"/>
          <w:rtl w:val="true"/>
          <w:lang w:bidi="fa-IR"/>
        </w:rPr>
        <w:t>و شهید اوّل قدس سرهم در دروس الشرعیّة،</w:t>
      </w:r>
      <w:r>
        <w:rPr>
          <w:rStyle w:val="FootnoteAnchor"/>
          <w:rtl w:val="true"/>
        </w:rPr>
        <w:footnoteReference w:id="281"/>
      </w:r>
      <w:r>
        <w:rPr>
          <w:rFonts w:ascii="IRNazanin" w:hAnsi="IRNazanin" w:eastAsia="IRNazanin"/>
          <w:color w:val="111111"/>
          <w:sz w:val="28"/>
          <w:sz w:val="28"/>
          <w:szCs w:val="28"/>
          <w:rtl w:val="true"/>
          <w:lang w:bidi="fa-IR"/>
        </w:rPr>
        <w:t>شرب این ابوال را در حال اختیار جایز نمی‌دانند</w:t>
      </w:r>
      <w:r>
        <w:rPr>
          <w:rFonts w:eastAsia="IRNazanin" w:cs="IRNazanin"/>
          <w:color w:val="111111"/>
          <w:sz w:val="28"/>
          <w:szCs w:val="28"/>
          <w:rtl w:val="true"/>
          <w:lang w:bidi="fa-IR"/>
        </w:rPr>
        <w:t>.</w:t>
      </w:r>
    </w:p>
    <w:p>
      <w:pPr>
        <w:pStyle w:val="Heading6"/>
        <w:numPr>
          <w:ilvl w:val="5"/>
          <w:numId w:val="1"/>
        </w:numPr>
        <w:rPr/>
      </w:pPr>
      <w:bookmarkStart w:id="411" w:name="__RefHeading___Toc2531007_1468164448"/>
      <w:bookmarkStart w:id="412" w:name="_Toc159"/>
      <w:bookmarkEnd w:id="411"/>
      <w:r>
        <w:rPr>
          <w:rtl w:val="true"/>
        </w:rPr>
        <w:t>الف</w:t>
      </w:r>
      <w:r>
        <w:rPr>
          <w:rtl w:val="true"/>
        </w:rPr>
        <w:t xml:space="preserve">) </w:t>
      </w:r>
      <w:r>
        <w:rPr>
          <w:rtl w:val="true"/>
        </w:rPr>
        <w:t>ادلّۀ قائلین به جواز شرب ابوال طاهر</w:t>
      </w:r>
      <w:bookmarkEnd w:id="412"/>
    </w:p>
    <w:p>
      <w:pPr>
        <w:pStyle w:val="BookText"/>
        <w:rPr/>
      </w:pPr>
      <w:r>
        <w:rPr>
          <w:rFonts w:ascii="IRNazanin" w:hAnsi="IRNazanin" w:eastAsia="IRNazanin"/>
          <w:color w:val="111111"/>
          <w:sz w:val="28"/>
          <w:sz w:val="28"/>
          <w:szCs w:val="28"/>
          <w:rtl w:val="true"/>
          <w:lang w:bidi="fa-IR"/>
        </w:rPr>
        <w:t>آن دسته از فقها که شرب ابوال طاهر را جایز می‌دانند، به سه دلیل استناد کرده‌اند</w:t>
      </w:r>
      <w:r>
        <w:rPr>
          <w:rFonts w:eastAsia="IRNazanin" w:cs="IRNazanin"/>
          <w:color w:val="111111"/>
          <w:sz w:val="28"/>
          <w:szCs w:val="28"/>
          <w:rtl w:val="true"/>
          <w:lang w:bidi="fa-IR"/>
        </w:rPr>
        <w:t>:</w:t>
      </w:r>
    </w:p>
    <w:p>
      <w:pPr>
        <w:pStyle w:val="Heading6"/>
        <w:numPr>
          <w:ilvl w:val="5"/>
          <w:numId w:val="1"/>
        </w:numPr>
        <w:rPr/>
      </w:pPr>
      <w:bookmarkStart w:id="413" w:name="__RefHeading___Toc2531009_1468164448"/>
      <w:bookmarkStart w:id="414" w:name="_Toc160"/>
      <w:bookmarkEnd w:id="413"/>
      <w:r>
        <w:rPr/>
        <w:t>1</w:t>
      </w:r>
      <w:r>
        <w:rPr>
          <w:rtl w:val="true"/>
        </w:rPr>
        <w:t xml:space="preserve">- </w:t>
      </w:r>
      <w:r>
        <w:rPr>
          <w:rtl w:val="true"/>
        </w:rPr>
        <w:t>دلیل اوّل</w:t>
      </w:r>
      <w:r>
        <w:rPr>
          <w:rtl w:val="true"/>
        </w:rPr>
        <w:t xml:space="preserve">: </w:t>
      </w:r>
      <w:r>
        <w:rPr>
          <w:rtl w:val="true"/>
        </w:rPr>
        <w:t>اصل حلّیت</w:t>
      </w:r>
      <w:bookmarkEnd w:id="414"/>
    </w:p>
    <w:p>
      <w:pPr>
        <w:pStyle w:val="BookText"/>
        <w:rPr/>
      </w:pPr>
      <w:r>
        <w:rPr>
          <w:rFonts w:ascii="IRNazanin" w:hAnsi="IRNazanin" w:eastAsia="IRNazanin"/>
          <w:color w:val="111111"/>
          <w:sz w:val="28"/>
          <w:sz w:val="28"/>
          <w:szCs w:val="28"/>
          <w:rtl w:val="true"/>
          <w:lang w:bidi="fa-IR"/>
        </w:rPr>
        <w:t>با فرض طهارت این ابوال، شک داریم که شرب آنها جایز است یا خیر، که در این صورت، اصل اوّلی حلّیت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توجّه نمود که وقتی می‌توان به این اصل رجوع کرد که اماره و یا دلیل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موافق اصل و چه مخالف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موجود نباشد</w:t>
      </w:r>
      <w:r>
        <w:rPr>
          <w:rFonts w:eastAsia="IRNazanin" w:cs="IRNazanin"/>
          <w:color w:val="111111"/>
          <w:sz w:val="28"/>
          <w:szCs w:val="28"/>
          <w:rtl w:val="true"/>
          <w:lang w:bidi="fa-IR"/>
        </w:rPr>
        <w:t>.</w:t>
      </w:r>
    </w:p>
    <w:p>
      <w:pPr>
        <w:pStyle w:val="Heading6"/>
        <w:numPr>
          <w:ilvl w:val="5"/>
          <w:numId w:val="1"/>
        </w:numPr>
        <w:rPr/>
      </w:pPr>
      <w:bookmarkStart w:id="415" w:name="__RefHeading___Toc2531011_1468164448"/>
      <w:bookmarkStart w:id="416" w:name="_Toc161"/>
      <w:bookmarkEnd w:id="415"/>
      <w:r>
        <w:rPr/>
        <w:t>2</w:t>
      </w:r>
      <w:r>
        <w:rPr>
          <w:rtl w:val="true"/>
        </w:rPr>
        <w:t xml:space="preserve">- </w:t>
      </w:r>
      <w:r>
        <w:rPr>
          <w:rtl w:val="true"/>
        </w:rPr>
        <w:t>دلیل دوم</w:t>
      </w:r>
      <w:r>
        <w:rPr>
          <w:rtl w:val="true"/>
        </w:rPr>
        <w:t xml:space="preserve">: </w:t>
      </w:r>
      <w:r>
        <w:rPr>
          <w:rtl w:val="true"/>
        </w:rPr>
        <w:t>اجماع</w:t>
      </w:r>
      <w:bookmarkEnd w:id="416"/>
    </w:p>
    <w:p>
      <w:pPr>
        <w:pStyle w:val="BookText"/>
        <w:rPr/>
      </w:pPr>
      <w:r>
        <w:rPr>
          <w:rFonts w:ascii="IRNazanin" w:hAnsi="IRNazanin" w:eastAsia="IRNazanin"/>
          <w:color w:val="111111"/>
          <w:sz w:val="28"/>
          <w:sz w:val="28"/>
          <w:szCs w:val="28"/>
          <w:rtl w:val="true"/>
          <w:lang w:bidi="fa-IR"/>
        </w:rPr>
        <w:t>سیّد مرتضی قدس سره مدّعی است که در جواز شرب این ابوال، اجماع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کتاب الانتصار می‌نویسد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یظنّ قبل التأمّل إنفراد الإمامیّة به القول بتحلیل شرب أبوال الإبل، وکلّ ما أکل لحمه من البهائم إما للتداوی أو لغیره؛</w:t>
      </w:r>
      <w:r>
        <w:rPr>
          <w:rStyle w:val="FootnoteAnchor"/>
          <w:rtl w:val="true"/>
        </w:rPr>
        <w:footnoteReference w:id="282"/>
      </w:r>
      <w:r>
        <w:rPr>
          <w:rFonts w:ascii="IRNazanin" w:hAnsi="IRNazanin" w:eastAsia="IRNazanin"/>
          <w:color w:val="111111"/>
          <w:sz w:val="28"/>
          <w:sz w:val="28"/>
          <w:szCs w:val="28"/>
          <w:rtl w:val="true"/>
          <w:lang w:bidi="fa-IR"/>
        </w:rPr>
        <w:t>یکی از چیزهایی که گمان می‌رود امامیّه در آن متفرّد باشند، قول به حلّیت شرب بول ابل و همۀ حیوانات حلال</w:t>
      </w:r>
      <w:bookmarkStart w:id="417" w:name="pg13785_135028"/>
    </w:p>
    <w:p>
      <w:pPr>
        <w:pStyle w:val="BookText"/>
        <w:rPr/>
      </w:pPr>
      <w:bookmarkEnd w:id="417"/>
      <w:r>
        <w:rPr>
          <w:rFonts w:ascii="IRNazanin" w:hAnsi="IRNazanin" w:eastAsia="IRNazanin"/>
          <w:color w:val="111111"/>
          <w:sz w:val="28"/>
          <w:sz w:val="28"/>
          <w:szCs w:val="28"/>
          <w:rtl w:val="true"/>
          <w:lang w:bidi="fa-IR"/>
        </w:rPr>
        <w:t>گوشت، برای درمان و مانند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عقیدۀ ایشان، جواز شرب بول شتر و دیگر چهارپایان حلال گوشت برای درمان و غیر آن، از متفرّدات امامیّه و مؤیّد دیدگاه، أصالة الحلّیة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ادامه اظهار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بول ما یؤکل لحمه طاهر غیر نجس، وکلّ من قال بطهارته جوّز شربه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هر کس اعتقاد به طهارت بول حیوان حلال گوشت داشته باشد، شرب آن را نیز جایز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نقد این سخن سیّد مرتضی قدس سره باید به این مطالب اشاره کرد که اجماع اشاره شده در سخن ایشان، اجماع منقول بوده و فاقد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اثبات این مطلب که هر کس این ابوال را طاهر بداند شرب آن را نیز جایز می‌داند، مشکل است؛ چراکه این ملازمه، مورد اجماع قدما نیست</w:t>
      </w:r>
      <w:r>
        <w:rPr>
          <w:rFonts w:eastAsia="IRNazanin" w:cs="IRNazanin"/>
          <w:color w:val="111111"/>
          <w:sz w:val="28"/>
          <w:szCs w:val="28"/>
          <w:rtl w:val="true"/>
          <w:lang w:bidi="fa-IR"/>
        </w:rPr>
        <w:t>.</w:t>
      </w:r>
    </w:p>
    <w:p>
      <w:pPr>
        <w:pStyle w:val="Heading6"/>
        <w:numPr>
          <w:ilvl w:val="5"/>
          <w:numId w:val="1"/>
        </w:numPr>
        <w:rPr/>
      </w:pPr>
      <w:bookmarkStart w:id="418" w:name="__RefHeading___Toc2531013_1468164448"/>
      <w:bookmarkStart w:id="419" w:name="_Toc162"/>
      <w:bookmarkEnd w:id="418"/>
      <w:r>
        <w:rPr/>
        <w:t>3</w:t>
      </w:r>
      <w:r>
        <w:rPr>
          <w:rtl w:val="true"/>
        </w:rPr>
        <w:t xml:space="preserve">- </w:t>
      </w:r>
      <w:r>
        <w:rPr>
          <w:rtl w:val="true"/>
        </w:rPr>
        <w:t>دلیل سوم</w:t>
      </w:r>
      <w:r>
        <w:rPr>
          <w:rtl w:val="true"/>
        </w:rPr>
        <w:t xml:space="preserve">: </w:t>
      </w:r>
      <w:r>
        <w:rPr>
          <w:rtl w:val="true"/>
        </w:rPr>
        <w:t>روایات</w:t>
      </w:r>
      <w:bookmarkEnd w:id="419"/>
    </w:p>
    <w:p>
      <w:pPr>
        <w:pStyle w:val="BookText"/>
        <w:rPr/>
      </w:pPr>
      <w:r>
        <w:rPr>
          <w:rFonts w:ascii="IRNazanin" w:hAnsi="IRNazanin" w:eastAsia="IRNazanin"/>
          <w:color w:val="111111"/>
          <w:sz w:val="28"/>
          <w:sz w:val="28"/>
          <w:szCs w:val="28"/>
          <w:rtl w:val="true"/>
          <w:lang w:bidi="fa-IR"/>
        </w:rPr>
        <w:t>قائلین به جواز شرب ابوال طاهر، برای اثبات سخن خود به روایات گوناگونی استناد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روایات، جواز شرب را مقیّد به تداوی و درمان کرده‌اند و برخی دیگر به صورت مطلق، شرب بول طاهر را جایز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روایات را در دو دستۀ مطلق و مقیّد،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باید به آن توجّه کرد، این است که تداوی با اضطرار متفاوت است؛ زیرا در مورد اضطرار، قاعدۀ کلّی داریم و همۀ فقها پذیرفته‌اند که همۀ محرّمات در فرض اضطرار بر انسان حلال می‌شوند؛ لیکن تداوی، خواه اضطرار باشد یا نباشد و خواه روش دیگری برای معالجه وجود داشته باشد یا خیر، مطلقا جایز است</w:t>
      </w:r>
      <w:r>
        <w:rPr>
          <w:rFonts w:eastAsia="IRNazanin" w:cs="IRNazanin"/>
          <w:color w:val="111111"/>
          <w:sz w:val="28"/>
          <w:szCs w:val="28"/>
          <w:rtl w:val="true"/>
          <w:lang w:bidi="fa-IR"/>
        </w:rPr>
        <w:t>.</w:t>
      </w:r>
    </w:p>
    <w:p>
      <w:pPr>
        <w:pStyle w:val="Heading6"/>
        <w:numPr>
          <w:ilvl w:val="5"/>
          <w:numId w:val="1"/>
        </w:numPr>
        <w:rPr/>
      </w:pPr>
      <w:bookmarkStart w:id="420" w:name="__RefHeading___Toc2531015_1468164448"/>
      <w:bookmarkStart w:id="421" w:name="_Toc163"/>
      <w:bookmarkEnd w:id="420"/>
      <w:r>
        <w:rPr>
          <w:rtl w:val="true"/>
        </w:rPr>
        <w:t>الف</w:t>
      </w:r>
      <w:r>
        <w:rPr>
          <w:rtl w:val="true"/>
        </w:rPr>
        <w:t xml:space="preserve">) </w:t>
      </w:r>
      <w:r>
        <w:rPr>
          <w:rtl w:val="true"/>
        </w:rPr>
        <w:t>روایات مطلق</w:t>
      </w:r>
      <w:bookmarkEnd w:id="421"/>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جَعْفَرٍ فِی قُرْبِ الْإِسْنَادِ عَنِ السِّنْدِیِّ بْنِ مُحَمَّدٍ عَنْ أَبِی</w:t>
      </w:r>
      <w:bookmarkStart w:id="422" w:name="pg13785_135029"/>
    </w:p>
    <w:p>
      <w:pPr>
        <w:pStyle w:val="BookText"/>
        <w:rPr/>
      </w:pPr>
      <w:bookmarkEnd w:id="422"/>
      <w:r>
        <w:rPr>
          <w:rFonts w:ascii="Amiri" w:hAnsi="Amiri" w:eastAsia="Amiri" w:cs="Amiri"/>
          <w:color w:val="111111"/>
          <w:sz w:val="28"/>
          <w:sz w:val="28"/>
          <w:szCs w:val="28"/>
          <w:rtl w:val="true"/>
          <w:lang w:bidi="ar-SA"/>
        </w:rPr>
        <w:t>الْبَخْتَرِیِّ عَنْ جَعْفَرٍ علیه السلام عَنْ أَبِیهِ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بِبَوْلِ مَا أُکِلَ لَحْمُهُ؛</w:t>
      </w:r>
      <w:r>
        <w:rPr>
          <w:rStyle w:val="FootnoteAnchor"/>
          <w:rtl w:val="true"/>
        </w:rPr>
        <w:footnoteReference w:id="284"/>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 حیوانی که گوشت آن خورده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با قطع نظر از این‌که قرب الإسناد محلّ بحث است،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ابوالبختری همان وهب بن وهب است که او را کذّاب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سند روایت ضعیف است؛ لیکن چه بسا گفته شود مشهور قدما به این روایت عمل کرده‌اند، که در این صورت، روایت حجّت خواهد بود؛ چون عمل مشهور جبران‌کنندۀ ضعف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سند روایت با عمل مشهور تصحیح شود، در مورد متن روایت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 بر طهارت و جواز شرب بول حیوان حلال گوشت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أُکِلَ لَحْمُهُ فَلَا بَأْسَ بِمَا یَخْرُجُ مِنْهُ؛</w:t>
      </w:r>
      <w:r>
        <w:rPr>
          <w:rStyle w:val="FootnoteAnchor"/>
          <w:rtl w:val="true"/>
        </w:rPr>
        <w:footnoteReference w:id="285"/>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گوشتش قابل خوردن باشد، چیزی که از آن خارج می‌شود،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نیز اطلاق دارد و می‌توان از آن برای اثبات جواز شرب بول طاهر، استفاده نمود</w:t>
      </w:r>
      <w:r>
        <w:rPr>
          <w:rFonts w:eastAsia="IRNazanin" w:cs="IRNazanin"/>
          <w:color w:val="111111"/>
          <w:sz w:val="28"/>
          <w:szCs w:val="28"/>
          <w:rtl w:val="true"/>
          <w:lang w:bidi="fa-IR"/>
        </w:rPr>
        <w:t>.</w:t>
      </w:r>
    </w:p>
    <w:p>
      <w:pPr>
        <w:pStyle w:val="Heading6"/>
        <w:numPr>
          <w:ilvl w:val="5"/>
          <w:numId w:val="1"/>
        </w:numPr>
        <w:rPr/>
      </w:pPr>
      <w:bookmarkStart w:id="423" w:name="__RefHeading___Toc2531017_1468164448"/>
      <w:bookmarkStart w:id="424" w:name="_Toc164"/>
      <w:bookmarkEnd w:id="423"/>
      <w:r>
        <w:rPr>
          <w:rtl w:val="true"/>
        </w:rPr>
        <w:t>ب</w:t>
      </w:r>
      <w:r>
        <w:rPr>
          <w:rtl w:val="true"/>
        </w:rPr>
        <w:t xml:space="preserve">) </w:t>
      </w:r>
      <w:r>
        <w:rPr>
          <w:rtl w:val="true"/>
        </w:rPr>
        <w:t>روایات مقیّد</w:t>
      </w:r>
      <w:bookmarkEnd w:id="4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بِإِسْنَادِهِ عَنْ مُحَمَّدِ بْنِ أَحْمَدَ بْنِ یحْیَی عَنْ أَحْمَدَ بْنِ الْحَسَنِ عَنْ عَمْرِو بْنِ سَعِیدٍ عَنْ مُصَدِّقِ بْنِ صَدَقَةَ عَنْ عَمَّارِ بْنِ مُوسَی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بَوْلِ الْبَقَرِ یَشْرَبُهُ الرَّجُلُ؟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w:t>
      </w:r>
    </w:p>
    <w:p>
      <w:pPr>
        <w:pStyle w:val="BookText"/>
        <w:rPr/>
      </w:pPr>
      <w:r>
        <w:rPr>
          <w:rFonts w:ascii="Amiri" w:hAnsi="Amiri" w:eastAsia="Amiri" w:cs="Amiri"/>
          <w:color w:val="111111"/>
          <w:sz w:val="28"/>
          <w:sz w:val="28"/>
          <w:szCs w:val="28"/>
          <w:rtl w:val="true"/>
          <w:lang w:bidi="ar-SA"/>
        </w:rPr>
        <w:t>مُحْتَاجاً إِلَیْهِ یَتَدَاوَی بِهِ یَشْرَبُهُ کَذَلِکَ أَبْوَالُ الْإِبِلِ وَالْغَنَمِ؛</w:t>
      </w:r>
      <w:r>
        <w:rPr>
          <w:rStyle w:val="FootnoteAnchor"/>
          <w:rtl w:val="true"/>
        </w:rPr>
        <w:footnoteReference w:id="286"/>
      </w:r>
      <w:r>
        <w:rPr>
          <w:rFonts w:ascii="IRNazanin" w:hAnsi="IRNazanin" w:eastAsia="IRNazanin"/>
          <w:color w:val="111111"/>
          <w:sz w:val="28"/>
          <w:sz w:val="28"/>
          <w:szCs w:val="28"/>
          <w:rtl w:val="true"/>
          <w:lang w:bidi="fa-IR"/>
        </w:rPr>
        <w:t>از امام صادق علیه السلام دربارۀ بول گاو سؤال شد که آیا انسان می‌تواند آن را بنوشد؟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درمان با آن نیاز دارد، آن را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بول شتر و گوسفند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نظر سند ضعیف است؛ زیرا اسناد شیخ طوسی قدس سره به محمّد بن احمد بن یحیی اشعری ضعیف و احمد بن الحسن نیز مشترک است</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از سوی دیگر، عمّار بن موسی از سوی برخی از علمای رجال همچون نجاشی قدس سره توثیق شده است؛</w:t>
      </w:r>
      <w:r>
        <w:rPr>
          <w:rStyle w:val="FootnoteAnchor"/>
          <w:rtl w:val="true"/>
        </w:rPr>
        <w:footnoteReference w:id="288"/>
      </w:r>
      <w:r>
        <w:rPr>
          <w:rFonts w:ascii="IRNazanin" w:hAnsi="IRNazanin" w:eastAsia="IRNazanin"/>
          <w:color w:val="111111"/>
          <w:sz w:val="28"/>
          <w:sz w:val="28"/>
          <w:szCs w:val="28"/>
          <w:rtl w:val="true"/>
          <w:lang w:bidi="fa-IR"/>
        </w:rPr>
        <w:t>امّا وی روایات متفّردی دارد؛ یعنی روایاتی وجود دارد که فقط از او نقل شده است و به گفتۀ شیخ طوسی قدس سره نمی‌توان به روایاتی که عمّار به صورت متفرّد نقل کرده است، اعتماد نمود</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البتّه عمر بن سعید، ثقه</w:t>
      </w:r>
      <w:r>
        <w:rPr>
          <w:rStyle w:val="FootnoteAnchor"/>
          <w:rtl w:val="true"/>
        </w:rPr>
        <w:footnoteReference w:id="290"/>
      </w:r>
      <w:r>
        <w:rPr>
          <w:rFonts w:ascii="IRNazanin" w:hAnsi="IRNazanin" w:eastAsia="IRNazanin"/>
          <w:color w:val="111111"/>
          <w:sz w:val="28"/>
          <w:sz w:val="28"/>
          <w:szCs w:val="28"/>
          <w:rtl w:val="true"/>
          <w:lang w:bidi="fa-IR"/>
        </w:rPr>
        <w:t>و مصدّق بن صدقه نیز از اجلّای روات به شمار می‌روند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نکتۀ اول در این روایت، جمله شرطیۀ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مُحْتَاجاً إِلَیْهِ یَتَدَاوَی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این جمله این است که در صورت عدم احتیاج برای تداوی، استعمال آن جایز نیست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بعید نیست که این شرط از قبیل شرط محقّق موضوع باشد، به این بیان که مردم شرب بول ابل یا بقر را در چنین صورتی انجام می‌دهند و در غیر این صورت از شرب آن خودداری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نکتۀ دیگر این‌که معلوم نیست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أبوال الإبل والغنم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کلام امام علیه السلام است، یا عمّار بن موسی آن را به روایت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برخی از علمای رجال او را مضطرب الحدیث می‌دانند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در مقابل، برخی از فقهای نامدار این روایت را معتبر دانسته‌اند و از آن با عنوان مؤثقۀ عمّار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می‌توان به محقّق خویی قدس سره اشاره نمود که</w:t>
      </w:r>
    </w:p>
    <w:p>
      <w:pPr>
        <w:pStyle w:val="BookText"/>
        <w:rPr/>
      </w:pPr>
      <w:r>
        <w:rPr>
          <w:rFonts w:ascii="IRNazanin" w:hAnsi="IRNazanin" w:eastAsia="IRNazanin"/>
          <w:color w:val="111111"/>
          <w:sz w:val="28"/>
          <w:sz w:val="28"/>
          <w:szCs w:val="28"/>
          <w:rtl w:val="true"/>
          <w:lang w:bidi="fa-IR"/>
        </w:rPr>
        <w:t>معتقد است می‌توان توسّط این روایت، روایات مطلق این باب را تقیید زد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بزرگانی هم که معتقدند شرب بول شتر برای تداوی جایز است، به همین روایت استناد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همان‌طور که گفته شد، به نظر می‌رسد که از این روایت نتوان مفهوم‌گیری کرد و در نتیجه، صلاحیت برای تقیید روایات مطلق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یَعْقُوبَ عَنْ مُحَمَّدِ بْنِ یَحْیَی عَنْ أَحْمَدَ بْنِ مُحَمَّدِ بْنِ عِیسَی عَنْ بَکْرِ بْنِ صَالِحٍ عَنِ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مُوسَی قدس سره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 الْإِبِلِ خَیْرٌ مِنْ أَلْبَانِهَا وَیَجْعَلُ اللّهُ الشِّفَاءَ فِی أَلْبَانِهَا؛</w:t>
      </w:r>
      <w:r>
        <w:rPr>
          <w:rStyle w:val="FootnoteAnchor"/>
          <w:rtl w:val="true"/>
        </w:rPr>
        <w:footnoteReference w:id="293"/>
      </w:r>
      <w:r>
        <w:rPr>
          <w:rFonts w:ascii="IRNazanin" w:hAnsi="IRNazanin" w:eastAsia="IRNazanin"/>
          <w:color w:val="111111"/>
          <w:sz w:val="28"/>
          <w:sz w:val="28"/>
          <w:szCs w:val="28"/>
          <w:rtl w:val="true"/>
          <w:lang w:bidi="fa-IR"/>
        </w:rPr>
        <w:t>بول شتر بهتر از شیر آن است و این در حالی است که خداوند در شیر شتر شفا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این روایت مقصود از جعفری، سلیمان بن جعفر است که ثقه می‌باشد</w:t>
      </w:r>
      <w:r>
        <w:rPr>
          <w:rStyle w:val="FootnoteAnchor"/>
          <w:rtl w:val="true"/>
        </w:rPr>
        <w:footnoteReference w:id="294"/>
      </w:r>
      <w:r>
        <w:rPr>
          <w:rFonts w:ascii="IRNazanin" w:hAnsi="IRNazanin" w:eastAsia="IRNazanin"/>
          <w:color w:val="111111"/>
          <w:sz w:val="28"/>
          <w:sz w:val="28"/>
          <w:szCs w:val="28"/>
          <w:rtl w:val="true"/>
          <w:lang w:bidi="fa-IR"/>
        </w:rPr>
        <w:t>و به جز بکر بن صالح که تا حدودی محلّ بحث است،</w:t>
      </w:r>
      <w:r>
        <w:rPr>
          <w:rStyle w:val="FootnoteAnchor"/>
          <w:rtl w:val="true"/>
        </w:rPr>
        <w:footnoteReference w:id="295"/>
      </w:r>
      <w:r>
        <w:rPr>
          <w:rFonts w:ascii="IRNazanin" w:hAnsi="IRNazanin" w:eastAsia="IRNazanin"/>
          <w:color w:val="111111"/>
          <w:sz w:val="28"/>
          <w:sz w:val="28"/>
          <w:szCs w:val="28"/>
          <w:rtl w:val="true"/>
          <w:lang w:bidi="fa-IR"/>
        </w:rPr>
        <w:t>سند این روایت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می‌توان استفاده کرد که در بول شتر نیز شفا قرار داده شده است، از این رو مصرف و شرب بول شتر برای معالجۀ امراض، مانعی ندارد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بزرگان همچون محقّق خویی قدس سره معتقدند این روایت در مقام بیان حکم شرعی نیست و تنها خواصّ طبّی بول شتر را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نباید برای برداشت حکم شرعی به آن تمسّک نمود</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در پاسخ ایشان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امام معصوم قدس سره بیان احکام شرعی است و از سوی دیگر، این امکان وجود دارد که امام علیه السلام هر دو جنبۀ طبّی و شرعی را مدّ نظر داشته باشند و در کنار حکم شرعی، به خواصّ طبّی نیز اشاره نمایند، که این‌جا نیز از همان موارد است</w:t>
      </w:r>
      <w:r>
        <w:rPr>
          <w:rFonts w:eastAsia="IRNazanin" w:cs="IRNazanin"/>
          <w:color w:val="111111"/>
          <w:sz w:val="28"/>
          <w:szCs w:val="28"/>
          <w:rtl w:val="true"/>
          <w:lang w:bidi="fa-IR"/>
        </w:rPr>
        <w:t>.</w:t>
      </w:r>
      <w:bookmarkStart w:id="425" w:name="pg13785_135032"/>
    </w:p>
    <w:p>
      <w:pPr>
        <w:pStyle w:val="Heading6"/>
        <w:numPr>
          <w:ilvl w:val="5"/>
          <w:numId w:val="1"/>
        </w:numPr>
        <w:rPr/>
      </w:pPr>
      <w:bookmarkStart w:id="426" w:name="__RefHeading___Toc2531019_1468164448"/>
      <w:bookmarkStart w:id="427" w:name="_Toc165"/>
      <w:bookmarkEnd w:id="425"/>
      <w:bookmarkEnd w:id="426"/>
      <w:r>
        <w:rPr>
          <w:rtl w:val="true"/>
        </w:rPr>
        <w:t>نتیجه‌گیری از روایات</w:t>
      </w:r>
      <w:bookmarkEnd w:id="427"/>
    </w:p>
    <w:p>
      <w:pPr>
        <w:pStyle w:val="BookText"/>
        <w:rPr/>
      </w:pPr>
      <w:r>
        <w:rPr>
          <w:rFonts w:ascii="IRNazanin" w:hAnsi="IRNazanin" w:eastAsia="IRNazanin"/>
          <w:color w:val="111111"/>
          <w:sz w:val="28"/>
          <w:sz w:val="28"/>
          <w:szCs w:val="28"/>
          <w:rtl w:val="true"/>
          <w:lang w:bidi="fa-IR"/>
        </w:rPr>
        <w:t>ما در این‌جا با دو دسته روایت رو به رو هستیم که برخی مقیّد و برخی مطلق‌اند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روایات مطلق، فرض این است که با وجود ضعف سند آنها، مشهور فقها به این دسته از روایات عمل کرده‌اند و روایات مقیَّد را مقیِّد آنها قرار نداده‌اند؛ زیرا نمی‌توان از روایات مقیّد، مفهوم‌گیری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شاید بزرگانی مانند سیّد مرتضی، ابن جنید، ابن ادریس و برخی دیگر که این روایات را مقیِّد روایات مطلق قرار نداده‌اند، از همین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می‌توان بر طبق روایات مطلق، فتوا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ذکر این نکته ضروری است که این بحث را نباید با بحث اضطرار خلط نمود؛ زیرا هر فعل حرامی در حال اضطرار مجاز خواهد شد و نیاز به بحث ندارد؛ لیکن شرب ابوال طاهر در حال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تداوی جایز است</w:t>
      </w:r>
      <w:r>
        <w:rPr>
          <w:rFonts w:eastAsia="IRNazanin" w:cs="IRNazanin"/>
          <w:color w:val="111111"/>
          <w:sz w:val="28"/>
          <w:szCs w:val="28"/>
          <w:rtl w:val="true"/>
          <w:lang w:bidi="fa-IR"/>
        </w:rPr>
        <w:t>.</w:t>
      </w:r>
    </w:p>
    <w:p>
      <w:pPr>
        <w:pStyle w:val="Heading6"/>
        <w:numPr>
          <w:ilvl w:val="5"/>
          <w:numId w:val="1"/>
        </w:numPr>
        <w:rPr/>
      </w:pPr>
      <w:bookmarkStart w:id="428" w:name="__RefHeading___Toc2531021_1468164448"/>
      <w:bookmarkStart w:id="429" w:name="_Toc166"/>
      <w:bookmarkEnd w:id="428"/>
      <w:r>
        <w:rPr>
          <w:rtl w:val="true"/>
        </w:rPr>
        <w:t>ب</w:t>
      </w:r>
      <w:r>
        <w:rPr>
          <w:rtl w:val="true"/>
        </w:rPr>
        <w:t xml:space="preserve">) </w:t>
      </w:r>
      <w:r>
        <w:rPr>
          <w:rtl w:val="true"/>
        </w:rPr>
        <w:t>دلیل قائلین به عدم جواز شرب ابوال طاهر</w:t>
      </w:r>
      <w:bookmarkEnd w:id="429"/>
    </w:p>
    <w:p>
      <w:pPr>
        <w:pStyle w:val="BookText"/>
        <w:rPr/>
      </w:pPr>
      <w:r>
        <w:rPr>
          <w:rFonts w:ascii="IRNazanin" w:hAnsi="IRNazanin" w:eastAsia="IRNazanin"/>
          <w:color w:val="111111"/>
          <w:sz w:val="28"/>
          <w:sz w:val="28"/>
          <w:szCs w:val="28"/>
          <w:rtl w:val="true"/>
          <w:lang w:bidi="fa-IR"/>
        </w:rPr>
        <w:t>بزرگانی همچون شیخ طوسی قدس سره و محقّق حلّی</w:t>
      </w:r>
      <w:r>
        <w:rPr>
          <w:rStyle w:val="FootnoteAnchor"/>
          <w:rtl w:val="true"/>
        </w:rPr>
        <w:footnoteReference w:id="297"/>
      </w:r>
      <w:r>
        <w:rPr>
          <w:rFonts w:ascii="IRNazanin" w:hAnsi="IRNazanin" w:eastAsia="IRNazanin"/>
          <w:color w:val="111111"/>
          <w:sz w:val="28"/>
          <w:sz w:val="28"/>
          <w:szCs w:val="28"/>
          <w:rtl w:val="true"/>
          <w:lang w:bidi="fa-IR"/>
        </w:rPr>
        <w:t>برای اثبات حرمت شرب بول به آیۀ شریفۀ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عَلَیْهِمُ الْخَبائِثَ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بول مصداقی برای خبائث شمرده می‌شود و آیه، خبائث را تحریم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شرب بول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قدس سره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البول یحرم بیعه وإن کان طاهراً للإستخباث، کأبوال البقر والإبل وإن انتفع به فی شربه لدواء لأنّه منفعة جزئیة نادرة فلا تعتدّ به؛</w:t>
      </w:r>
      <w:r>
        <w:rPr>
          <w:rStyle w:val="FootnoteAnchor"/>
          <w:rtl w:val="true"/>
        </w:rPr>
        <w:footnoteReference w:id="298"/>
      </w:r>
      <w:r>
        <w:rPr>
          <w:rFonts w:ascii="IRNazanin" w:hAnsi="IRNazanin" w:eastAsia="IRNazanin"/>
          <w:color w:val="111111"/>
          <w:sz w:val="28"/>
          <w:sz w:val="28"/>
          <w:szCs w:val="28"/>
          <w:rtl w:val="true"/>
          <w:lang w:bidi="fa-IR"/>
        </w:rPr>
        <w:t>بیع بول حرام است حتّی اگر پاک باشد و این به‌خاطر خباثت آن است، مانند بول گاو و شتر، هرچند از شرب آن برای درمان استفاده می‌گردد؛ لیکن این منفعت، منفعتی جزئی و غیر قابل اعتناست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ادامۀ بحث، جهت روشن شدن این مطلب که آیا می‌توان به این آیه برای اثبات</w:t>
      </w:r>
    </w:p>
    <w:p>
      <w:pPr>
        <w:pStyle w:val="BookText"/>
        <w:rPr/>
      </w:pPr>
      <w:r>
        <w:rPr>
          <w:rFonts w:ascii="IRNazanin" w:hAnsi="IRNazanin" w:eastAsia="IRNazanin"/>
          <w:color w:val="111111"/>
          <w:sz w:val="28"/>
          <w:sz w:val="28"/>
          <w:szCs w:val="28"/>
          <w:rtl w:val="true"/>
          <w:lang w:bidi="fa-IR"/>
        </w:rPr>
        <w:t>حرمت شرب بول استناد کرد یا خیر، دیدگاه برخی از فقها را مورد بررسی قرار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محقّق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اشاره به آیۀ شریفۀ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عَلَیْهِمُ الْخَبائِثَ</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من الخبائث کلّ ما فیه مفسدة و ردائة</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به نظر ایشان مقصود از خبیث در آیۀ شریفه، هر چیزی است که در آن مفسده و تباهی وجود داشته باشد که حتّی می‌تواند یک فعلی خارجی باشد؛ زیرا گاهی در افعال خارجی نیز مفسده وجود دارد و از این رو، قرآن نسبت به عمل قوم لوط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نَجَّیْناهُ مِنَ الْقَرْیَةِ الَّتِی کانَتْ تَعْمَلُ الْخَبائِثَ</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مجرّد منافرت با طبع انسانی را نمی‌توان ملاک تحریم دانست؛ بلکه ملاک تحریم وجود مفسده در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گفته شود بول با وجود این‌که طبع انسان با آن منافرت دارد، ولی هیچ مفسده‌ای ندارد، در این‌صورت نمی‌توان برای تحریم شرب آن، به این آیۀ شریفه استناد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فقها بر خلاف محقّق خویی قدس سره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خبیث آن چیزی است که با طبع و فطرت انسان سازگاری ندارد و در مقابل، آنچه مطابق فطرت و طبع انسانی باشد را طیّب می‌دانند</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از این‌رو، بول را از آن جهت که منافر طبع انسانی است، خبیث می‌شمارند و با استناد به این آیه، شرب آن را حرام می‌دانند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برای مشخّص شدن صحّت یا عدم صحّت دیدگاه محقّق خویی قدس سره باید دید منظور از خبیث در لغت چیست؟ در مفردات راغب خبیث این گونه تعریف شده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الخیبث مایکره ردائة وخساسة، محسوساً کان أو معقولاً، یتناول الباطل فی</w:t>
      </w:r>
    </w:p>
    <w:p>
      <w:pPr>
        <w:pStyle w:val="BookText"/>
        <w:rPr/>
      </w:pPr>
      <w:r>
        <w:rPr>
          <w:rFonts w:ascii="IRNazanin" w:hAnsi="IRNazanin" w:eastAsia="IRNazanin"/>
          <w:color w:val="111111"/>
          <w:sz w:val="28"/>
          <w:sz w:val="28"/>
          <w:szCs w:val="28"/>
          <w:rtl w:val="true"/>
          <w:lang w:bidi="fa-IR"/>
        </w:rPr>
        <w:t>الإعتقاد والکذب فی المقال والقبیح فی الفِعال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خبیث عبارت است از آنچه که به خاطر پستی وتباهی مورد کراهت و تنفّر باشد، خواه یک عمل یا قول باشد که قابل حس است و خواه افکار و عقاید باطل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نمی‌توان از مباحث لغوی استفاده نمود که خبیث یعنی هر چیزی که منافر با نفس انسان است؛ زیرا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وجود دارد که درآن خبیث در مقابل طیّب به کار رفته است و به معنای حرام در مقابل حلال است، مانند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تَتَبَدَّلُوا الْخَبِیثَ بِالطَّیِّبِ</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داروها و مواد خوراکی به دلیل مزۀ تلخ و بوی نامطبوع، هیچ‌گاه با نفس انسان سازگار نیستند و در عین حال برای انسان مفیدند و از مصادیق خبیث شمرده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قائل به حرمت آنها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دیدگاه محقّق خویی قدس سره موافق با لغت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دامنۀ گسترده‌تری دارد و هم افعال و گفتاری را که مفسده دارد، در بر می‌گیرد و هم آنچه منافر با نفس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شک داریم که آیا عرف، معنای گستردۀ خبیث را پذیرفته یا معنای لغوی آن را، ولی از آن‌جا که موارد اختلاف میان معنای لغوی و معنای عرفی یک واژه، بسیار نادر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لغوی همان معنای رایج بین مردم و عرف را نقل می‌کند و به‌خاطر همین، غالباً میان معنای لغوی و معنای عرفی یک واژه، یگانگی و اتّحاد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مورد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موضوع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معلوم می‌شود که عرف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گسترده معنا نمی‌کند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قدس سره اشکال دیگری را مطرح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عَلَیْهِمُ الْخَبائِثَ</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اعراب نازل شده است، برای فهم مرز میان خبیث و طیّب باید به عرف آن زمان مراجعه نمود؛ چراکه آنها مخاطب این آیه بوده‌اند و ممکن است</w:t>
      </w:r>
    </w:p>
    <w:p>
      <w:pPr>
        <w:pStyle w:val="BookText"/>
        <w:rPr/>
      </w:pPr>
      <w:r>
        <w:rPr>
          <w:rFonts w:ascii="IRNazanin" w:hAnsi="IRNazanin" w:eastAsia="IRNazanin"/>
          <w:color w:val="111111"/>
          <w:sz w:val="28"/>
          <w:sz w:val="28"/>
          <w:szCs w:val="28"/>
          <w:rtl w:val="true"/>
          <w:lang w:bidi="fa-IR"/>
        </w:rPr>
        <w:t>در آن زمان با وجود کمبود آب در بیابان‌ها، اعراب از بول شترها به عنوان آب استفاده می‌کردند و بر خلاف بول سگ و حیوان‌های حرام گوشت، بول شتر را خبیث نمی‌دانستند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نادرستی این سخن صاحب جواهر قدس سره با اندکی تأمّل نمایان می‌شود؛ زیرا نزد عرب آن زمان، زن از خبائث شمرده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نظر ایشان باید زن را نیز امروزه خبیث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مطلب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شریفه و احکام مربوط به آن، برای عموم مکلّفین است، نه فقط برای مکلّفین زمان نزول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از قدما معتقدند که آیات شریفه برای مخاطبین همان زمان است و بر اساس ملاک اشتراک برای ما نیز ثابت می‌شود؛ یعنی هنگامی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أَقِیمُوا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خطاب به مردم همان زمان است؛ امّا به ملاک اشتراک در تکلیف، برای دیگران نیز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تحقیقاتی که اصولیان متأخّر انجام داده‌اند، نمی‌توان این مطلب را پذیرفت؛ بلکه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آیات شریفه عموم مکلّفین هستند؛ یعنی آیۀ شریفۀ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عَلَیْهِمُ الْخَبائِثَ</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اعراب آن زمان و هم برای غیر اعراب آن زمان و برای عموم مکلّفین در همۀ زمان‌ها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فهم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معنای این واژه در میان اعراب زمان نزول این آیه مراجعه کرد و درک آنها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فهمید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معنای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عرف، همان معنای لغوی آن است و دیدگاه محقّق خویی قدس سره، هم با عرف سازگار است و هم با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آیۀ شریفه هر چیزی را که دارای مفسده باشد،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ابوال طاهر نیز یا یقین داریم که فاقد مفسده‌اند و یا شک به مفسده آن داریم، که در هر دو صورت نمی‌توان به این آیه برای اثبات حرمت شرب آن استناد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عقیدۀ امام خمینی آیۀ شریفۀ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عَلَیْهِمُ الْخَبائِثَ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مقام تشریع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خبائث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مشیر و این آیه در مقام حکایت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پیش از این پیامبر اکرم صلی الله علیه و آله خون، مردار، منی، و شراب را حرام کرده‌اند و خداوند متعال به یک عنوان کلّی و جامع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خبائث را در میان شما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در مقام حکایت آن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با استفاده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خبائث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عنوانی عام دارد و بر همۀ این موارد به حمل شایع صناعی صدق می‌کند، از آنچه پیامبر پیش از این حرام کرده است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عنوان خبیث موضوعیّتی در حکم نداشته و تنها یک عنوان مشیر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مشیر هم عنوانی است که هیچ‌گونه دخالتی در حکم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مولا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لباس مشکی پوشیده است بیاید، در این‌جا لباس مشکی عنوان مشیر است و خودش دخالتی در حکم مولا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مرد لباس مشکی پوشیده، مولا چنین حکمی کرده است؛ بلکه مولا می‌توانست به جای این‌که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با لباس مشکی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که کتاب در دست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مردار، منی ومانند آن، به‌خاطر خباثث حرام‌اند؛ یعنی از این آیه استفاده نمی‌شود که خبیث را به این عنوان که خبیث است، حرام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آیه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علیکم الخبائث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خبائث در حکم موضوعیّت داشت و باید در مورد آن بحث می‌شد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با توجّه به مطالب گفته شده، امام خمینی قدس سره استدلال به این آیه را صحیح می‌داند؛ بلکه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موردی نمی‌توان به این آیه استناد کرد و حرمت چیزی را ثابت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 اساس دیدگاه ایشان لازم نیست در مورد معنای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هرچند آیۀ یاد شده، در مقام حکایت است، ولی نمی‌توان</w:t>
      </w:r>
      <w:bookmarkStart w:id="430" w:name="pg13785_135037"/>
    </w:p>
    <w:p>
      <w:pPr>
        <w:pStyle w:val="BookText"/>
        <w:rPr/>
      </w:pPr>
      <w:bookmarkEnd w:id="430"/>
      <w:r>
        <w:rPr>
          <w:rFonts w:ascii="IRNazanin" w:hAnsi="IRNazanin" w:eastAsia="IRNazanin"/>
          <w:color w:val="111111"/>
          <w:sz w:val="28"/>
          <w:sz w:val="28"/>
          <w:szCs w:val="28"/>
          <w:rtl w:val="true"/>
          <w:lang w:bidi="fa-IR"/>
        </w:rPr>
        <w:t>پذیرفت که خبائث عنوان مُشیر بوده و هیچ‌گونه دخالتی در حکم ندارد؛ زیرا اگرچه آیه حکایت از حرمت خون، منی، مردار و مانند آن دارد، لیکن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خبائث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به نوعی ملاک و دلیل تحریم آنها را بیان می‌کند و در حکم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حرمت آنها به این دلیل است که از مصادیق خبیث شمرده می‌شوند؛ یعنی شارع خمر و میته را به این عنوان که خبیث‌اند،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از این آیه استفاده کرد که خبیث بما هو خبیث، موضوع حکم حرمت است؛ یعنی هرچند این آیه در مقام تشریع نیست، لیکن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مقام حکایت از حرمت مطلق خبائث بوده و استدلال به این آیه برای اثبات حرمت خبائث، صحیح است</w:t>
      </w:r>
      <w:r>
        <w:rPr>
          <w:rFonts w:eastAsia="IRNazanin" w:cs="IRNazanin"/>
          <w:color w:val="111111"/>
          <w:sz w:val="28"/>
          <w:szCs w:val="28"/>
          <w:rtl w:val="true"/>
          <w:lang w:bidi="fa-IR"/>
        </w:rPr>
        <w:t>.</w:t>
      </w:r>
    </w:p>
    <w:p>
      <w:pPr>
        <w:pStyle w:val="Heading6"/>
        <w:numPr>
          <w:ilvl w:val="5"/>
          <w:numId w:val="1"/>
        </w:numPr>
        <w:rPr/>
      </w:pPr>
      <w:bookmarkStart w:id="431" w:name="__RefHeading___Toc2531023_1468164448"/>
      <w:bookmarkStart w:id="432" w:name="_Toc167"/>
      <w:bookmarkEnd w:id="431"/>
      <w:r>
        <w:rPr>
          <w:rtl w:val="true"/>
        </w:rPr>
        <w:t>ج</w:t>
      </w:r>
      <w:r>
        <w:rPr>
          <w:rtl w:val="true"/>
        </w:rPr>
        <w:t xml:space="preserve">) </w:t>
      </w:r>
      <w:r>
        <w:rPr>
          <w:rtl w:val="true"/>
        </w:rPr>
        <w:t>نتیجۀ بررسی ادلّۀ شرب ابوال طاهر</w:t>
      </w:r>
      <w:bookmarkEnd w:id="432"/>
    </w:p>
    <w:p>
      <w:pPr>
        <w:pStyle w:val="BookText"/>
        <w:rPr/>
      </w:pPr>
      <w:r>
        <w:rPr>
          <w:rFonts w:ascii="IRNazanin" w:hAnsi="IRNazanin" w:eastAsia="IRNazanin"/>
          <w:color w:val="111111"/>
          <w:sz w:val="28"/>
          <w:sz w:val="28"/>
          <w:szCs w:val="28"/>
          <w:rtl w:val="true"/>
          <w:lang w:bidi="fa-IR"/>
        </w:rPr>
        <w:t>با استدلال به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عَلَیْهِمُ الْخَبائِثَ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حرمت شرب ابوال طاهر را ثابت نمود؛ زیرا یا این آیه را در مقام حکایت می‌دانیم یا در مقام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بپذیریم آیه در مقام تشریع است، بر اساس دیدگاه امام خمینی قدس سره خبائث عنوان مشیر دارد و نمی‌توان به آیه استدلال کرد؛ ولی به نظر ما با وجود این‌که آیه در مقام حکایت است،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خبائث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دخالت دارد و موضوع تحریم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این‌که پیش‌تر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و لغت به آن چیزی اطلاق می‌شود که نفس انسانی از آن نفرت دارد و مفسده‌ای در آن باشد، پس حتّی در صورتی که شک کنیم ابوال طاهر از جملۀ خبائث محسوب می‌شوند یا نه، باز هم نمی‌توان به این آیۀ شریفه استدلال کرد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نهایت با توجّه به روایاتِ یاد شده،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بول حیوان حلال گوشت، مطلقاً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احتیاط استحبابی آن است که آن را به خصوص تداوی و معالجه اختصاص دهیم</w:t>
      </w:r>
      <w:r>
        <w:rPr>
          <w:rFonts w:eastAsia="IRNazanin" w:cs="IRNazanin"/>
          <w:color w:val="111111"/>
          <w:sz w:val="28"/>
          <w:szCs w:val="28"/>
          <w:rtl w:val="true"/>
          <w:lang w:bidi="fa-IR"/>
        </w:rPr>
        <w:t>.</w:t>
      </w:r>
      <w:bookmarkStart w:id="433" w:name="pg13785_135038"/>
    </w:p>
    <w:p>
      <w:pPr>
        <w:pStyle w:val="Heading5"/>
        <w:numPr>
          <w:ilvl w:val="4"/>
          <w:numId w:val="1"/>
        </w:numPr>
        <w:rPr/>
      </w:pPr>
      <w:bookmarkStart w:id="434" w:name="__RefHeading___Toc2531025_1468164448"/>
      <w:bookmarkStart w:id="435" w:name="_Toc168"/>
      <w:bookmarkEnd w:id="433"/>
      <w:bookmarkEnd w:id="434"/>
      <w:r>
        <w:rPr>
          <w:rtl w:val="true"/>
        </w:rPr>
        <w:t>بند دوم</w:t>
      </w:r>
      <w:r>
        <w:rPr>
          <w:rtl w:val="true"/>
        </w:rPr>
        <w:t xml:space="preserve">: </w:t>
      </w:r>
      <w:r>
        <w:rPr>
          <w:rtl w:val="true"/>
        </w:rPr>
        <w:t>حکم معاملۀ بول حیوان حلال گوشت</w:t>
      </w:r>
      <w:bookmarkEnd w:id="435"/>
    </w:p>
    <w:p>
      <w:pPr>
        <w:pStyle w:val="Heading6"/>
        <w:numPr>
          <w:ilvl w:val="5"/>
          <w:numId w:val="1"/>
        </w:numPr>
        <w:rPr/>
      </w:pPr>
      <w:bookmarkStart w:id="436" w:name="__RefHeading___Toc2531027_1468164448"/>
      <w:bookmarkStart w:id="437" w:name="_Toc169"/>
      <w:bookmarkEnd w:id="436"/>
      <w:r>
        <w:rPr>
          <w:rtl w:val="true"/>
        </w:rPr>
        <w:t>اشارة</w:t>
      </w:r>
      <w:bookmarkEnd w:id="437"/>
    </w:p>
    <w:p>
      <w:pPr>
        <w:pStyle w:val="BookText"/>
        <w:rPr/>
      </w:pPr>
      <w:r>
        <w:rPr>
          <w:rFonts w:ascii="IRNazanin" w:hAnsi="IRNazanin" w:eastAsia="IRNazanin"/>
          <w:color w:val="111111"/>
          <w:sz w:val="28"/>
          <w:sz w:val="28"/>
          <w:szCs w:val="28"/>
          <w:rtl w:val="true"/>
          <w:lang w:bidi="fa-IR"/>
        </w:rPr>
        <w:t>شیخ انصاری قدس سره در کتاب المکاسب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قلنا بجواز شربها اختیاراً کما علیه جماعة من القدماء والمتأخّرین، بل عن المرتضی دعوی الإجماع علیه فالظاهر جواز بیعها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قلنا بحرمة شربها کما هو مذهب جماعة أُخری لاستخباثها ففی جواز بیعها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المنفعة المحلّلة المقصودة فیها، والمنفعة النادرة لو جوّزت المعاوضة لزم منه جواز معاوضة کلّ شیء، والتداوی بها لبعض الأوجاع لا یوجب قیاسها علی الأدویة والعقاقیر؛ لأنّه یوجب قیاس کلّ شیء علیها، للإنتفاع به فی بعض الأوقات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 المنفعة الظاهرة ولو عند الضرورة المسوّغة للشرب کافیة فی جواز البیع</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یعنی ایشان معتقد است که اگر بپذیریم شرب بول حیوان حلال گوشت جایز است، بیع آن نیز جایز خواهد بود و اگر شرب بول طاهر را جایز ندانیم، در جواز و حرمت بیع آن، دو وجه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ایشان در نهایت، عدم جواز بیع بول حیوان حلال گوشت را ترجیح می‌دهد؛ چراکه در فرض حرمت شرب، بول طاهر، فاقد منفعت محلّلۀ مقصوده در حال اختیار خواهد بود و منافع نادر در هنگام اضطرار نیز نمی‌توانند دلیل بر جواز بیع باشند؛ بلکه ملاک جواز بیع، داشتن منفعت حلال در حال اختیار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کسی در اشکال به شیخ قدس سره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ابوال طاهر و ادویه در چیست؟ چرا می‌توان ادویه را در جهت منفعت نادر آن معامله کرد، امّا در مورد بول طاهر چنین مطلبی گفته نمی‌شود؟ به عبارت دیگر، داروها و ادویه نیز تنها در فرض بروز بیماری مورد نیاز انسان است و خوردن آنها در حالت عادی مضرّ است؛ امّا به دلیل همین منفعت نادر، معاملۀ دارو جایز دانسته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این اساس باید معاملۀ ابوال طاهر را نیز جهت تداوی جایز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قدس سره در پاسخ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این سخن این است که همۀ معاملات حرام را با ادویه قیاس کنیم و بیع آن را جایز بشماریم؛ زیرا هر چیز محرّمی در فرض اضطرار، منفعتی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ملاک جواز معامله این است که شیء در حال اختیار دارای منافع محلّل باشد و وجود منفعت در حال اضطرار، موجب جواز بیع نمی‌گردد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جناب شیخ قدس سره در ادامه برای اثبات سخن خود، روایت نبوی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حَرَّمَ شیئاً حرّم ثمنَه</w:t>
      </w:r>
      <w:r>
        <w:rPr>
          <w:rFonts w:eastAsia="Amiri" w:cs="Amiri" w:ascii="Amiri" w:hAnsi="Amiri"/>
          <w:color w:val="111111"/>
          <w:sz w:val="28"/>
          <w:szCs w:val="28"/>
          <w:rtl w:val="true"/>
          <w:lang w:bidi="ar-SA"/>
        </w:rPr>
        <w:t>»</w:t>
      </w:r>
      <w:r>
        <w:rPr>
          <w:rStyle w:val="FootnoteAnchor"/>
          <w:rtl w:val="true"/>
        </w:rPr>
        <w:footnoteReference w:id="307"/>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إذا حَرَّم شیئاً اختیاراً حرّم 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می‌گیرد؛ یعنی اگر چیزی در حال اختیار حرام شد، معاملۀ آن نیز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ایشان با توجّه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همۀ منافع یا منفعت غالب یک شیء حرام باشد، معاملۀ آن نیز حرام خواهد بود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اکنون پس از بیان دیدگاه شیخ انصاری قدس سره، باید به سه نکتۀ مرتبط با دیدگاه ایشان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نمی‌توان شرب را منفعت غالب بول طاهر دانست؛ بلکه شرب، یا منفعت نادر بول است و یا اصلاً از منافع بول به شمار نمی‌آید؛ چراکه فقط اعراب آن زمان در برخی از شرایط و به‌خاطر کمبود آب در بیابان‌ها، از ابوال طاهر برای شرب استفاده می‌کردند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شرب، عنوان منفعت بول را داشته باشد، باید دید ملاک صحّت و بطلان بیع چیست؟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مالیّت شیء است، در این‌صورت معاملۀ چیزی که مالیّت ندارد، باطل خواهد بود؛ لیکن باید توجّه کرد که هر چیزی منافعی دارد که برخی از آنها، منافع کثیر و غالب شیء و برخی دیگر، منافع نادر آن شمرده می‌شوند؛ ولی شیء به سبب منافع محلّل غالبه‌اش مالیّت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ملاک صحّت بیع، مالیّت شیء باشد،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معاملۀ چیزی که دارای منافع</w:t>
      </w:r>
      <w:bookmarkStart w:id="438" w:name="pg13785_135040"/>
    </w:p>
    <w:p>
      <w:pPr>
        <w:pStyle w:val="BookText"/>
        <w:rPr/>
      </w:pPr>
      <w:bookmarkEnd w:id="438"/>
      <w:r>
        <w:rPr>
          <w:rFonts w:ascii="IRNazanin" w:hAnsi="IRNazanin" w:eastAsia="IRNazanin"/>
          <w:color w:val="111111"/>
          <w:sz w:val="28"/>
          <w:sz w:val="28"/>
          <w:szCs w:val="28"/>
          <w:rtl w:val="true"/>
          <w:lang w:bidi="fa-IR"/>
        </w:rPr>
        <w:t>محلّلۀ غالبه است، به قصد منفعت نادره‌اش صحیح است؛ زیرا این شیء به‌واسطۀ وجود منافع محلّل غالبه‌اش، مال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ملاک صحّت بیع، مالیّت شیء است و ممکن است مالیّت شیء بر اساس منفعت نادر آن باشد و شاید بر همین اساس، بسیاری از فقها معتقدند که نباید بحث را بر مدار جواز یا عدم جواز شرب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نیز در بحث روایت تحف العقول گفته شد که از این روایت برداشت می‌شود معاملۀ یک شیء در جهت منفعت محلّل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اگراین منفعت محلّل از منافع نادر آن شیء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معاملۀ ابوال طاهر برای آبیاری درختان که یک منفعت نادر امّا حلال است،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پس از نقل دیدگاه شیخ انصاری قدس سره به همراه سه نکته‌ای که دربارۀ آن وجود داشت، بحث معاملۀ ابوال طاهر را ادامه می‌دهیم و دیدگاه برگزیده را مطرح می‌کنیم</w:t>
      </w:r>
      <w:r>
        <w:rPr>
          <w:rFonts w:eastAsia="IRNazanin" w:cs="IRNazanin"/>
          <w:color w:val="111111"/>
          <w:sz w:val="28"/>
          <w:szCs w:val="28"/>
          <w:rtl w:val="true"/>
          <w:lang w:bidi="fa-IR"/>
        </w:rPr>
        <w:t>:</w:t>
      </w:r>
    </w:p>
    <w:p>
      <w:pPr>
        <w:pStyle w:val="Heading6"/>
        <w:numPr>
          <w:ilvl w:val="5"/>
          <w:numId w:val="1"/>
        </w:numPr>
        <w:rPr/>
      </w:pPr>
      <w:bookmarkStart w:id="439" w:name="__RefHeading___Toc2531029_1468164448"/>
      <w:bookmarkStart w:id="440" w:name="_Toc170"/>
      <w:bookmarkEnd w:id="439"/>
      <w:r>
        <w:rPr>
          <w:rtl w:val="true"/>
        </w:rPr>
        <w:t>الف</w:t>
      </w:r>
      <w:r>
        <w:rPr>
          <w:rtl w:val="true"/>
        </w:rPr>
        <w:t xml:space="preserve">) </w:t>
      </w:r>
      <w:r>
        <w:rPr>
          <w:rtl w:val="true"/>
        </w:rPr>
        <w:t>ملاک صحّت یا بطلان معاملۀ بول طاهر</w:t>
      </w:r>
      <w:bookmarkEnd w:id="440"/>
    </w:p>
    <w:p>
      <w:pPr>
        <w:pStyle w:val="BookText"/>
        <w:rPr/>
      </w:pPr>
      <w:r>
        <w:rPr>
          <w:rFonts w:ascii="IRNazanin" w:hAnsi="IRNazanin" w:eastAsia="IRNazanin"/>
          <w:color w:val="111111"/>
          <w:sz w:val="28"/>
          <w:sz w:val="28"/>
          <w:szCs w:val="28"/>
          <w:rtl w:val="true"/>
          <w:lang w:bidi="fa-IR"/>
        </w:rPr>
        <w:t>برخی از فقها همچون صاحب جواهر</w:t>
      </w:r>
      <w:r>
        <w:rPr>
          <w:rStyle w:val="FootnoteAnchor"/>
          <w:rtl w:val="true"/>
        </w:rPr>
        <w:footnoteReference w:id="309"/>
      </w:r>
      <w:r>
        <w:rPr>
          <w:rFonts w:ascii="IRNazanin" w:hAnsi="IRNazanin" w:eastAsia="IRNazanin"/>
          <w:color w:val="111111"/>
          <w:sz w:val="28"/>
          <w:sz w:val="28"/>
          <w:szCs w:val="28"/>
          <w:rtl w:val="true"/>
          <w:lang w:bidi="fa-IR"/>
        </w:rPr>
        <w:t>و شیخ انصاری قدس سرهما،</w:t>
      </w:r>
      <w:r>
        <w:rPr>
          <w:rStyle w:val="FootnoteAnchor"/>
          <w:rtl w:val="true"/>
        </w:rPr>
        <w:footnoteReference w:id="310"/>
      </w:r>
      <w:r>
        <w:rPr>
          <w:rFonts w:ascii="IRNazanin" w:hAnsi="IRNazanin" w:eastAsia="IRNazanin"/>
          <w:color w:val="111111"/>
          <w:sz w:val="28"/>
          <w:sz w:val="28"/>
          <w:szCs w:val="28"/>
          <w:rtl w:val="true"/>
          <w:lang w:bidi="fa-IR"/>
        </w:rPr>
        <w:t>ملاک صحّت و بطلان معاملۀ ابوال طاهر را جواز یا عدم جواز شرب آن دانسته‌اند و در مقابل، جمع دیگری از فقها که بیشتر آنها از متأخّرین هستند، وجود یا عدم وجود منفعت و غرض عقلایی را ملاک صحّت و بطلان معاملۀ ابوال طاهر می‌دانند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بنا بر این، باید ببینیم کدام مبنا صحیح و قابل پذیرش است؟ از این رو، برای یافتن پاسخ، دلایل هر دو گروه را مورد بررسی قرار می‌دهیم و در نهایت، دیدگاه برگزیده را بیان خواهیم کرد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دیدگاه نخست، که صحّت و بطلان معاملۀ ابوال طاهر را بر جواز یا عدم جواز شرب آن، متوقّف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انصاری قدس سره نیز آن را پذیرفته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به</w:t>
      </w:r>
    </w:p>
    <w:p>
      <w:pPr>
        <w:pStyle w:val="BookText"/>
        <w:rPr/>
      </w:pPr>
      <w:r>
        <w:rPr>
          <w:rFonts w:ascii="IRNazanin" w:hAnsi="IRNazanin" w:eastAsia="IRNazanin"/>
          <w:color w:val="111111"/>
          <w:sz w:val="28"/>
          <w:sz w:val="28"/>
          <w:szCs w:val="28"/>
          <w:rtl w:val="true"/>
          <w:lang w:bidi="fa-IR"/>
        </w:rPr>
        <w:t>این نکته اشاره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روایتی مبنی بر این‌که اگر شرب چیزی جایز بود، بیعش جایز است، وجود ندارد؛ بلکه قائلین به این دیدگاه به روایت نبوی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حَرَّم شیئاً حرَّم ثمنه</w:t>
      </w:r>
      <w:r>
        <w:rPr>
          <w:rFonts w:eastAsia="Amiri" w:cs="Amiri" w:ascii="Amiri" w:hAnsi="Amiri"/>
          <w:color w:val="111111"/>
          <w:sz w:val="28"/>
          <w:szCs w:val="28"/>
          <w:rtl w:val="true"/>
          <w:lang w:bidi="ar-SA"/>
        </w:rPr>
        <w:t>»</w:t>
      </w:r>
      <w:r>
        <w:rPr>
          <w:rStyle w:val="FootnoteAnchor"/>
          <w:rtl w:val="true"/>
        </w:rPr>
        <w:footnoteReference w:id="312"/>
      </w:r>
      <w:r>
        <w:rPr>
          <w:rFonts w:ascii="IRNazanin" w:hAnsi="IRNazanin" w:eastAsia="IRNazanin"/>
          <w:color w:val="111111"/>
          <w:sz w:val="28"/>
          <w:sz w:val="28"/>
          <w:szCs w:val="28"/>
          <w:rtl w:val="true"/>
          <w:lang w:bidi="fa-IR"/>
        </w:rPr>
        <w:t>استناد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این روایت را این گونه معنا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إذا حَرَّم جمیع منافع شیءٍ أو غالب منافعه حرّم 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از نگاه ایشان اگر منفعت غالب 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باشد، بیع آن نیز حرام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قدس سره در پاسخ به این مطلب که چرا فقها با وجود حرمت خوردن خاک، معاملۀ آن را جایز می‌دانند و تفاوت خاک و ابوال طاهر درچیست، به این نکته اشاره می‌کند که تمام منافع یا منافع غالب خاک،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معاملۀ آن نیز صحیح است و روایت عوالی اللئالی شامل آن نمی‌شود؛ زیرا خاک منافع زیادی داشته و خوردن خاک منفعت نادر آن است</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لیکن به نظر می‌رسد که استناد به این روایت برای اثبات ادّعای یاد شده، با اشکالاتی مواجه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سند این روایت را قبول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نسخه‌ها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آمده است؛ یعنی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إذا حرَّم أکل شیءٍ حَرَّم ثمنه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از روایت، این مطلب را برداشت کرد که اگر همۀ منافع یا منافع غالب یک شیء حرام باشد، بیعش حرام است؛ چون قرینه‌ای بر این تفسیر وجود ندارد؛ بلکه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ثمنه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اگر معامله به قصد اثر محرّم انجام شود، حرام خواهد بود، خواه آن اثر، منفعت غالب آن شیء باشد و خواه منفعت نادر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ابوال طاهر را به قصد ترتّب اثر حلال بفروشد، نمی‌توان با استفاده از این روایت چنین معامله‌ای را حرام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معاملۀ ابوال طاهر جهت کارهای عمرانی و استفاده از آن به جای آب،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اشکالات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مبنا فاقد پشتوانۀ علمی دقیق بوده و صحیح نیست؛ امّا مهم‌ترین دلیل قائلین به مبنای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ملاک صحّت یا بطلان معامله را وجود منفعت عقلایی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شریفۀ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محکم‌ترین قواعد شریعت ما همین قاعده‌ای است که از این آیه برداشت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اکل مال به باطل را حرام می‌داند و زمانی این امر واقع می‌شود که شیء فاقد مالیّت، مورد معامله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مبنای صحّت یا عدم آن، مالیّت شیء مورد معامله خواهد بود و مالیّت شیء نیز متوقّف بر وجود منفعت عقلایی است، هرچند آن منفعت نادر باشد؛ چنان‌که از روایت تحف العقول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کان فیه جهة من جهات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مطلب برداشت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معاملۀ چیزی که منفعتی نادر دارد، به قصد حلال و برای رسیدن به آن منفعت، حلال است و منفعت نادر موجب جواز بیع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این مبنا برابر است با جایز دانستن بیع هر چیزی؛ زیرا هر چیزی در نهایت یک منفعت عقلایی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جایی است که دلیلی بر عدم جواز بیع نداشته باشیم؛ لیکن اگر قرینه و دلیلی بر عدم جواز بیع شیء خاصّی وجود داشته باشد، به همان تمسّک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ابوال نجس از آن‌جا که اجماع بر حرمت بیع آن وجود دارد، هرچند می‌توان برای آن منفعت حلالی تصوّر نمود، با این حال، در فرض خرید و فروش آن، حکم به بطلان معامله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فقها همچون امام خمینی و محقّق خویی قدس سرهما در ابوال نجس نیز وجود منفعت عقلایی را مجوّز بیع می‌دانند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ما نیز ملاک صحّت بیع، مالیّت مورد معامله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دیدگاه شیخ انصاری قدس سره که منفعت نادر را موجب جواز بیع نمی‌داند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مطلب تأکید می‌کنیم که معاملۀ چیزی که منفعتی نادر دارد، با قصد آن اثر حلال، جایز است</w:t>
      </w:r>
      <w:r>
        <w:rPr>
          <w:rFonts w:eastAsia="IRNazanin" w:cs="IRNazanin"/>
          <w:color w:val="111111"/>
          <w:sz w:val="28"/>
          <w:szCs w:val="28"/>
          <w:rtl w:val="true"/>
          <w:lang w:bidi="fa-IR"/>
        </w:rPr>
        <w:t>.</w:t>
      </w:r>
      <w:bookmarkStart w:id="441" w:name="pg13785_135043"/>
    </w:p>
    <w:p>
      <w:pPr>
        <w:pStyle w:val="Heading6"/>
        <w:numPr>
          <w:ilvl w:val="5"/>
          <w:numId w:val="1"/>
        </w:numPr>
        <w:rPr/>
      </w:pPr>
      <w:bookmarkStart w:id="442" w:name="__RefHeading___Toc2531031_1468164448"/>
      <w:bookmarkStart w:id="443" w:name="_Toc171"/>
      <w:bookmarkEnd w:id="441"/>
      <w:bookmarkEnd w:id="442"/>
      <w:r>
        <w:rPr>
          <w:rtl w:val="true"/>
        </w:rPr>
        <w:t>ب</w:t>
      </w:r>
      <w:r>
        <w:rPr>
          <w:rtl w:val="true"/>
        </w:rPr>
        <w:t xml:space="preserve">) </w:t>
      </w:r>
      <w:r>
        <w:rPr>
          <w:rtl w:val="true"/>
        </w:rPr>
        <w:t>تفاوت ابوال طاهر و داروها</w:t>
      </w:r>
      <w:bookmarkEnd w:id="443"/>
    </w:p>
    <w:p>
      <w:pPr>
        <w:pStyle w:val="BookText"/>
        <w:rPr/>
      </w:pPr>
      <w:r>
        <w:rPr>
          <w:rFonts w:ascii="IRNazanin" w:hAnsi="IRNazanin" w:eastAsia="IRNazanin"/>
          <w:color w:val="111111"/>
          <w:sz w:val="28"/>
          <w:sz w:val="28"/>
          <w:szCs w:val="28"/>
          <w:rtl w:val="true"/>
          <w:lang w:bidi="fa-IR"/>
        </w:rPr>
        <w:t>شیخ انصاری قدس سره با توجّه به عدم جواز شرب ابوال طاهر، معاملۀ آنها را جایز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 این اشکال روبه‌رو می‌شود که تفاوت بول طاهر و دارو چیست که با وجود عدم جواز خوردن دارو در حال اختیار، معاملۀ آن در حال اضطرار را جایز می‌دانید، امّا در مورد بول طاهر چنین سخنی را صحیح نمی‌دانید؟</w:t>
      </w:r>
    </w:p>
    <w:p>
      <w:pPr>
        <w:pStyle w:val="BookText"/>
        <w:rPr/>
      </w:pPr>
      <w:r>
        <w:rPr>
          <w:rFonts w:ascii="IRNazanin" w:hAnsi="IRNazanin" w:eastAsia="IRNazanin"/>
          <w:color w:val="111111"/>
          <w:sz w:val="28"/>
          <w:sz w:val="28"/>
          <w:szCs w:val="28"/>
          <w:rtl w:val="true"/>
          <w:lang w:bidi="fa-IR"/>
        </w:rPr>
        <w:t>ایشان در پاسخ به این پرسش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ادویه و دارو، مسئله از باب تبدّل موضوع است؛</w:t>
      </w:r>
      <w:r>
        <w:rPr>
          <w:rStyle w:val="FootnoteAnchor"/>
          <w:rtl w:val="true"/>
        </w:rPr>
        <w:footnoteReference w:id="314"/>
      </w:r>
      <w:r>
        <w:rPr>
          <w:rFonts w:ascii="IRNazanin" w:hAnsi="IRNazanin" w:eastAsia="IRNazanin"/>
          <w:color w:val="111111"/>
          <w:sz w:val="28"/>
          <w:sz w:val="28"/>
          <w:szCs w:val="28"/>
          <w:rtl w:val="true"/>
          <w:lang w:bidi="fa-IR"/>
        </w:rPr>
        <w:t>یعنی مصرف دارو هنگام سلامتی بدن، عنوان اضرار به نفس را داراست، ولی هنگام بیماری، عنوان نفع و سود برای بدن را پیدا می‌کند؛ امّا در مورد بول، تبدّل موضوع پیش نمی‌آید؛ یعنی این طور نیست که در حالت اختیار، شرب بول برای انسان مضرّ و در حال اضطرار برای انسان، مفید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کمی تأمّل در سخن شیخ انصاری قدس سره معلوم می‌شود که این نظر، خالی از اشکال نیست؛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این گونه نیست که دارو هنگام سلامت بدن برای انسان مضّر باشد؛ بلکه اگر می‌گوییم معاملۀ آن جایز نیست، به خاطر عدم مالیّت آن است؛ یعنی به‌خاطر این است که در حال سلامتی، دارو برای انسان ارزش و اهمّیتی ندارد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تبدّل موضوع، هنگامی می‌تواند تأثیرگذار باشد که هر دو موضوع، عنوان اوّلی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موضوع نماز کامل، غیر مسافر و موضوع نماز شکسته، مسافر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اگر کسی وطن خود را ترک نماید و به مسافرت برود، موضوع، تبّدل یافته و عنوان مسافر را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کامل برای مکلّف حاضر و نماز شکسته برای مسافر واجب است و هر دو نیز عنوان اوّلی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بحث دارو، مصرف آن در حال سلامتی برای بدن مضر و به عنوان اوّلی حرام است؛ ولی در حال بیماری، مصرف آن به عنوان ثانوی واجب می‌شود، نه به عنوان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فرض، هر دو دارای عنوان اولی نیستند و به‌خاطر همین، بحث تبدّل موضوع در آن مطرح نمی‌شود</w:t>
      </w:r>
      <w:r>
        <w:rPr>
          <w:rFonts w:eastAsia="IRNazanin" w:cs="IRNazanin"/>
          <w:color w:val="111111"/>
          <w:sz w:val="28"/>
          <w:szCs w:val="28"/>
          <w:rtl w:val="true"/>
          <w:lang w:bidi="fa-IR"/>
        </w:rPr>
        <w:t>.</w:t>
      </w:r>
      <w:bookmarkStart w:id="444" w:name="pg13785_135044"/>
    </w:p>
    <w:p>
      <w:pPr>
        <w:pStyle w:val="BookText"/>
        <w:rPr/>
      </w:pPr>
      <w:bookmarkEnd w:id="444"/>
      <w:r>
        <w:rPr>
          <w:rFonts w:ascii="IRNazanin" w:hAnsi="IRNazanin" w:eastAsia="IRNazanin"/>
          <w:color w:val="111111"/>
          <w:sz w:val="28"/>
          <w:sz w:val="28"/>
          <w:szCs w:val="28"/>
          <w:rtl w:val="true"/>
          <w:lang w:bidi="fa-IR"/>
        </w:rPr>
        <w:t>البتّه می‌توان ادّعا نمود که تبدیل موضوع در عناوین ثانوی نیز صدق می‌کند که با پذیرش این سخن، می‌توان نظر شیخ انصاری قدس سره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این دو اشکال، نکتۀ‌دیگری مطرح می‌شود که از اهمّیت بیشتری برخوردار است، به این بیان که اگر بپذیریم تبدّل موضوع در عناوین ثانوی نیز صادق است، آن‌گاه تفاوتی بین ادویه و بول طاهر وجود نخواهد داشت؛ زیرا همان گونه که مصرف دارو در حال سلامت، حرام و در حال بیماری، واجب است، مصرف بول طاهر نیز در حال اختیار، حرام و در حال اضطرار،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نمی‌توان قبول کرد که در ادویه، تبدّل موضوع واقع می‌شود، ولی در باب ابوال این اتّفاق رخ نمی‌دهد</w:t>
      </w:r>
      <w:r>
        <w:rPr>
          <w:rFonts w:eastAsia="IRNazanin" w:cs="IRNazanin"/>
          <w:color w:val="111111"/>
          <w:sz w:val="28"/>
          <w:szCs w:val="28"/>
          <w:rtl w:val="true"/>
          <w:lang w:bidi="fa-IR"/>
        </w:rPr>
        <w:t>.</w:t>
      </w:r>
    </w:p>
    <w:p>
      <w:pPr>
        <w:pStyle w:val="Heading6"/>
        <w:numPr>
          <w:ilvl w:val="5"/>
          <w:numId w:val="1"/>
        </w:numPr>
        <w:rPr/>
      </w:pPr>
      <w:bookmarkStart w:id="445" w:name="__RefHeading___Toc2531033_1468164448"/>
      <w:bookmarkStart w:id="446" w:name="_Toc172"/>
      <w:bookmarkEnd w:id="445"/>
      <w:r>
        <w:rPr>
          <w:rtl w:val="true"/>
        </w:rPr>
        <w:t>دیدگاه محقّق ایروانی و محقّق خویی</w:t>
      </w:r>
      <w:bookmarkEnd w:id="446"/>
    </w:p>
    <w:p>
      <w:pPr>
        <w:pStyle w:val="BookText"/>
        <w:rPr/>
      </w:pPr>
      <w:r>
        <w:rPr>
          <w:rFonts w:ascii="IRNazanin" w:hAnsi="IRNazanin" w:eastAsia="IRNazanin"/>
          <w:color w:val="111111"/>
          <w:sz w:val="28"/>
          <w:sz w:val="28"/>
          <w:szCs w:val="28"/>
          <w:rtl w:val="true"/>
          <w:lang w:bidi="fa-IR"/>
        </w:rPr>
        <w:t>پس از روشن شدن این مطلب، به بیان دیدگاه محقّق ایروانی قدس سره در مورد تفاوت بول و دارو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عقیدۀ ایشان تفاوت ادویه و ابوال در ملاک حرمت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 در حال اختیار حرام است، چون عنوان اضرار به نفس را دارد و مصرف دارو برای انسان سالم مضر است؛ ولی در مورد ابوال، حرمت به ذات آنها باز می‌گردد 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ملاک حرمت در بحث ادویه، اضرار به نفس باشد، این حرمت، عنوان ثانوی دارد و به ذات شیء مربوط نیست؛ زیرا اگر دارو به شخص ضرر نرساند برای او حرام نخواهد بود؛ لیکن در مورد ابوال، حرمت به ذات آنها تعلّق گرفته و عنوان اوّلی دارد</w:t>
      </w:r>
      <w:r>
        <w:rPr>
          <w:rFonts w:eastAsia="IRNazanin" w:cs="IRNazanin"/>
          <w:color w:val="111111"/>
          <w:sz w:val="28"/>
          <w:szCs w:val="28"/>
          <w:rtl w:val="true"/>
          <w:lang w:bidi="fa-IR"/>
        </w:rPr>
        <w:t>.</w:t>
      </w:r>
      <w:r>
        <w:rPr>
          <w:rStyle w:val="FootnoteAnchor"/>
          <w:rtl w:val="true"/>
        </w:rPr>
        <w:footnoteReference w:id="315"/>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طبق نظر محقّق ایروانی قدس سره اگر بخواهیم بین ادویه و ابوال تفاوت بگذاریم، باید به ملاک حرمت آن دو اشاره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فقها نیز پذیرفته‌اند که حرمت اگر با ملاک اضرار باشد، عنوان اوّلی ندارد؛ چراکه در غیر این صورت، باید بسیاری از مباحات از قبیل پرخوری، پرخوابی، نشستن طولانی مدّت در یک مکان و مانند آن را با فرض اضرار به نفس، حرام بدانیم، در حالی که هیچ چیزی در دنیا نیست</w:t>
      </w:r>
    </w:p>
    <w:p>
      <w:pPr>
        <w:pStyle w:val="BookText"/>
        <w:rPr/>
      </w:pPr>
      <w:r>
        <w:rPr>
          <w:rFonts w:ascii="IRNazanin" w:hAnsi="IRNazanin" w:eastAsia="IRNazanin"/>
          <w:color w:val="111111"/>
          <w:sz w:val="28"/>
          <w:sz w:val="28"/>
          <w:szCs w:val="28"/>
          <w:rtl w:val="true"/>
          <w:lang w:bidi="fa-IR"/>
        </w:rPr>
        <w:t>مگر آن‌که مرتبۀ خاصّی از مصرف آن برای انسان مضر است، لیکن فقیه نمی‌تواند با استناد به این مطلب آن را حرام بشمارد؛ بلکه اضرار به نفس را در صورتی می‌توان مستند حرمت دانست که منتهی به اتلاف نفس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می‌توان نتیجه گرفت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اضرار به نفس را نمی‌توان به عنوان اوّلی ملاک حرمت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اضرار به نفس در صورتی دلیل حرمت شیء است که منجر به تلف نفس شود و صِرف وجود ضرر، برای اثبات حرمت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دیدگاه در سخنان محقّق خویی قدس سره نیز قابل مشاهده است؛ چراکه 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عنوان الإضرار لیس مما تکون الحرمة ثابتة علیه بالذات، أو بعنوان غیر منفکّ عنه، لأنّه لیس أمراً مضبوطاً، بل یختلف بالإضافة إلی الأشخاص والأزمنة والأمکنة والمقدار، وربما یکون الشیء مضرّاً بالإضافة إلی شخص جار المزاج دون غیره، وبالنسبة إلی منطقة دون منطقة، أو بمقدار خاصٍّ دون الأقل منه، بل لو کان عنوان الإضرار موجباً لحرمة البیع لما جاز بیع شیء من المشروبات والمأکولات، إذ ما من شیء إلّاوهو مضرّ للمزاج أزید من حدّه، نعم لو دلّ دلیل علی أنّ ما أضرّ کثیره فقلیله حرام، کما ورد فی الخمر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أسکر کثیره فقلیله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لتوجّه ما ذکره من النقض، وقد تمسّک بعض العامّة بذلک عند بحثنا معه فی حرمة شرب التتن، وأجبنا عنه بأنّه لو صحّ ما أضرّ کثیره فقلیله حرام للزم الإلتزام بحرمة جمیع المباحات فإنّ من الواضح أنّه ما من شیء فی العالم إلّاوتکون مرتبة خاصّة منه مضرّة للمزاج</w:t>
      </w:r>
      <w:r>
        <w:rPr>
          <w:rFonts w:eastAsia="IRNazanin" w:cs="IRNazanin"/>
          <w:color w:val="111111"/>
          <w:sz w:val="28"/>
          <w:szCs w:val="28"/>
          <w:rtl w:val="true"/>
          <w:lang w:bidi="fa-IR"/>
        </w:rPr>
        <w:t>.</w:t>
      </w:r>
      <w:r>
        <w:rPr>
          <w:rStyle w:val="FootnoteAnchor"/>
          <w:rtl w:val="true"/>
        </w:rPr>
        <w:footnoteReference w:id="316"/>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عقیدۀ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عنوان غیر مضبوط است و به نسبت اشخاص مختلف و در زمان‌ها و مکان‌های گوناگون،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بگوییم عنوان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حرمت بیع شیء است، آن‌گاه باید بیع همۀ مأکولات و مشروبات را حرام بدانیم؛ زیرا مصرف بیش از حدّ هر چیزی برای بدن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مواردی مانند خمر، دلیل داریم که مصرف کم آن نیز حرام است، حتّی اگر مسکر نبوده یا برای انسان مضرّ نباشد؛ امّا این قاعده، کلّیت ندارد و نمی‌توان در فقه به آن ملتزم شد؛ یعنی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مصرف بیش از حد و زیاد آن مضر است، استفادۀ اندک از آن نیز حرام است؛ بلکه این مطلب تنها در مواردی همچون خمر که دلیل خارجی داریم، صادق است؛ زیرا التزام به این قاعده موجب می‌شود که تمام مباحات را حرام بدانیم؛ چون هیچ چیزی وجود ندارد مگر این‌که در مرتبه‌ای خاص برای انسان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انسان در خوردن غذا زیاده‌روی کند، برایش مضرّ خواهد بود؛ امّا آیا فقیه می‌تواند بگوید این عمل وی حرام است؟ دلیلی نداریم بر این‌که استفاده از چیزی که برای انسان ضرر دارد، حرام است، مگر این‌که ضرر، منجر به تلف نفس شود که عقلاً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وقتی که ضرر، منجر به تلف نفس نشود، نمی‌توان آن را حرام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می‌توان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شریعت، ضرر به عنوان اوّلی ملاک حرمت نیست؛ بلکه تنها درصورتی که منتهی به اتلاف نفس شود، حرام خواهد بود و اتلاف نفس نیز باید دفعی باشد؛ یعنی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چیزی که در دراز مدّت، منجر به اتلاف نفس می‌شود،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مصرف دخانیات به تدریج موجب بروز بیماری‌های لا علاج در انسان می‌شود، ولی از آن‌جا که مشخّص نیست این آثار چه موقعی پدیدار می‌شوند، نمی‌توان مصرف آن را حرام دانست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آنچه گذشت، به این نتیجه می‌رسیم که با قطع نظر از اشکال اوّل و دوم که به شیخ انصاری قدس سره وارد می‌شود، و با فرض پذیرش این مطلب که تبدّل موضوع در عناوین ثانوی نیز جاری می‌شود، تفاوتی بین ابوال و ادویه وجود ندارد</w:t>
      </w:r>
      <w:r>
        <w:rPr>
          <w:rFonts w:eastAsia="IRNazanin" w:cs="IRNazanin"/>
          <w:color w:val="111111"/>
          <w:sz w:val="28"/>
          <w:szCs w:val="28"/>
          <w:rtl w:val="true"/>
          <w:lang w:bidi="fa-IR"/>
        </w:rPr>
        <w:t>.</w:t>
      </w:r>
      <w:bookmarkStart w:id="447" w:name="pg13785_135047"/>
    </w:p>
    <w:p>
      <w:pPr>
        <w:pStyle w:val="Heading6"/>
        <w:numPr>
          <w:ilvl w:val="5"/>
          <w:numId w:val="1"/>
        </w:numPr>
        <w:rPr/>
      </w:pPr>
      <w:bookmarkStart w:id="448" w:name="__RefHeading___Toc2531035_1468164448"/>
      <w:bookmarkStart w:id="449" w:name="_Toc173"/>
      <w:bookmarkEnd w:id="447"/>
      <w:bookmarkEnd w:id="448"/>
      <w:r>
        <w:rPr>
          <w:rtl w:val="true"/>
        </w:rPr>
        <w:t>ج</w:t>
      </w:r>
      <w:r>
        <w:rPr>
          <w:rtl w:val="true"/>
        </w:rPr>
        <w:t xml:space="preserve">) </w:t>
      </w:r>
      <w:r>
        <w:rPr>
          <w:rtl w:val="true"/>
        </w:rPr>
        <w:t>تفاوت بول با گوشت و چربی حیوانات درنده</w:t>
      </w:r>
      <w:bookmarkEnd w:id="449"/>
    </w:p>
    <w:p>
      <w:pPr>
        <w:pStyle w:val="BookText"/>
        <w:rPr/>
      </w:pPr>
      <w:r>
        <w:rPr>
          <w:rFonts w:ascii="IRNazanin" w:hAnsi="IRNazanin" w:eastAsia="IRNazanin"/>
          <w:color w:val="111111"/>
          <w:sz w:val="28"/>
          <w:sz w:val="28"/>
          <w:szCs w:val="28"/>
          <w:rtl w:val="true"/>
          <w:lang w:bidi="fa-IR"/>
        </w:rPr>
        <w:t>شیخ انصاری قدس سره بین گوشت درندگان و چربی و دنبۀ آنها فرق می‌گذارد و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گوشت حیوانات درنده، مانند بول و چربی آنها شبیه خاک است؛ یعنی همان‌گونه که معاملۀ خاک جایز است، معاملۀ چربی درندگان نیز جایز است؛ زیرا منافعی حلال، غیر از خوردن برای آن متصوّر است و بر عکس، گوشت درندگان همچون بول آنها، منفعتی جز خوردن ندارند که آن منفعت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معاملۀ آنها صحیح نیست</w:t>
      </w:r>
      <w:r>
        <w:rPr>
          <w:rFonts w:eastAsia="IRNazanin" w:cs="IRNazanin"/>
          <w:color w:val="111111"/>
          <w:sz w:val="28"/>
          <w:szCs w:val="28"/>
          <w:rtl w:val="true"/>
          <w:lang w:bidi="fa-IR"/>
        </w:rPr>
        <w:t>.</w:t>
      </w:r>
      <w:r>
        <w:rPr>
          <w:rStyle w:val="FootnoteAnchor"/>
          <w:rtl w:val="true"/>
        </w:rPr>
        <w:footnoteReference w:id="317"/>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شیخ انصاری قدس سره نیز قابل نقد است؛ زیرا ملاک جواز بیع یک شیء، مالیّت آن است و چه بسا گوشت درندگان نیز مالیّت داشته باشد که در این صورت، معاملۀ آن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فرقی میان گوشت و چربی حیوانات درنده، قائل شد</w:t>
      </w:r>
      <w:r>
        <w:rPr>
          <w:rFonts w:eastAsia="IRNazanin" w:cs="IRNazanin"/>
          <w:color w:val="111111"/>
          <w:sz w:val="28"/>
          <w:szCs w:val="28"/>
          <w:rtl w:val="true"/>
          <w:lang w:bidi="fa-IR"/>
        </w:rPr>
        <w:t>.</w:t>
      </w:r>
      <w:bookmarkStart w:id="450" w:name="pg13785_135048"/>
    </w:p>
    <w:p>
      <w:pPr>
        <w:pStyle w:val="Heading3"/>
        <w:numPr>
          <w:ilvl w:val="2"/>
          <w:numId w:val="1"/>
        </w:numPr>
        <w:rPr/>
      </w:pPr>
      <w:bookmarkStart w:id="451" w:name="__RefHeading___Toc2531037_1468164448"/>
      <w:bookmarkStart w:id="452" w:name="_Toc174"/>
      <w:bookmarkEnd w:id="450"/>
      <w:bookmarkEnd w:id="451"/>
      <w:r>
        <w:rPr>
          <w:rtl w:val="true"/>
        </w:rPr>
        <w:t>فصل سوم</w:t>
      </w:r>
      <w:r>
        <w:rPr>
          <w:rtl w:val="true"/>
        </w:rPr>
        <w:t xml:space="preserve">: </w:t>
      </w:r>
      <w:r>
        <w:rPr>
          <w:rtl w:val="true"/>
        </w:rPr>
        <w:t>معاملۀ عذره</w:t>
      </w:r>
      <w:bookmarkEnd w:id="452"/>
    </w:p>
    <w:p>
      <w:pPr>
        <w:pStyle w:val="Heading4"/>
        <w:numPr>
          <w:ilvl w:val="3"/>
          <w:numId w:val="1"/>
        </w:numPr>
        <w:rPr/>
      </w:pPr>
      <w:bookmarkStart w:id="453" w:name="__RefHeading___Toc2531039_1468164448"/>
      <w:bookmarkStart w:id="454" w:name="_Toc175"/>
      <w:bookmarkEnd w:id="453"/>
      <w:r>
        <w:rPr>
          <w:rtl w:val="true"/>
        </w:rPr>
        <w:t>اشارة</w:t>
      </w:r>
      <w:bookmarkEnd w:id="454"/>
    </w:p>
    <w:p>
      <w:pPr>
        <w:pStyle w:val="BookText"/>
        <w:rPr/>
      </w:pPr>
      <w:r>
        <w:rPr>
          <w:rFonts w:ascii="IRNazanin" w:hAnsi="IRNazanin" w:eastAsia="IRNazanin"/>
          <w:color w:val="111111"/>
          <w:sz w:val="28"/>
          <w:sz w:val="28"/>
          <w:szCs w:val="28"/>
          <w:rtl w:val="true"/>
          <w:lang w:bidi="fa-IR"/>
        </w:rPr>
        <w:t>دومین مورد از اعیان نجس که شیخ انصاری قدس سره آن را مطرح می‌کند، بحث بیع عذره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یحرم بیعُ العذرة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النجسة</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 xml:space="preserve">من کلّ حیوان علی المشهور بل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 تحریم بیع السرجین النجس؛</w:t>
      </w:r>
      <w:r>
        <w:rPr>
          <w:rStyle w:val="FootnoteAnchor"/>
          <w:rtl w:val="true"/>
        </w:rPr>
        <w:footnoteReference w:id="319"/>
      </w:r>
      <w:r>
        <w:rPr>
          <w:rFonts w:ascii="IRNazanin" w:hAnsi="IRNazanin" w:eastAsia="IRNazanin"/>
          <w:color w:val="111111"/>
          <w:sz w:val="28"/>
          <w:sz w:val="28"/>
          <w:szCs w:val="28"/>
          <w:rtl w:val="true"/>
          <w:lang w:bidi="fa-IR"/>
        </w:rPr>
        <w:t>بیع عذرۀ هر حیوانی، طبق قول مشهور، حرام است؛ بلکه در تذکره و خلاف، اجماع بر حرمت بیع سرگین نجس، نقل شده است</w:t>
      </w:r>
      <w:r>
        <w:rPr>
          <w:rFonts w:eastAsia="IRNazanin" w:cs="IRNazanin"/>
          <w:color w:val="111111"/>
          <w:sz w:val="28"/>
          <w:szCs w:val="28"/>
          <w:rtl w:val="true"/>
          <w:lang w:bidi="fa-IR"/>
        </w:rPr>
        <w:t>.</w:t>
      </w:r>
    </w:p>
    <w:p>
      <w:pPr>
        <w:pStyle w:val="Heading4"/>
        <w:numPr>
          <w:ilvl w:val="3"/>
          <w:numId w:val="1"/>
        </w:numPr>
        <w:rPr/>
      </w:pPr>
      <w:bookmarkStart w:id="455" w:name="__RefHeading___Toc2531041_1468164448"/>
      <w:bookmarkStart w:id="456" w:name="_Toc176"/>
      <w:bookmarkEnd w:id="455"/>
      <w:r>
        <w:rPr>
          <w:rtl w:val="true"/>
        </w:rPr>
        <w:t>گفتار اوّل</w:t>
      </w:r>
      <w:r>
        <w:rPr>
          <w:rtl w:val="true"/>
        </w:rPr>
        <w:t xml:space="preserve">: </w:t>
      </w:r>
      <w:r>
        <w:rPr>
          <w:rtl w:val="true"/>
        </w:rPr>
        <w:t>دیدگاه فقها</w:t>
      </w:r>
      <w:bookmarkEnd w:id="456"/>
    </w:p>
    <w:p>
      <w:pPr>
        <w:pStyle w:val="Heading5"/>
        <w:numPr>
          <w:ilvl w:val="4"/>
          <w:numId w:val="1"/>
        </w:numPr>
        <w:rPr/>
      </w:pPr>
      <w:bookmarkStart w:id="457" w:name="__RefHeading___Toc2531043_1468164448"/>
      <w:bookmarkStart w:id="458" w:name="_Toc177"/>
      <w:bookmarkEnd w:id="457"/>
      <w:r>
        <w:rPr>
          <w:rtl w:val="true"/>
        </w:rPr>
        <w:t>اشارة</w:t>
      </w:r>
      <w:bookmarkEnd w:id="45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تبیین بهتر بحث دربارۀ معاملۀ عذره، نخست عبارات فقها را مورد بررسی قرار می‌دهیم تا علاوه بر دانستن مستند فتاوای ایشان، در صورت وجود اجماع از آن</w:t>
      </w:r>
      <w:bookmarkStart w:id="459" w:name="pg13785_135049"/>
    </w:p>
    <w:p>
      <w:pPr>
        <w:pStyle w:val="BookText"/>
        <w:rPr/>
      </w:pPr>
      <w:bookmarkEnd w:id="459"/>
      <w:r>
        <w:rPr>
          <w:rFonts w:ascii="IRNazanin" w:hAnsi="IRNazanin" w:eastAsia="IRNazanin"/>
          <w:color w:val="111111"/>
          <w:sz w:val="28"/>
          <w:sz w:val="28"/>
          <w:szCs w:val="28"/>
          <w:rtl w:val="true"/>
          <w:lang w:bidi="fa-IR"/>
        </w:rPr>
        <w:t>آگاهی یابیم</w:t>
      </w:r>
      <w:r>
        <w:rPr>
          <w:rFonts w:eastAsia="IRNazanin" w:cs="IRNazanin"/>
          <w:color w:val="111111"/>
          <w:sz w:val="28"/>
          <w:szCs w:val="28"/>
          <w:rtl w:val="true"/>
          <w:lang w:bidi="fa-IR"/>
        </w:rPr>
        <w:t>.</w:t>
      </w:r>
    </w:p>
    <w:p>
      <w:pPr>
        <w:pStyle w:val="Heading5"/>
        <w:numPr>
          <w:ilvl w:val="4"/>
          <w:numId w:val="1"/>
        </w:numPr>
        <w:rPr/>
      </w:pPr>
      <w:bookmarkStart w:id="460" w:name="__RefHeading___Toc2531045_1468164448"/>
      <w:bookmarkStart w:id="461" w:name="_Toc178"/>
      <w:bookmarkEnd w:id="460"/>
      <w:r>
        <w:rPr/>
        <w:t>1</w:t>
      </w:r>
      <w:r>
        <w:rPr>
          <w:rtl w:val="true"/>
        </w:rPr>
        <w:t xml:space="preserve">- </w:t>
      </w:r>
      <w:r>
        <w:rPr>
          <w:rtl w:val="true"/>
        </w:rPr>
        <w:t>سخن شیخ طوسی در الخلاف</w:t>
      </w:r>
      <w:bookmarkEnd w:id="461"/>
    </w:p>
    <w:p>
      <w:pPr>
        <w:pStyle w:val="BookText"/>
        <w:rPr/>
      </w:pPr>
      <w:r>
        <w:rPr>
          <w:rFonts w:ascii="IRNazanin" w:hAnsi="IRNazanin" w:eastAsia="IRNazanin"/>
          <w:color w:val="111111"/>
          <w:sz w:val="28"/>
          <w:sz w:val="28"/>
          <w:szCs w:val="28"/>
          <w:rtl w:val="true"/>
          <w:lang w:bidi="fa-IR"/>
        </w:rPr>
        <w:t>ایشان می‌نویسد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سرجین ما یؤکل لحمه یجوز بیعه وقال أبو حنیفه یجوز بیع السراجین وقال الشافعی لا یجوز بیعها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علی جواز ذلک أنّه طاهر عندنا، ومن منع منه فإنّما منع لنجاسته، ویدلّ علی ذلک بیع أهل الأمصار فی جمیع الأعصار لزروعهم وثمارهم، ولم نجد أحداً کره ذلک، ولا خلاف فیه، فوجب أن یکون جائزاً و أمّا النجس منه، فلدلالة إجماع الفرقة وروی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إذا حرّم شیئاً حرّم ثمنه</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وهذا محرّم بالإجماع، فوجب أن یکون بیعه محرّماً؛</w:t>
      </w:r>
      <w:r>
        <w:rPr>
          <w:rStyle w:val="FootnoteAnchor"/>
          <w:rtl w:val="true"/>
        </w:rPr>
        <w:footnoteReference w:id="321"/>
      </w:r>
      <w:r>
        <w:rPr>
          <w:rFonts w:ascii="IRNazanin" w:hAnsi="IRNazanin" w:eastAsia="IRNazanin"/>
          <w:color w:val="111111"/>
          <w:sz w:val="28"/>
          <w:sz w:val="28"/>
          <w:szCs w:val="28"/>
          <w:rtl w:val="true"/>
          <w:lang w:bidi="fa-IR"/>
        </w:rPr>
        <w:t>بیع سرگین حیوان حلال گوشت جایز است؛ ولی ابوحنیفه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سرگین‌ها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حلال گوشت و چه حرام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آنها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ابوحنیفه و شافعی قائل به تفصیل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بر جواز بیع سرگین حیوان حلال گوشت، این است که ما آن را پاک می‌دانیم و هر کسی که بیع آن را ممنوع دانسته، به‌خاطر این بوده است که آن را نجس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آن است که اهل شهرها در همۀ زمان‌ها برای استفاده در زراعت‌هایشان سرگین را خرید و فروش می‌کرده‌اند و هیچ کس آن را مکروه ندانسته است و کسی هم با آن مخالفت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این بیع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بیع سرگین نجس، جایز نیست، به این دلیل است که اجماع فرقۀ شیعه بر عدم جواز آن قائم شده و از پیامبر اکرم صلی الله علیه و آله نیز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إذا حرّم شیئاً حرّم 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این‌که سرگین نجس اجماعاً حرام است، پس بیع آن نیز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شیخ طوسی قدس سره بین بیع سرگین نجس و پاک تفاوت می‌گذارد و بیع عذره و سرگین حیوان حلال گوشت را به دلیل پاک بودن آن، جایز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شیخ طوسی قدس سره بر این تفصیل، این است که سرگین حیوان حلال گوشت، طاهر و پاک است و در طول زمان در همۀ مناطق، برای استفاده در زراعت و کشاورزی مورد معامله قرار گرفته است و هیچ کس از عقلا و مردم نیز با آن مخالفت ننموده‌اند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بیع سرگین نجس به دلیل وجود اجماع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روایت نبوی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متعال چیزی را حرام کند، ثمن آن را نیز حرام کرده است، بر حرمت بیع سرگین نجس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 شیخ طوسی قدس سره چند نکته برداشت می‌شود که لازم است به آنها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قدس سره بین سرگین نجس و سرگین طاهر، تفاوت قائل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آوردن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أهل الأمصار فی جمیع الاعصار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یک سیرۀ عقلایی در طول زمان، مبنی بر معاملۀ سرگین حیوان حلال گوشت، اشاره می‌کند که شارع نیز با آن مخالفتی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قدس سره برای حرمت معاملۀ سرگین نجس، به دو دلیل استناد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و روایت نبوی</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حرّم شیئاً حرّم ثمنه</w:t>
      </w:r>
      <w:r>
        <w:rPr>
          <w:rFonts w:eastAsia="Amiri" w:cs="Amiri" w:ascii="Amiri" w:hAnsi="Amiri"/>
          <w:color w:val="111111"/>
          <w:sz w:val="28"/>
          <w:szCs w:val="28"/>
          <w:rtl w:val="true"/>
          <w:lang w:bidi="ar-SA"/>
        </w:rPr>
        <w:t>».</w:t>
      </w:r>
      <w:r>
        <w:rPr>
          <w:rStyle w:val="FootnoteAnchor"/>
          <w:rtl w:val="true"/>
        </w:rPr>
        <w:footnoteReference w:id="322"/>
      </w:r>
      <w:r>
        <w:rPr>
          <w:rFonts w:ascii="IRNazanin" w:hAnsi="IRNazanin" w:eastAsia="IRNazanin"/>
          <w:color w:val="111111"/>
          <w:sz w:val="28"/>
          <w:sz w:val="28"/>
          <w:szCs w:val="28"/>
          <w:rtl w:val="true"/>
          <w:lang w:bidi="fa-IR"/>
        </w:rPr>
        <w:t xml:space="preserve">البتّه ایشان روایت را به این شکل نقل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تعبیر گویای این مطلب است که شیخ طوسی قدس سره اعتماد کاملی به این روایت ندارد و همان گونه که پیش از این بیان شد، این روایت بیشتر در کتب عامّه نقل شده و سند آن با اشکالاتی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ایشان این روایت را در مقابل ابوحنیفه که بین سرگین نجس و طاهر تفاوتی قائل نمی‌شود و معاملۀ هر دو را جایز می‌داند،</w:t>
      </w:r>
      <w:r>
        <w:rPr>
          <w:rStyle w:val="FootnoteAnchor"/>
          <w:rtl w:val="true"/>
        </w:rPr>
        <w:footnoteReference w:id="323"/>
      </w:r>
      <w:r>
        <w:rPr>
          <w:rFonts w:ascii="IRNazanin" w:hAnsi="IRNazanin" w:eastAsia="IRNazanin"/>
          <w:color w:val="111111"/>
          <w:sz w:val="28"/>
          <w:sz w:val="28"/>
          <w:szCs w:val="28"/>
          <w:rtl w:val="true"/>
          <w:lang w:bidi="fa-IR"/>
        </w:rPr>
        <w:t>آورده است و از آن‌جا که ابوحنیفه این روایت را قبول دارد، از باب جدل به آن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دلیل شیخ طوسی قدس سره بر حرمت بیع سرگین نجس، اجماع فرقۀ امامیه است</w:t>
      </w:r>
      <w:r>
        <w:rPr>
          <w:rFonts w:eastAsia="IRNazanin" w:cs="IRNazanin"/>
          <w:color w:val="111111"/>
          <w:sz w:val="28"/>
          <w:szCs w:val="28"/>
          <w:rtl w:val="true"/>
          <w:lang w:bidi="fa-IR"/>
        </w:rPr>
        <w:t>.</w:t>
      </w:r>
      <w:bookmarkStart w:id="462" w:name="pg13785_135051"/>
    </w:p>
    <w:p>
      <w:pPr>
        <w:pStyle w:val="BookText"/>
        <w:rPr/>
      </w:pPr>
      <w:bookmarkEnd w:id="462"/>
      <w:r>
        <w:rPr>
          <w:rFonts w:ascii="IRNazanin" w:hAnsi="IRNazanin" w:eastAsia="IRNazanin"/>
          <w:color w:val="111111"/>
          <w:sz w:val="28"/>
          <w:sz w:val="28"/>
          <w:szCs w:val="28"/>
          <w:rtl w:val="true"/>
          <w:lang w:bidi="fa-IR"/>
        </w:rPr>
        <w:t>چه بسا کسی اشکال کند که با وجود روایاتی مانند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 العَذَرَةِ مِنَ السُّحْتِ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4"/>
      </w:r>
      <w:r>
        <w:rPr>
          <w:rFonts w:ascii="IRNazanin" w:hAnsi="IRNazanin" w:eastAsia="IRNazanin"/>
          <w:color w:val="111111"/>
          <w:sz w:val="28"/>
          <w:sz w:val="28"/>
          <w:szCs w:val="28"/>
          <w:rtl w:val="true"/>
          <w:lang w:bidi="fa-IR"/>
        </w:rPr>
        <w:t>این اجماع نیز مدرکی و فاقد حجّیت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به نظر می‌رسد که این اشکال، صحیح نیست؛ زیرا این دسته از روایات در تعارض با گروه دیگری از روایات است و نمی‌توان با وجود روایات متعارض، اجماع را مدرکی دانست و از اعتبار ساقط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شیخ طوسی قدس سره در کتاب الخلاف به این روایات استناد نکرده است</w:t>
      </w:r>
      <w:r>
        <w:rPr>
          <w:rFonts w:eastAsia="IRNazanin" w:cs="IRNazanin"/>
          <w:color w:val="111111"/>
          <w:sz w:val="28"/>
          <w:szCs w:val="28"/>
          <w:rtl w:val="true"/>
          <w:lang w:bidi="fa-IR"/>
        </w:rPr>
        <w:t>.</w:t>
      </w:r>
    </w:p>
    <w:p>
      <w:pPr>
        <w:pStyle w:val="Heading5"/>
        <w:numPr>
          <w:ilvl w:val="4"/>
          <w:numId w:val="1"/>
        </w:numPr>
        <w:rPr/>
      </w:pPr>
      <w:bookmarkStart w:id="463" w:name="__RefHeading___Toc2531047_1468164448"/>
      <w:bookmarkStart w:id="464" w:name="_Toc179"/>
      <w:bookmarkEnd w:id="463"/>
      <w:r>
        <w:rPr/>
        <w:t>2</w:t>
      </w:r>
      <w:r>
        <w:rPr>
          <w:rtl w:val="true"/>
        </w:rPr>
        <w:t xml:space="preserve">- </w:t>
      </w:r>
      <w:r>
        <w:rPr>
          <w:rtl w:val="true"/>
        </w:rPr>
        <w:t>سخن شیخ طوسی در النهایة</w:t>
      </w:r>
      <w:bookmarkEnd w:id="464"/>
    </w:p>
    <w:p>
      <w:pPr>
        <w:pStyle w:val="BookText"/>
        <w:rPr/>
      </w:pPr>
      <w:r>
        <w:rPr>
          <w:rFonts w:ascii="IRNazanin" w:hAnsi="IRNazanin" w:eastAsia="IRNazanin"/>
          <w:color w:val="111111"/>
          <w:sz w:val="28"/>
          <w:sz w:val="28"/>
          <w:szCs w:val="28"/>
          <w:rtl w:val="true"/>
          <w:lang w:bidi="fa-IR"/>
        </w:rPr>
        <w:t>شیخ طوسی قدس سره در کتاب النهایة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وجمیع النّجاسات محرّم التّصرّف فیها والتّکسّب بها علی اختلاف أجناسها، من سائر أنواع العذرة والأبوال وغیرهما، إلّاأبوال الإبل خاصّة، فإنّه لا بأس بشربه والإستشفاء به عند الضّرورة؛</w:t>
      </w:r>
      <w:r>
        <w:rPr>
          <w:rStyle w:val="FootnoteAnchor"/>
          <w:rtl w:val="true"/>
        </w:rPr>
        <w:footnoteReference w:id="325"/>
      </w:r>
      <w:r>
        <w:rPr>
          <w:rFonts w:ascii="IRNazanin" w:hAnsi="IRNazanin" w:eastAsia="IRNazanin"/>
          <w:color w:val="111111"/>
          <w:sz w:val="28"/>
          <w:sz w:val="28"/>
          <w:szCs w:val="28"/>
          <w:rtl w:val="true"/>
          <w:lang w:bidi="fa-IR"/>
        </w:rPr>
        <w:t>تصرّف و کسب درآمد با نجاسات، حرام است و فرقی میان انواع عذره، انواع بول و سایر نجاسات نیست، مگر بول شتر، که شرب آن و درمان بیماری با آن هنگام ضرورت،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با توجّه به استثنای موجود در کلام شیخ طوسی قدس سره، چنین برداشت کرده‌اند که ایشان در کتاب النهایة، نظری متفاوت و مخالف با کتاب الخلاف را اختیار کرده است؛ یعنی استثنا کردن شتر را قرینه می‌دانند بر این‌که مستثنی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عذره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 است و عذرۀ نجس و طاهر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ایشان در کتاب النهایة بیع عذره و بول را، خواه نجس باشد و خواه طاهر، حرام دانسته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با توجّه به صدر کلام ایشان که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النجاسات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نموده است، صحیح نیست و ایشان در این کتاب نیز بین عذرۀ طاهر و نجس، تفاوت گذاشته است</w:t>
      </w:r>
      <w:r>
        <w:rPr>
          <w:rFonts w:eastAsia="IRNazanin" w:cs="IRNazanin"/>
          <w:color w:val="111111"/>
          <w:sz w:val="28"/>
          <w:szCs w:val="28"/>
          <w:rtl w:val="true"/>
          <w:lang w:bidi="fa-IR"/>
        </w:rPr>
        <w:t>.</w:t>
      </w:r>
      <w:bookmarkStart w:id="465" w:name="pg13785_135052"/>
    </w:p>
    <w:p>
      <w:pPr>
        <w:pStyle w:val="Heading5"/>
        <w:numPr>
          <w:ilvl w:val="4"/>
          <w:numId w:val="1"/>
        </w:numPr>
        <w:rPr/>
      </w:pPr>
      <w:bookmarkStart w:id="466" w:name="__RefHeading___Toc2531049_1468164448"/>
      <w:bookmarkStart w:id="467" w:name="_Toc180"/>
      <w:bookmarkEnd w:id="465"/>
      <w:bookmarkEnd w:id="466"/>
      <w:r>
        <w:rPr/>
        <w:t>3</w:t>
      </w:r>
      <w:r>
        <w:rPr>
          <w:rtl w:val="true"/>
        </w:rPr>
        <w:t xml:space="preserve">- </w:t>
      </w:r>
      <w:r>
        <w:rPr>
          <w:rtl w:val="true"/>
        </w:rPr>
        <w:t>سخن شیخ طوسی در المبسوط‌</w:t>
      </w:r>
      <w:bookmarkEnd w:id="467"/>
    </w:p>
    <w:p>
      <w:pPr>
        <w:pStyle w:val="BookText"/>
        <w:rPr/>
      </w:pPr>
      <w:r>
        <w:rPr>
          <w:rFonts w:ascii="IRNazanin" w:hAnsi="IRNazanin" w:eastAsia="IRNazanin"/>
          <w:color w:val="111111"/>
          <w:sz w:val="28"/>
          <w:sz w:val="28"/>
          <w:szCs w:val="28"/>
          <w:rtl w:val="true"/>
          <w:lang w:bidi="fa-IR"/>
        </w:rPr>
        <w:t>شیخ طوسی قدس سره در المبسوط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سرجین ما لا یؤکل لحمه وعذرة الإنسان وخرء الکلاب والدم، فإنّه لا یجوز بیعه، ویجوز الإنتفاع به فی الزروع والکروم واُصول الشجر بلا خلاف؛</w:t>
      </w:r>
      <w:r>
        <w:rPr>
          <w:rStyle w:val="FootnoteAnchor"/>
          <w:rtl w:val="true"/>
        </w:rPr>
        <w:footnoteReference w:id="326"/>
      </w:r>
      <w:r>
        <w:rPr>
          <w:rFonts w:ascii="IRNazanin" w:hAnsi="IRNazanin" w:eastAsia="IRNazanin"/>
          <w:color w:val="111111"/>
          <w:sz w:val="28"/>
          <w:sz w:val="28"/>
          <w:szCs w:val="28"/>
          <w:rtl w:val="true"/>
          <w:lang w:bidi="fa-IR"/>
        </w:rPr>
        <w:t>بیع سرگین حیوانات حرام گوشت و عذرۀ انسان و آب دهان سگ و خون، جایز نیست؛ ولی استفاده از آن در کشاورزی و درختان انگور و غیر آن، جایز است و در آن اختلافی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این‌جا نیز بین عذرۀ نجس و عذرۀ طاهر، تفاوت قائل شده و بیع عذرۀ 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مدفوع انسان و مدفوع حیوانات حرام گوشت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جایز نمی‌داند؛ بلکه فقط انتفاع و استفاده از آن را در کشاورزی و غیر آن جایز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شیخ طوسی رحمه الله اشکالاتی را به همراه دارد؛ چراکه جواز انتفاع از یک شیء، موجب مالیّت آن می‌شود و با وجود مالیّت شیء، وجهی برای بطلان بیع و حرمت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دیگری که باید به آن اشاره کرد این است که ایشان بین مدفوع انسان و حیوانات حرام گوشت دیگر، تفاوتی نگذاشته است؛ در حالی که در بین فقهای امامیّه و اهل‌سنّت بر این مطلب که معاملۀ مدفوع انسان جایز نیست، اتّفاق نظر وجود دارد و محلّ بحث، عذرۀ غیر انسان است</w:t>
      </w:r>
      <w:r>
        <w:rPr>
          <w:rFonts w:eastAsia="IRNazanin" w:cs="IRNazanin"/>
          <w:color w:val="111111"/>
          <w:sz w:val="28"/>
          <w:szCs w:val="28"/>
          <w:rtl w:val="true"/>
          <w:lang w:bidi="fa-IR"/>
        </w:rPr>
        <w:t>.</w:t>
      </w:r>
    </w:p>
    <w:p>
      <w:pPr>
        <w:pStyle w:val="Heading5"/>
        <w:numPr>
          <w:ilvl w:val="4"/>
          <w:numId w:val="1"/>
        </w:numPr>
        <w:rPr/>
      </w:pPr>
      <w:bookmarkStart w:id="468" w:name="__RefHeading___Toc2531051_1468164448"/>
      <w:bookmarkStart w:id="469" w:name="_Toc181"/>
      <w:bookmarkEnd w:id="468"/>
      <w:r>
        <w:rPr/>
        <w:t>4</w:t>
      </w:r>
      <w:r>
        <w:rPr>
          <w:rtl w:val="true"/>
        </w:rPr>
        <w:t xml:space="preserve">- </w:t>
      </w:r>
      <w:r>
        <w:rPr>
          <w:rtl w:val="true"/>
        </w:rPr>
        <w:t>دیدگاه شیخ مفید</w:t>
      </w:r>
      <w:bookmarkEnd w:id="469"/>
    </w:p>
    <w:p>
      <w:pPr>
        <w:pStyle w:val="BookText"/>
        <w:rPr/>
      </w:pPr>
      <w:r>
        <w:rPr>
          <w:rFonts w:ascii="IRNazanin" w:hAnsi="IRNazanin" w:eastAsia="IRNazanin"/>
          <w:color w:val="111111"/>
          <w:sz w:val="28"/>
          <w:sz w:val="28"/>
          <w:szCs w:val="28"/>
          <w:rtl w:val="true"/>
          <w:lang w:bidi="fa-IR"/>
        </w:rPr>
        <w:t>شیخ مفید قدس سره در کتاب المقنعة اظهار می‌دارد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وبیع العذرة والأبوال کلّها حرام إلّاأبوال الإبل خاصّة؛</w:t>
      </w:r>
      <w:r>
        <w:rPr>
          <w:rStyle w:val="FootnoteAnchor"/>
          <w:rtl w:val="true"/>
        </w:rPr>
        <w:footnoteReference w:id="327"/>
      </w:r>
      <w:r>
        <w:rPr>
          <w:rFonts w:ascii="IRNazanin" w:hAnsi="IRNazanin" w:eastAsia="IRNazanin"/>
          <w:color w:val="111111"/>
          <w:sz w:val="28"/>
          <w:sz w:val="28"/>
          <w:szCs w:val="28"/>
          <w:rtl w:val="true"/>
          <w:lang w:bidi="fa-IR"/>
        </w:rPr>
        <w:t>بیع عذره و ابوال همگی حرام است، مگر خصوص بول شتر</w:t>
      </w:r>
      <w:r>
        <w:rPr>
          <w:rFonts w:eastAsia="IRNazanin" w:cs="IRNazanin"/>
          <w:color w:val="111111"/>
          <w:sz w:val="28"/>
          <w:szCs w:val="28"/>
          <w:rtl w:val="true"/>
          <w:lang w:bidi="fa-IR"/>
        </w:rPr>
        <w:t>.</w:t>
      </w:r>
      <w:bookmarkStart w:id="470" w:name="pg13785_135053"/>
    </w:p>
    <w:p>
      <w:pPr>
        <w:pStyle w:val="BookText"/>
        <w:rPr/>
      </w:pPr>
      <w:bookmarkEnd w:id="470"/>
      <w:r>
        <w:rPr>
          <w:rFonts w:ascii="IRNazanin" w:hAnsi="IRNazanin" w:eastAsia="IRNazanin"/>
          <w:color w:val="111111"/>
          <w:sz w:val="28"/>
          <w:sz w:val="28"/>
          <w:szCs w:val="28"/>
          <w:rtl w:val="true"/>
          <w:lang w:bidi="fa-IR"/>
        </w:rPr>
        <w:t>پس به عقیدۀ ایشان، بیع عذره حرام است و تفاوتی میان عذرۀ نجس و عذرۀ طاهر وجود ندارد</w:t>
      </w:r>
      <w:r>
        <w:rPr>
          <w:rFonts w:eastAsia="IRNazanin" w:cs="IRNazanin"/>
          <w:color w:val="111111"/>
          <w:sz w:val="28"/>
          <w:szCs w:val="28"/>
          <w:rtl w:val="true"/>
          <w:lang w:bidi="fa-IR"/>
        </w:rPr>
        <w:t>.</w:t>
      </w:r>
    </w:p>
    <w:p>
      <w:pPr>
        <w:pStyle w:val="Heading5"/>
        <w:numPr>
          <w:ilvl w:val="4"/>
          <w:numId w:val="1"/>
        </w:numPr>
        <w:rPr/>
      </w:pPr>
      <w:bookmarkStart w:id="471" w:name="__RefHeading___Toc2531053_1468164448"/>
      <w:bookmarkStart w:id="472" w:name="_Toc182"/>
      <w:bookmarkEnd w:id="471"/>
      <w:r>
        <w:rPr/>
        <w:t>5</w:t>
      </w:r>
      <w:r>
        <w:rPr>
          <w:rtl w:val="true"/>
        </w:rPr>
        <w:t xml:space="preserve">- </w:t>
      </w:r>
      <w:r>
        <w:rPr>
          <w:rtl w:val="true"/>
        </w:rPr>
        <w:t>دیدگاه علاّمۀ حلّی</w:t>
      </w:r>
      <w:bookmarkEnd w:id="472"/>
    </w:p>
    <w:p>
      <w:pPr>
        <w:pStyle w:val="BookText"/>
        <w:rPr/>
      </w:pPr>
      <w:r>
        <w:rPr>
          <w:rFonts w:ascii="IRNazanin" w:hAnsi="IRNazanin" w:eastAsia="IRNazanin"/>
          <w:color w:val="111111"/>
          <w:sz w:val="28"/>
          <w:sz w:val="28"/>
          <w:szCs w:val="28"/>
          <w:rtl w:val="true"/>
          <w:lang w:bidi="fa-IR"/>
        </w:rPr>
        <w:t>علّامه قدس سره در تذکرة الفقهاء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یجوز بیع السرجین النجس إجماعاً منّا وبه قال مالک والشافعی وأحمد، للإجماع علی نجاسته، فیحرم بیعه کالمیتة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حنیفة یجوز، لأنّ أهل الأمصار یبایعونه لزروعهم من غیر نکیر فکان إجماعاً، ونمنع إجماع العلماء ولا عبرة بغیرهم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ولأنّه رجیع نجس</w:t>
      </w:r>
      <w:r>
        <w:rPr>
          <w:rStyle w:val="FootnoteAnchor"/>
          <w:rtl w:val="true"/>
        </w:rPr>
        <w:footnoteReference w:id="328"/>
      </w:r>
      <w:r>
        <w:rPr>
          <w:rFonts w:ascii="IRNazanin" w:hAnsi="IRNazanin" w:eastAsia="IRNazanin"/>
          <w:color w:val="111111"/>
          <w:sz w:val="28"/>
          <w:sz w:val="28"/>
          <w:szCs w:val="28"/>
          <w:rtl w:val="true"/>
          <w:lang w:bidi="fa-IR"/>
        </w:rPr>
        <w:t>فلم یصحّ بیعه کرجیع الآدمی؛ امّا غیر النجس فیحتمل عندی جواز بیعه</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علاّمۀ حلّی همانند شیخ طوسی قدس سرهما میان سرگین نجس و طاهر، تفاوت قائل شده است و معاملۀ سرگین طاهر را جایز می‌داند و دربارۀ سرگین نجس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سرگین نجس به دلیل وجود اجماع بین امامیّه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استدلال ابو حنیفه بر جواز سرگین نجس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عمل اهل همۀ مناطق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 تعبیر می‌کند و 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اجماعی که مربوط به نوع مردم است، نمی‌تواند دلیل شمرده شود و فقط اجماع علما می‌تواند دلیل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انتها علاوه بر اجماع، دلیل دوّمی هم ذکر می‌کند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سرگین 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سرگین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نجاسات است و بیع نجس، مطلقاً جایز نیست</w:t>
      </w:r>
      <w:r>
        <w:rPr>
          <w:rFonts w:eastAsia="IRNazanin" w:cs="IRNazanin"/>
          <w:color w:val="111111"/>
          <w:sz w:val="28"/>
          <w:szCs w:val="28"/>
          <w:rtl w:val="true"/>
          <w:lang w:bidi="fa-IR"/>
        </w:rPr>
        <w:t>.</w:t>
      </w:r>
    </w:p>
    <w:p>
      <w:pPr>
        <w:pStyle w:val="Heading5"/>
        <w:numPr>
          <w:ilvl w:val="4"/>
          <w:numId w:val="1"/>
        </w:numPr>
        <w:rPr/>
      </w:pPr>
      <w:bookmarkStart w:id="473" w:name="__RefHeading___Toc2531055_1468164448"/>
      <w:bookmarkStart w:id="474" w:name="_Toc183"/>
      <w:bookmarkEnd w:id="473"/>
      <w:r>
        <w:rPr/>
        <w:t>6</w:t>
      </w:r>
      <w:r>
        <w:rPr>
          <w:rtl w:val="true"/>
        </w:rPr>
        <w:t xml:space="preserve">- </w:t>
      </w:r>
      <w:r>
        <w:rPr>
          <w:rtl w:val="true"/>
        </w:rPr>
        <w:t>دیدگاه صاحب جواهر</w:t>
      </w:r>
      <w:bookmarkEnd w:id="474"/>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قدس سره میان عذرۀ حیوانات حلال گوشت و عذرۀ حیوانات حرام گوشت فرق می‌گذارد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محصّل و منقول بر حرمت بیع عذرۀ نجس</w:t>
      </w:r>
      <w:bookmarkStart w:id="475" w:name="pg13785_135054"/>
    </w:p>
    <w:p>
      <w:pPr>
        <w:pStyle w:val="BookText"/>
        <w:rPr/>
      </w:pPr>
      <w:bookmarkEnd w:id="475"/>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r>
        <w:rPr>
          <w:rStyle w:val="FootnoteAnchor"/>
          <w:rtl w:val="true"/>
        </w:rPr>
        <w:footnoteReference w:id="330"/>
      </w:r>
    </w:p>
    <w:p>
      <w:pPr>
        <w:pStyle w:val="Heading5"/>
        <w:numPr>
          <w:ilvl w:val="4"/>
          <w:numId w:val="1"/>
        </w:numPr>
        <w:rPr/>
      </w:pPr>
      <w:bookmarkStart w:id="476" w:name="__RefHeading___Toc2531057_1468164448"/>
      <w:bookmarkStart w:id="477" w:name="_Toc184"/>
      <w:bookmarkEnd w:id="476"/>
      <w:r>
        <w:rPr/>
        <w:t>7</w:t>
      </w:r>
      <w:r>
        <w:rPr>
          <w:rtl w:val="true"/>
        </w:rPr>
        <w:t xml:space="preserve">- </w:t>
      </w:r>
      <w:r>
        <w:rPr>
          <w:rtl w:val="true"/>
        </w:rPr>
        <w:t>دیدگاه علمای اهل‌سنّت</w:t>
      </w:r>
      <w:bookmarkEnd w:id="477"/>
    </w:p>
    <w:p>
      <w:pPr>
        <w:pStyle w:val="BookText"/>
        <w:rPr/>
      </w:pPr>
      <w:r>
        <w:rPr>
          <w:rFonts w:ascii="IRNazanin" w:hAnsi="IRNazanin" w:eastAsia="IRNazanin"/>
          <w:color w:val="111111"/>
          <w:sz w:val="28"/>
          <w:sz w:val="28"/>
          <w:szCs w:val="28"/>
          <w:rtl w:val="true"/>
          <w:lang w:bidi="fa-IR"/>
        </w:rPr>
        <w:t xml:space="preserve">در میان علمای اهل سنّت، ابو حنیفه بیع عذره را به‌طور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طاهر و چه 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می‌داند و وجود مالیّت شیء و جواز انتفاع از آن را ملاک جواز بیع قرارداده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علمای اهل‌سنّت، مانند مالک و شافعی و احمد، بیع عذرۀ طاهر و نجس را جایز نمی‌دانند</w:t>
      </w:r>
      <w:r>
        <w:rPr>
          <w:rFonts w:eastAsia="IRNazanin" w:cs="IRNazanin"/>
          <w:color w:val="111111"/>
          <w:sz w:val="28"/>
          <w:szCs w:val="28"/>
          <w:rtl w:val="true"/>
          <w:lang w:bidi="fa-IR"/>
        </w:rPr>
        <w:t>.</w:t>
      </w:r>
      <w:r>
        <w:rPr>
          <w:rStyle w:val="FootnoteAnchor"/>
          <w:rtl w:val="true"/>
        </w:rPr>
        <w:footnoteReference w:id="331"/>
      </w:r>
    </w:p>
    <w:p>
      <w:pPr>
        <w:pStyle w:val="Heading5"/>
        <w:numPr>
          <w:ilvl w:val="4"/>
          <w:numId w:val="1"/>
        </w:numPr>
        <w:rPr/>
      </w:pPr>
      <w:bookmarkStart w:id="478" w:name="__RefHeading___Toc2531059_1468164448"/>
      <w:bookmarkStart w:id="479" w:name="_Toc185"/>
      <w:bookmarkEnd w:id="478"/>
      <w:r>
        <w:rPr/>
        <w:t>8</w:t>
      </w:r>
      <w:r>
        <w:rPr>
          <w:rtl w:val="true"/>
        </w:rPr>
        <w:t xml:space="preserve">- </w:t>
      </w:r>
      <w:r>
        <w:rPr>
          <w:rtl w:val="true"/>
        </w:rPr>
        <w:t>نتیجۀ بررسی اقوال فقها</w:t>
      </w:r>
      <w:bookmarkEnd w:id="479"/>
    </w:p>
    <w:p>
      <w:pPr>
        <w:pStyle w:val="BookText"/>
        <w:rPr/>
      </w:pPr>
      <w:r>
        <w:rPr>
          <w:rFonts w:ascii="IRNazanin" w:hAnsi="IRNazanin" w:eastAsia="IRNazanin"/>
          <w:color w:val="111111"/>
          <w:sz w:val="28"/>
          <w:sz w:val="28"/>
          <w:szCs w:val="28"/>
          <w:rtl w:val="true"/>
          <w:lang w:bidi="fa-IR"/>
        </w:rPr>
        <w:t>پس از مطالعۀ عبارات فقهای امامیّه، مشخّص شد که هیچ یک از آن بزرگواران، معاملۀ عذرۀ نجس را جایز نمی‌دانند و برخی از آنها نظیر شیخ طوسی و علاّمۀ حلّی قدس سرهما بر جواز بیع عذرۀ طاهر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فقهای امامیّه اجماعی مبنی بر عدم جواز بیع عذرۀ نجس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بین اهل‌سنّت، ابوحنیفه که بیع عذره را مطلقاً جایز می‌داند، دیگر علمای اهل‌سنّت معتقدند که بیع عذره، خواه نجس باشد خواه طاهر، جایز نیست</w:t>
      </w:r>
      <w:r>
        <w:rPr>
          <w:rFonts w:eastAsia="IRNazanin" w:cs="IRNazanin"/>
          <w:color w:val="111111"/>
          <w:sz w:val="28"/>
          <w:szCs w:val="28"/>
          <w:rtl w:val="true"/>
          <w:lang w:bidi="fa-IR"/>
        </w:rPr>
        <w:t>.</w:t>
      </w:r>
    </w:p>
    <w:p>
      <w:pPr>
        <w:pStyle w:val="Heading4"/>
        <w:numPr>
          <w:ilvl w:val="3"/>
          <w:numId w:val="1"/>
        </w:numPr>
        <w:rPr/>
      </w:pPr>
      <w:bookmarkStart w:id="480" w:name="__RefHeading___Toc2531061_1468164448"/>
      <w:bookmarkStart w:id="481" w:name="_Toc186"/>
      <w:bookmarkEnd w:id="480"/>
      <w:r>
        <w:rPr>
          <w:rtl w:val="true"/>
        </w:rPr>
        <w:t>گفتار دوم</w:t>
      </w:r>
      <w:r>
        <w:rPr>
          <w:rtl w:val="true"/>
        </w:rPr>
        <w:t xml:space="preserve">: </w:t>
      </w:r>
      <w:r>
        <w:rPr>
          <w:rtl w:val="true"/>
        </w:rPr>
        <w:t>معاملۀ عذرۀ حیوانات حلال گوشت</w:t>
      </w:r>
      <w:bookmarkEnd w:id="48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عذره و مدفوع حیوان حلال گوشت، پاک است و در امور کشاورزی مورد استفاده قرار می‌گیرد،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معاملۀ آن جایز است و در این امر نیازی به روایت و یا آیه‌ای نداریم؛ بلکه وجود این منافع شایع در عذره و وجود سیرۀ عقلایی در طول زمان بر استفاده از منافع عذره و عدم انکار وردع آن توسّط شارع، بهترین دلیل بر جواز بیع عذرۀ حیوانات حلال گوشت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میان عبارات فقها تقریباً بر این مسئله اتّفاق نظر وجود دارد و اگر از اطلاق برخی عبارات استفاده شود که بین</w:t>
      </w:r>
      <w:bookmarkStart w:id="482" w:name="pg13785_135055"/>
    </w:p>
    <w:p>
      <w:pPr>
        <w:pStyle w:val="BookText"/>
        <w:rPr/>
      </w:pPr>
      <w:bookmarkEnd w:id="482"/>
      <w:r>
        <w:rPr>
          <w:rFonts w:ascii="IRNazanin" w:hAnsi="IRNazanin" w:eastAsia="IRNazanin"/>
          <w:color w:val="111111"/>
          <w:sz w:val="28"/>
          <w:sz w:val="28"/>
          <w:szCs w:val="28"/>
          <w:rtl w:val="true"/>
          <w:lang w:bidi="fa-IR"/>
        </w:rPr>
        <w:t>عذرۀ نجس و طاهر تفاوتی نیست،</w:t>
      </w:r>
      <w:r>
        <w:rPr>
          <w:rStyle w:val="FootnoteAnchor"/>
          <w:rtl w:val="true"/>
        </w:rPr>
        <w:footnoteReference w:id="332"/>
      </w:r>
      <w:r>
        <w:rPr>
          <w:rFonts w:ascii="IRNazanin" w:hAnsi="IRNazanin" w:eastAsia="IRNazanin"/>
          <w:color w:val="111111"/>
          <w:sz w:val="28"/>
          <w:sz w:val="28"/>
          <w:szCs w:val="28"/>
          <w:rtl w:val="true"/>
          <w:lang w:bidi="fa-IR"/>
        </w:rPr>
        <w:t>باید این عبارات را تأویل و توجیه کرد</w:t>
      </w:r>
      <w:r>
        <w:rPr>
          <w:rFonts w:eastAsia="IRNazanin" w:cs="IRNazanin"/>
          <w:color w:val="111111"/>
          <w:sz w:val="28"/>
          <w:szCs w:val="28"/>
          <w:rtl w:val="true"/>
          <w:lang w:bidi="fa-IR"/>
        </w:rPr>
        <w:t>.</w:t>
      </w:r>
    </w:p>
    <w:p>
      <w:pPr>
        <w:pStyle w:val="Heading4"/>
        <w:numPr>
          <w:ilvl w:val="3"/>
          <w:numId w:val="1"/>
        </w:numPr>
        <w:rPr/>
      </w:pPr>
      <w:bookmarkStart w:id="483" w:name="__RefHeading___Toc2531063_1468164448"/>
      <w:bookmarkStart w:id="484" w:name="_Toc187"/>
      <w:bookmarkEnd w:id="483"/>
      <w:r>
        <w:rPr>
          <w:rtl w:val="true"/>
        </w:rPr>
        <w:t>گفتار سوم</w:t>
      </w:r>
      <w:r>
        <w:rPr>
          <w:rtl w:val="true"/>
        </w:rPr>
        <w:t xml:space="preserve">: </w:t>
      </w:r>
      <w:r>
        <w:rPr>
          <w:rtl w:val="true"/>
        </w:rPr>
        <w:t>معاملۀ عذرۀ انسان</w:t>
      </w:r>
      <w:bookmarkEnd w:id="484"/>
    </w:p>
    <w:p>
      <w:pPr>
        <w:pStyle w:val="Heading5"/>
        <w:numPr>
          <w:ilvl w:val="4"/>
          <w:numId w:val="1"/>
        </w:numPr>
        <w:rPr/>
      </w:pPr>
      <w:bookmarkStart w:id="485" w:name="__RefHeading___Toc2531065_1468164448"/>
      <w:bookmarkStart w:id="486" w:name="_Toc188"/>
      <w:bookmarkEnd w:id="485"/>
      <w:r>
        <w:rPr>
          <w:rtl w:val="true"/>
        </w:rPr>
        <w:t>اشارة</w:t>
      </w:r>
      <w:bookmarkEnd w:id="486"/>
    </w:p>
    <w:p>
      <w:pPr>
        <w:pStyle w:val="BookText"/>
        <w:rPr/>
      </w:pPr>
      <w:r>
        <w:rPr>
          <w:rFonts w:ascii="IRNazanin" w:hAnsi="IRNazanin" w:eastAsia="IRNazanin"/>
          <w:color w:val="111111"/>
          <w:sz w:val="28"/>
          <w:sz w:val="28"/>
          <w:szCs w:val="28"/>
          <w:rtl w:val="true"/>
          <w:lang w:bidi="fa-IR"/>
        </w:rPr>
        <w:t>در مورد بحث عذرۀ انسان باید به چند مطلب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چنین پنداشته‌اند که مراد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خصوص آن چیزی است که از انسان خارج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 و 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مدفوع غیر انسان، سرجین یا سرگین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تعابیری دیگر، از مدفوع حیوان حلال گوشت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و مدفوع حیوان حرام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امام خمینی قدس سره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آنچه در کتب لغت وارد شده است،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بوده و مدفوع انسان و غیر انسان را در بر می‌گیرد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فقها بحث عذرۀ انسان و حکم معاملۀ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و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مسلّم و مفروغٌ‌عنه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ملاحظۀ این عبارت علاّمۀ حلّی قدس سره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رجیعُ النجس کرجیعِ الآدمی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مشخّص می‌شود که ایشان عدم جواز بیع عذرۀ انسان را مسلّم می‌داند و برای اثبات همین حکم در مورد عذرۀ حیوان حرام گوشت، آن را به عذرۀ انسان تشبیه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از عبارات فقها، اجماعی مبنی بر عدم جواز بیع عذرۀ نجس برداشت نمود؛ لیکن این پرسش مطرح می‌شود که آیا این اجماع، عذرۀ انسان را نیز در بر می‌گیرد یا خیر؟</w:t>
      </w:r>
    </w:p>
    <w:p>
      <w:pPr>
        <w:pStyle w:val="BookText"/>
        <w:rPr/>
      </w:pPr>
      <w:r>
        <w:rPr>
          <w:rFonts w:ascii="IRNazanin" w:hAnsi="IRNazanin" w:eastAsia="IRNazanin"/>
          <w:color w:val="111111"/>
          <w:sz w:val="28"/>
          <w:sz w:val="28"/>
          <w:szCs w:val="28"/>
          <w:rtl w:val="true"/>
          <w:lang w:bidi="fa-IR"/>
        </w:rPr>
        <w:t>شیخ طوسی قدس سره در کتاب الخلاف می‌فرماید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سرجین ما یؤکل لحمه یجوز 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النجس منه، فلدلالة إجماع الفرقة وروی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إذا حرّم شیئاً حرّم 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محرّم</w:t>
      </w:r>
    </w:p>
    <w:p>
      <w:pPr>
        <w:pStyle w:val="BookText"/>
        <w:rPr/>
      </w:pPr>
      <w:r>
        <w:rPr>
          <w:rFonts w:ascii="IRNazanin" w:hAnsi="IRNazanin" w:eastAsia="IRNazanin"/>
          <w:color w:val="111111"/>
          <w:sz w:val="28"/>
          <w:sz w:val="28"/>
          <w:szCs w:val="28"/>
          <w:rtl w:val="true"/>
          <w:lang w:bidi="fa-IR"/>
        </w:rPr>
        <w:t>بالإجماع، فوجب أن یکون بیعه محرّماً</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شیخ طوسی قدس سره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اجماع و روایت نبوی، معاملۀ سرگین نجس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بر عذرۀ انسان نیز اطلاق شود، می‌توان نتیجه گرفت که سخن شیخ طوسی قدس سره عذرۀ انسان را نیز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در کتاب المبسوط از تعبیر دیگری استفاده کرده است که نمی‌توان از آن چنین نتیجه‌ای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سرجین ما لا یؤکل لحمه وعذرة الإنسان وخرء الکلاب والدم فإنّه لا یجوز بیعه</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با توجّه به این‌که شیخ طوسی قدس سره در این عبارت، عذرۀ انسان را به سرگین حیوان حرام گوشت عطف کرده است، می‌توان نتیجه گرفت که ایشان میان این دو، تفاوت قائل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حلّی قدس سره نیز حرمت بیع عذرۀ انسان را امری مسلّم و قطعی می‌داند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یجوز بیع السرجین النجس إجماعاً منّا لأنّه رجیع نجس، فلم یصحّ بیعه کرجیع الآدمی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غیر النجس فیحتمل عندی جواز بیعه</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امام خمینی قدس سره نیز در این باره اظهار می‌دارد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فاتّضح بطلان نسبة حکایة الإجماع إلی الشیخ والعلّامة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وأوضح بطلاناً نسبته إلی الثانی فی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بیع السرجین النجس، وبه قال الشافعی وأحمد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حنیفة یجوز لنا أنّه مجمع علی نجاسته فلم یجز بیعه</w:t>
      </w:r>
    </w:p>
    <w:p>
      <w:pPr>
        <w:pStyle w:val="BookText"/>
        <w:rPr/>
      </w:pPr>
      <w:r>
        <w:rPr>
          <w:rFonts w:ascii="IRNazanin" w:hAnsi="IRNazanin" w:eastAsia="IRNazanin"/>
          <w:color w:val="111111"/>
          <w:sz w:val="28"/>
          <w:sz w:val="28"/>
          <w:szCs w:val="28"/>
          <w:rtl w:val="true"/>
          <w:lang w:bidi="fa-IR"/>
        </w:rPr>
        <w:t>کالمیتة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استدلّ بالروایات وهو کما تری لم یدّع الإجماع إلّاعلی نجاسته واستنتاج عدم جواز بیعه اجتهاد منه، بل لو کان بیعه مورد الإجماع، لم یدّع کذلک،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لإلزامهم والإجماع من الفریقین علی النجاسة ثمّ إنّ من الممکن الخدشة فی دعوی العلّامة فی التذکرة الإجماع علی عدم جواز بیع السرجین النجس، لأنّه معلّل بقوله للإجماع علی نجاسته فیحرم بیعه، وفی مثله یشکل إثبات الإجماع علی الحکم الأوّل</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به عقیدۀ ایشان اجماعی که در کلام فقها ادّعا شده، اجماع بر نجس بودن عذرۀ حیوان حرام گوشت است که شامل انسان نیز می‌شود؛ و این‌که اگر اجماع بر نجاست چیزی وجود داشته باشد، اجماع بر بطلان معاملۀ آن نیز وجود دارد، اجتهاد فقهاست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 آن است که نمی‌توان برای اثبات بطلان بیع عذره به این اجماع استناد کرد؛ زیرا این اجماع اجتهادی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قدس سره در ادامه، اجماعِ ادّعا شده در کلام علاّمۀ حلّی قدس سره در کتاب نهایة الإحکام را پذیرفته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عن نهایة الإحکام الإجماع علی تحریم بیع العذرة وشرائها ولم یحضرنی عبارتها لکن إثبات الحکم به مشکل، لاحتمال أنّ دعواه مبنیّة علی اجتهاده فی کلام القوم، کدعوی شیخ الطائفة فی الخلاف، والمبسوط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یشکل إثبات شهرة فی بیع عذرة الإنسان للمنافع المحلّلة</w:t>
      </w:r>
      <w:r>
        <w:rPr>
          <w:rFonts w:eastAsia="IRNazanin" w:cs="IRNazanin"/>
          <w:color w:val="111111"/>
          <w:sz w:val="28"/>
          <w:szCs w:val="28"/>
          <w:rtl w:val="true"/>
          <w:lang w:bidi="fa-IR"/>
        </w:rPr>
        <w:t>.</w:t>
      </w:r>
      <w:r>
        <w:rPr>
          <w:rStyle w:val="FootnoteAnchor"/>
          <w:rtl w:val="true"/>
        </w:rPr>
        <w:footnoteReference w:id="339"/>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گفتۀ ایشان، نمی‌توان اجماع ادّعا شده در کلام علاّمۀ حلّی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 العذرة وشرائها حرام اجماعاً</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را پذیرفت؛ چون احتمال دارد که این اجماع، مبتنی بر اجتهاد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صرفاً با وجود این عبارت نه تنها اجماعی ثابت</w:t>
      </w:r>
    </w:p>
    <w:p>
      <w:pPr>
        <w:pStyle w:val="BookText"/>
        <w:rPr/>
      </w:pPr>
      <w:r>
        <w:rPr>
          <w:rFonts w:ascii="IRNazanin" w:hAnsi="IRNazanin" w:eastAsia="IRNazanin"/>
          <w:color w:val="111111"/>
          <w:sz w:val="28"/>
          <w:sz w:val="28"/>
          <w:szCs w:val="28"/>
          <w:rtl w:val="true"/>
          <w:lang w:bidi="fa-IR"/>
        </w:rPr>
        <w:t>نمی‌شود، بلکه پذیرش وجود شهرت فتوایی در فروش عذرۀ انسان برای منافع حلال آن، نیز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قدس سره پس از بیان این مطالب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فالأشبه بالقواعد الجواز وإن کان الحکم به مشکلاً من حیث عدم العثور علی استثناء أحد عذرة الإنسان من عدم جواز بیع الأعیان النجسة وظهور کلماتهم فی مطلق العذرات النجسة‌کعبارات المتون الفقهیة وغیرها؛ واحتمال أن یکون مرادهم بالسرجین النجس مطلق العذرات ومظنونیّة رجوع قید عدم الخلاف فی محکی المبسوط إلی الحکمین جمیعاً وخصوص إجماع النهایة الکاشف لا أقلّ ولو ظنّاً عن اشتهار الحکم بینهم وفهم المتأخّرین عن عبارة الشیخ دعوی الإجماع علی المطلق بل لعلّهم أرسلوا الحکم فی عذرة الإنسان إرسال المسلّمات یستدلّ بها علی غیرها، کما تقدّم عن العلّامة وعن الشیخ فی الاستبصار فی مقام جمع الأخبار، حمل أخبار المنع علی عذرة الإنسان إلی غیر ذلک ممّا یعثر علیه المتتبّع؛ فالحکم بعدم الجواز أحوط بل لا یخلو من رجحان</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به عقیدۀ ایشان با توجّه به این‌که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عذرۀ انسان همانند عذرۀ حیوانات حلال گوشت، انتفاعاتی محلّل دارد و این منافع، نزد عقلا شایع است،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مبنی بر این‌که مالیّت عذرۀ انسان توسّط شارع، اسقاط شده باشد وجود ندارد،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نجاست شیء و بطلان بیع آن ملازمه‌ای نیست،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دانستن بیع عذرۀ انسان با قواعد سازگارتر است؛ امّا با توجّه به مطالبی که در ادامه می‌آید، فتوا به جواز بیع عذرۀ انسان آسان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یک از فقها، عذرۀ انسان را از حکم عدم جواز بیع اعیان نجس، استثنا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کلمات فقها در مورد عذرۀ نجس مطلق است و عذرۀ انسان و عذرۀ حیوانات حرام گوشت را در بر می‌گیرد</w:t>
      </w:r>
      <w:r>
        <w:rPr>
          <w:rFonts w:eastAsia="IRNazanin" w:cs="IRNazanin"/>
          <w:color w:val="111111"/>
          <w:sz w:val="28"/>
          <w:szCs w:val="28"/>
          <w:rtl w:val="true"/>
          <w:lang w:bidi="fa-IR"/>
        </w:rPr>
        <w:t>.</w:t>
      </w:r>
      <w:bookmarkStart w:id="487" w:name="pg13785_135059"/>
    </w:p>
    <w:p>
      <w:pPr>
        <w:pStyle w:val="BookText"/>
        <w:rPr/>
      </w:pPr>
      <w:bookmarkEnd w:id="48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احتمال وجود دارد که مراد از سرگین نجس، عموم عذره‌ها از جمله عذرۀ انسان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احتمال قوی،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المبسوط فقط مربوط به جواز انتفاع از سرگین نجس انسان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علاوه بر آن مربوط به عدم جواز بیع آنها نیز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 دیگر، در عبارات بسیاری از فقها عدم جواز بیع عذرۀ انسان، مسلّم و حتمی و از قبیل ارسال مسلّمات پنداشته شده است، به طوری که برای عدم جواز بیع در سایر موارد، به عدم جواز بیع عذرۀ انسان استدلال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ظنّ قوی وجود دارد مبنی بر این‌که ادّعای اجماع شیخ طوسی قدس سره شامل عذرۀ انسان نیز می‌شود؛ چون فهم متأخّرین از کلام شیخ طوسی قدس سره این است که عبارت ایشان، عذرۀ انسان را نیز در بر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در الاستبصار، اخبار منع از بیع را حمل بر عذرۀ انسان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عذرۀ انسان بنا بر احتیاط واجب، جایز نیست</w:t>
      </w:r>
      <w:r>
        <w:rPr>
          <w:rFonts w:eastAsia="IRNazanin" w:cs="IRNazanin"/>
          <w:color w:val="111111"/>
          <w:sz w:val="28"/>
          <w:szCs w:val="28"/>
          <w:rtl w:val="true"/>
          <w:lang w:bidi="fa-IR"/>
        </w:rPr>
        <w:t>.</w:t>
      </w:r>
    </w:p>
    <w:p>
      <w:pPr>
        <w:pStyle w:val="Heading5"/>
        <w:numPr>
          <w:ilvl w:val="4"/>
          <w:numId w:val="1"/>
        </w:numPr>
        <w:rPr/>
      </w:pPr>
      <w:bookmarkStart w:id="488" w:name="__RefHeading___Toc2531067_1468164448"/>
      <w:bookmarkStart w:id="489" w:name="_Toc189"/>
      <w:bookmarkEnd w:id="488"/>
      <w:r>
        <w:rPr>
          <w:rtl w:val="true"/>
        </w:rPr>
        <w:t>چکیدۀ دیدگاه‌ها</w:t>
      </w:r>
      <w:bookmarkEnd w:id="489"/>
    </w:p>
    <w:p>
      <w:pPr>
        <w:pStyle w:val="BookText"/>
        <w:rPr/>
      </w:pPr>
      <w:r>
        <w:rPr>
          <w:rFonts w:ascii="IRNazanin" w:hAnsi="IRNazanin" w:eastAsia="IRNazanin"/>
          <w:color w:val="111111"/>
          <w:sz w:val="28"/>
          <w:sz w:val="28"/>
          <w:szCs w:val="28"/>
          <w:rtl w:val="true"/>
          <w:lang w:bidi="fa-IR"/>
        </w:rPr>
        <w:t>پس از بررسی نظرات فقها می‌توان نتیجۀ بررسی و تحقیق صورت گرفته در مورد عذرۀ انسان را در این جملات، خلاصه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 بیع همۀ انواع عذره را حرام می‌دانند و برخی میان عذرۀ نجس و عذرۀ طاهر، تفکیک قائل شده‌اند؛ امّا هیچ یک از آنها در میان عذره‌های نجس، بین عذرۀ انسان و غیر انسان از نظر حکم تفاوتی نگذاشته‌اند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آن‌جا که نجاست عذرۀ انسان با توجّه به اجماع ثابت می‌شود، نباید بین عذرۀ انسان و عذرۀ حیوانات حرام گوشت، تفکیکی قائل شد؛ بلکه حکم هر دو یکسان است</w:t>
      </w:r>
      <w:r>
        <w:rPr>
          <w:rFonts w:eastAsia="IRNazanin" w:cs="IRNazanin"/>
          <w:color w:val="111111"/>
          <w:sz w:val="28"/>
          <w:szCs w:val="28"/>
          <w:rtl w:val="true"/>
          <w:lang w:bidi="fa-IR"/>
        </w:rPr>
        <w:t>.</w:t>
      </w:r>
    </w:p>
    <w:p>
      <w:pPr>
        <w:pStyle w:val="Heading4"/>
        <w:numPr>
          <w:ilvl w:val="3"/>
          <w:numId w:val="1"/>
        </w:numPr>
        <w:rPr/>
      </w:pPr>
      <w:bookmarkStart w:id="490" w:name="__RefHeading___Toc2531069_1468164448"/>
      <w:bookmarkStart w:id="491" w:name="_Toc190"/>
      <w:bookmarkEnd w:id="490"/>
      <w:r>
        <w:rPr>
          <w:rtl w:val="true"/>
        </w:rPr>
        <w:t>گفتار چهارم</w:t>
      </w:r>
      <w:r>
        <w:rPr>
          <w:rtl w:val="true"/>
        </w:rPr>
        <w:t xml:space="preserve">: </w:t>
      </w:r>
      <w:r>
        <w:rPr>
          <w:rtl w:val="true"/>
        </w:rPr>
        <w:t>معاملۀ عذرۀ حیوانات حرام گوشت</w:t>
      </w:r>
      <w:bookmarkEnd w:id="491"/>
    </w:p>
    <w:p>
      <w:pPr>
        <w:pStyle w:val="Heading5"/>
        <w:numPr>
          <w:ilvl w:val="4"/>
          <w:numId w:val="1"/>
        </w:numPr>
        <w:rPr/>
      </w:pPr>
      <w:bookmarkStart w:id="492" w:name="__RefHeading___Toc2531071_1468164448"/>
      <w:bookmarkStart w:id="493" w:name="_Toc191"/>
      <w:bookmarkEnd w:id="492"/>
      <w:r>
        <w:rPr>
          <w:rtl w:val="true"/>
        </w:rPr>
        <w:t>اشارة</w:t>
      </w:r>
      <w:bookmarkEnd w:id="49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عذرۀ حیوانات حرام گوشت، سه دسته روایت وجود دارد که باید به بررسی آنها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از روایات، بر منع بیع عذره و دستۀ دوم برجواز بیع آن دلالت</w:t>
      </w:r>
      <w:bookmarkStart w:id="494" w:name="pg13785_135060"/>
    </w:p>
    <w:p>
      <w:pPr>
        <w:pStyle w:val="BookText"/>
        <w:rPr/>
      </w:pPr>
      <w:bookmarkEnd w:id="494"/>
      <w:r>
        <w:rPr>
          <w:rFonts w:ascii="IRNazanin" w:hAnsi="IRNazanin" w:eastAsia="IRNazanin"/>
          <w:color w:val="111111"/>
          <w:sz w:val="28"/>
          <w:sz w:val="28"/>
          <w:szCs w:val="28"/>
          <w:rtl w:val="true"/>
          <w:lang w:bidi="fa-IR"/>
        </w:rPr>
        <w:t>می‌کنند و گروهی دیگر نیز بین جواز و منع، جمع کرده‌اند</w:t>
      </w:r>
      <w:r>
        <w:rPr>
          <w:rFonts w:eastAsia="IRNazanin" w:cs="IRNazanin"/>
          <w:color w:val="111111"/>
          <w:sz w:val="28"/>
          <w:szCs w:val="28"/>
          <w:rtl w:val="true"/>
          <w:lang w:bidi="fa-IR"/>
        </w:rPr>
        <w:t>.</w:t>
      </w:r>
    </w:p>
    <w:p>
      <w:pPr>
        <w:pStyle w:val="Heading5"/>
        <w:numPr>
          <w:ilvl w:val="4"/>
          <w:numId w:val="1"/>
        </w:numPr>
        <w:rPr/>
      </w:pPr>
      <w:bookmarkStart w:id="495" w:name="__RefHeading___Toc2531073_1468164448"/>
      <w:bookmarkStart w:id="496" w:name="_Toc192"/>
      <w:bookmarkEnd w:id="495"/>
      <w:r>
        <w:rPr>
          <w:rtl w:val="true"/>
        </w:rPr>
        <w:t>بند اوّل</w:t>
      </w:r>
      <w:r>
        <w:rPr>
          <w:rtl w:val="true"/>
        </w:rPr>
        <w:t xml:space="preserve">: </w:t>
      </w:r>
      <w:r>
        <w:rPr>
          <w:rtl w:val="true"/>
        </w:rPr>
        <w:t>روایات مانعه</w:t>
      </w:r>
      <w:bookmarkEnd w:id="496"/>
    </w:p>
    <w:p>
      <w:pPr>
        <w:pStyle w:val="Heading6"/>
        <w:numPr>
          <w:ilvl w:val="5"/>
          <w:numId w:val="1"/>
        </w:numPr>
        <w:rPr/>
      </w:pPr>
      <w:bookmarkStart w:id="497" w:name="__RefHeading___Toc2531075_1468164448"/>
      <w:bookmarkStart w:id="498" w:name="_Toc193"/>
      <w:bookmarkEnd w:id="497"/>
      <w:r>
        <w:rPr>
          <w:rtl w:val="true"/>
        </w:rPr>
        <w:t>اشارة</w:t>
      </w:r>
      <w:bookmarkEnd w:id="498"/>
    </w:p>
    <w:p>
      <w:pPr>
        <w:pStyle w:val="BookText"/>
        <w:rPr/>
      </w:pPr>
      <w:r>
        <w:rPr>
          <w:rFonts w:ascii="IRNazanin" w:hAnsi="IRNazanin" w:eastAsia="IRNazanin"/>
          <w:color w:val="111111"/>
          <w:sz w:val="28"/>
          <w:sz w:val="28"/>
          <w:szCs w:val="28"/>
          <w:rtl w:val="true"/>
          <w:lang w:bidi="fa-IR"/>
        </w:rPr>
        <w:t>این دسته از روایات، بر منع بیع عذره دلالت دارند و معاملۀ آن را حرام و باطل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را یعقوب بن شعیب از امام صادق علیه السلام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بِإِسْنَادِهِ عَنِ الْحَسَنِ بْنِ مُحَمَّدِ بْنِ سَمَاعَةَ عَنْ عَلِیِّ بْنِ مِسکِینٍ،</w:t>
      </w:r>
      <w:r>
        <w:rPr>
          <w:rStyle w:val="FootnoteAnchor"/>
          <w:rtl w:val="true"/>
        </w:rPr>
        <w:footnoteReference w:id="342"/>
      </w:r>
      <w:r>
        <w:rPr>
          <w:rFonts w:ascii="Amiri" w:hAnsi="Amiri" w:eastAsia="Amiri" w:cs="Amiri"/>
          <w:color w:val="111111"/>
          <w:sz w:val="28"/>
          <w:sz w:val="28"/>
          <w:szCs w:val="28"/>
          <w:rtl w:val="true"/>
          <w:lang w:bidi="ar-SA"/>
        </w:rPr>
        <w:t>عَنْ عَبْدِ اللّهِ بْنِ وَضَّاحٍ عَنْ یَعْقُوبَ بْنِ شُعَیْبٍ عَنْ أَبِی عَبْدِ</w:t>
      </w:r>
    </w:p>
    <w:p>
      <w:pPr>
        <w:pStyle w:val="BookText"/>
        <w:rPr/>
      </w:pPr>
      <w:r>
        <w:rPr>
          <w:rFonts w:ascii="Amiri" w:hAnsi="Amiri" w:eastAsia="Amiri" w:cs="Amiri"/>
          <w:color w:val="111111"/>
          <w:sz w:val="28"/>
          <w:sz w:val="28"/>
          <w:szCs w:val="28"/>
          <w:rtl w:val="true"/>
          <w:lang w:bidi="ar-SA"/>
        </w:rPr>
        <w:t>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الْعَذِرَةِ مِنَ السُّحْتِ</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در سند این روایت نام علی بن مسکین دیده می‌شود که در برخی نسخ علی بن سکن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درکتب رجالی نسبت به او مدح و قدحی وارد نشده است</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به طور اجمالی می‌توان روایت را این گونه معنا کرد که بیع عذره، باطل و حرام است؛ چراکه سحت، هم بر حرمت تکلیفی دلالت دارد و هم بر حرمت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فهم بهتر روایت، باید دید سحت و عذره در این روایت چگونه معنا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رَسولَ اللّه صلی الله علیه و آله نَهَی عَن بَیعِ الأحرَارِ وَعَن بَیعِ المَیتَةِ وَالدَّمِ وَالخِنزیِرِ وَالأصنَامِ وَعَن عَسَبِ الفَحلِ وَعَن ثَمَنِ الخَمرِ وَعَن بَیعِ العَذَرَةِ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مَیتَةٌ</w:t>
      </w:r>
      <w:r>
        <w:rPr>
          <w:rFonts w:eastAsia="Amiri" w:cs="Amiri" w:ascii="Amiri" w:hAnsi="Amiri"/>
          <w:color w:val="111111"/>
          <w:sz w:val="28"/>
          <w:szCs w:val="28"/>
          <w:rtl w:val="true"/>
          <w:lang w:bidi="ar-SA"/>
        </w:rPr>
        <w:t>.</w:t>
      </w:r>
      <w:r>
        <w:rPr>
          <w:rStyle w:val="FootnoteAnchor"/>
          <w:rtl w:val="true"/>
        </w:rPr>
        <w:footnoteReference w:id="345"/>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پیامبر اکرم صلی الله علیه و آله از بیع هشت مورد از جمله عذره، نهی کرده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عذره عنوان میته را دارد</w:t>
      </w:r>
      <w:r>
        <w:rPr>
          <w:rFonts w:eastAsia="IRNazanin" w:cs="IRNazanin"/>
          <w:color w:val="111111"/>
          <w:sz w:val="28"/>
          <w:szCs w:val="28"/>
          <w:rtl w:val="true"/>
          <w:lang w:bidi="fa-IR"/>
        </w:rPr>
        <w:t>.</w:t>
      </w:r>
      <w:bookmarkStart w:id="499" w:name="pg13785_135061"/>
    </w:p>
    <w:p>
      <w:pPr>
        <w:pStyle w:val="Heading6"/>
        <w:numPr>
          <w:ilvl w:val="5"/>
          <w:numId w:val="1"/>
        </w:numPr>
        <w:rPr/>
      </w:pPr>
      <w:bookmarkStart w:id="500" w:name="__RefHeading___Toc2531077_1468164448"/>
      <w:bookmarkStart w:id="501" w:name="_Toc194"/>
      <w:bookmarkEnd w:id="499"/>
      <w:bookmarkEnd w:id="500"/>
      <w:r>
        <w:rPr>
          <w:rtl w:val="true"/>
        </w:rPr>
        <w:t>الف</w:t>
      </w:r>
      <w:r>
        <w:rPr>
          <w:rtl w:val="true"/>
        </w:rPr>
        <w:t xml:space="preserve">) </w:t>
      </w:r>
      <w:r>
        <w:rPr>
          <w:rtl w:val="true"/>
        </w:rPr>
        <w:t>مراد از عذره</w:t>
      </w:r>
      <w:bookmarkEnd w:id="501"/>
    </w:p>
    <w:p>
      <w:pPr>
        <w:pStyle w:val="BookText"/>
        <w:rPr/>
      </w:pPr>
      <w:r>
        <w:rPr>
          <w:rFonts w:ascii="IRNazanin" w:hAnsi="IRNazanin" w:eastAsia="IRNazanin"/>
          <w:color w:val="111111"/>
          <w:sz w:val="28"/>
          <w:sz w:val="28"/>
          <w:szCs w:val="28"/>
          <w:rtl w:val="true"/>
          <w:lang w:bidi="fa-IR"/>
        </w:rPr>
        <w:t xml:space="preserve">همان‌گونه که پیش از این گفته شد، پرسشی مطرح است مبنی بر این‌که آیا مراد از عذره، مطلق مدفوع حیوان است یا اختصاص به مدفوع انسان دارد؟ یعنی آیا عذره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یخرج من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و مدفوع حیوانات حلال گوشت و حرام گوشت عنوان عذره را دارد و یا این واژه به مدفوع انسان اختصاص دارد؟</w:t>
      </w:r>
    </w:p>
    <w:p>
      <w:pPr>
        <w:pStyle w:val="BookText"/>
        <w:rPr/>
      </w:pPr>
      <w:r>
        <w:rPr>
          <w:rFonts w:ascii="IRNazanin" w:hAnsi="IRNazanin" w:eastAsia="IRNazanin"/>
          <w:color w:val="111111"/>
          <w:sz w:val="28"/>
          <w:sz w:val="28"/>
          <w:szCs w:val="28"/>
          <w:rtl w:val="true"/>
          <w:lang w:bidi="fa-IR"/>
        </w:rPr>
        <w:t>امام خمینی قدس سره معتقد است که ظاهراً از نظر لغویین معنای اوّل، صحیح است؛ یعنی عذره بر مطلق مدفوع حیوان اطلاق می‌شود و بر مدفوع حیوان حلال گوشت و حرام گوشت، انسان و غیر انسان، عنوان عذره صدق می‌کند</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امّا به نظر می‌رسد که این مطلب، مطابق با معنای لغوی نیست؛ امّا با معنای عرفی و روایی سازگاری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کتب لغت، عذره را به مدفوع انسان 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لسان العرب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العذرة الغائط الذی یلقیه الإنسان</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با توجّه به این عبارت، عذره بر مدفوع انسان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عذره در اصل به معنای 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فنا به معنای آستانه است و از آن‌جا که در گذشته مردم مدفوع خود را جمع‌آوری کرده و بیرون خانه می‌ریختند، تعبیر عذره برای آن به کار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معجم مقاییس اللغة نیز چنین معنایی برای عذره در نظر گرفته شده و در تعریف عذره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 الحدث عذرة لأنّه کان یلقی بأفنیة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یعنی به نظر می‌رسد که چون مدفوع در آستانۀ خانه‌ها ریخته می‌شد به آن عذره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حضرت امیرالمؤمنین علیه السلام ایشان مردم را مورد سرزنش قرار داده و می‌فرماید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لَکمْ لاتُنَظِّفُونَ عَذَرَاتَکم؛</w:t>
      </w:r>
      <w:r>
        <w:rPr>
          <w:rStyle w:val="FootnoteAnchor"/>
          <w:rtl w:val="true"/>
        </w:rPr>
        <w:footnoteReference w:id="349"/>
      </w:r>
      <w:r>
        <w:rPr>
          <w:rFonts w:ascii="IRNazanin" w:hAnsi="IRNazanin" w:eastAsia="IRNazanin"/>
          <w:color w:val="111111"/>
          <w:sz w:val="28"/>
          <w:sz w:val="28"/>
          <w:szCs w:val="28"/>
          <w:rtl w:val="true"/>
          <w:lang w:bidi="fa-IR"/>
        </w:rPr>
        <w:t>چرا عذرات خود را نظافت نمی‌کنید؟</w:t>
      </w:r>
      <w:r>
        <w:rPr>
          <w:rFonts w:eastAsia="IRNazanin" w:cs="IRNazanin"/>
          <w:color w:val="111111"/>
          <w:sz w:val="28"/>
          <w:szCs w:val="28"/>
          <w:rtl w:val="true"/>
          <w:lang w:bidi="fa-IR"/>
        </w:rPr>
        <w:t>!</w:t>
      </w:r>
      <w:bookmarkStart w:id="502" w:name="pg13785_135062"/>
    </w:p>
    <w:p>
      <w:pPr>
        <w:pStyle w:val="BookText"/>
        <w:rPr/>
      </w:pPr>
      <w:bookmarkEnd w:id="502"/>
      <w:r>
        <w:rPr>
          <w:rFonts w:ascii="IRNazanin" w:hAnsi="IRNazanin" w:eastAsia="IRNazanin"/>
          <w:color w:val="111111"/>
          <w:sz w:val="28"/>
          <w:sz w:val="28"/>
          <w:szCs w:val="28"/>
          <w:rtl w:val="true"/>
          <w:lang w:bidi="fa-IR"/>
        </w:rPr>
        <w:t>بنا بر این، عذره در لغت بر خصوص مدفوع انسان اطلاق می‌شود؛ لیکن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از روایات و عرف زمان صدور آنها، چنین است که عذره را به‌طور مطلق معنا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روایتی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جَعْفَرٍ عَنْ أَخِیهِ مُوسَی بْنِ جَعْفَرٍ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بِئْرِ مَاءٍ وَقَعَ فِیهَا زِنْبِیلٌ مِنْ عَذِرَةٍ رَطْبَةٍ أَوْ یَابِسَةٍ أَوْ زِنْبِیلٌ مِنْ سِرْقِینٍ أَیَصْلُحُ الْوُضُوءُ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Style w:val="FootnoteAnchor"/>
          <w:rtl w:val="true"/>
        </w:rPr>
        <w:footnoteReference w:id="350"/>
      </w:r>
      <w:r>
        <w:rPr>
          <w:rFonts w:ascii="IRNazanin" w:hAnsi="IRNazanin" w:eastAsia="IRNazanin"/>
          <w:color w:val="111111"/>
          <w:sz w:val="28"/>
          <w:sz w:val="28"/>
          <w:szCs w:val="28"/>
          <w:rtl w:val="true"/>
          <w:lang w:bidi="fa-IR"/>
        </w:rPr>
        <w:t>از امام علیه السلام پرسیدم که آیا می‌توان با آب چاهی که در آن زنبیلی از عذرۀ خشک یا تر و یا زنبیلی از سرگین افتاده، وضو گرفت؟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به صورت مطلق به کار رفته است و مدفوع حیوانات حلال گوشت را نیز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روایاتی دیگر نیز برای مدفوع شتر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وجود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اختصاص به مدفوع انسان دارد، امّا با توجّه به عرف و روایات، باید آن را به طور مطلق معنا کرد و به مدفوع انسان اختصاص نداد</w:t>
      </w:r>
      <w:r>
        <w:rPr>
          <w:rFonts w:eastAsia="IRNazanin" w:cs="IRNazanin"/>
          <w:color w:val="111111"/>
          <w:sz w:val="28"/>
          <w:szCs w:val="28"/>
          <w:rtl w:val="true"/>
          <w:lang w:bidi="fa-IR"/>
        </w:rPr>
        <w:t>.</w:t>
      </w:r>
    </w:p>
    <w:p>
      <w:pPr>
        <w:pStyle w:val="Heading6"/>
        <w:numPr>
          <w:ilvl w:val="5"/>
          <w:numId w:val="1"/>
        </w:numPr>
        <w:rPr/>
      </w:pPr>
      <w:bookmarkStart w:id="503" w:name="__RefHeading___Toc2531079_1468164448"/>
      <w:bookmarkStart w:id="504" w:name="_Toc195"/>
      <w:bookmarkEnd w:id="503"/>
      <w:r>
        <w:rPr>
          <w:rtl w:val="true"/>
        </w:rPr>
        <w:t>ب</w:t>
      </w:r>
      <w:r>
        <w:rPr>
          <w:rtl w:val="true"/>
        </w:rPr>
        <w:t xml:space="preserve">) </w:t>
      </w:r>
      <w:r>
        <w:rPr>
          <w:rtl w:val="true"/>
        </w:rPr>
        <w:t>مراد از سحت</w:t>
      </w:r>
      <w:bookmarkEnd w:id="504"/>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العرب چنین معنا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السُّحتُ کلُّ حرامٍ قبیح الذکرِ وقیل ما هو خَبُثَ من المکاسبِ وحَرُمَ فلزم عنه العار؛</w:t>
      </w:r>
      <w:r>
        <w:rPr>
          <w:rStyle w:val="FootnoteAnchor"/>
          <w:rtl w:val="true"/>
        </w:rPr>
        <w:footnoteReference w:id="351"/>
      </w:r>
      <w:r>
        <w:rPr>
          <w:rFonts w:ascii="IRNazanin" w:hAnsi="IRNazanin" w:eastAsia="IRNazanin"/>
          <w:color w:val="111111"/>
          <w:sz w:val="28"/>
          <w:sz w:val="28"/>
          <w:szCs w:val="28"/>
          <w:rtl w:val="true"/>
          <w:lang w:bidi="fa-IR"/>
        </w:rPr>
        <w:t>سحت، حرامی است که ذکرش قبیح است، و گفته‌اند که سحت، درآمد خبیث است و از این جهت حرام شده و موجب عار بودن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روایتی از امام رضا علیه السلام در مورد آیۀ شریفۀ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أَکْلِهِمُ السُّحْتَ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الرِّضَا عَنْ آبَائِهِ عَنْ عَلِیٍّ علیهم السلام فِی قَوْلِهِ تَعَالَی أَکَّالُونَ لِلسُّحْتِ،</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یَقْضِی لِأَخِیهِ الْحَاجَةَ ثُمَّ یَقْبَلُ هَدِیَّتَهُ؛</w:t>
      </w:r>
      <w:r>
        <w:rPr>
          <w:rStyle w:val="FootnoteAnchor"/>
          <w:rtl w:val="true"/>
        </w:rPr>
        <w:footnoteReference w:id="352"/>
      </w:r>
      <w:r>
        <w:rPr>
          <w:rFonts w:ascii="IRNazanin" w:hAnsi="IRNazanin" w:eastAsia="IRNazanin"/>
          <w:color w:val="111111"/>
          <w:sz w:val="28"/>
          <w:sz w:val="28"/>
          <w:szCs w:val="28"/>
          <w:rtl w:val="true"/>
          <w:lang w:bidi="fa-IR"/>
        </w:rPr>
        <w:t>اگر مردی حاجت برادر مؤمن خویش را برآورده سازد و سپس هدیّۀ او را قبول کند، این از مصادیق سحت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قَوْلِهِ أَکَّالُونَ لِلسُّحْتِ،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أُجْرَةُ الْمُعَلِّمِینَ الَّذِینَ یُشَارِطُونَ فِی تَعْلِیمِ الْقُرْآنِ؛</w:t>
      </w:r>
      <w:r>
        <w:rPr>
          <w:rStyle w:val="FootnoteAnchor"/>
          <w:rtl w:val="true"/>
        </w:rPr>
        <w:footnoteReference w:id="353"/>
      </w:r>
      <w:r>
        <w:rPr>
          <w:rFonts w:ascii="IRNazanin" w:hAnsi="IRNazanin" w:eastAsia="IRNazanin"/>
          <w:color w:val="111111"/>
          <w:sz w:val="28"/>
          <w:sz w:val="28"/>
          <w:szCs w:val="28"/>
          <w:rtl w:val="true"/>
          <w:lang w:bidi="fa-IR"/>
        </w:rPr>
        <w:t>اجرت شخصی که در تعلیم قرآن شرط دریافت دستمزد قرار می‌دهد، از مصادیق سحت در آیۀ شریفه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ضمّ عین داریم که اصطلاحی است برای اجتماع پنج ستاره، که در فصلی معیّن از سال واقع می‌شود</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در روایتی در همین مورد چنین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نَهَی رَسُولُ اللّه صلی الله علیه و آله عَن بیعِ العُذْرَةِ</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گاهی اوقات در میان اعراب معاملاتی واقع می‌شد و آنها پرداخت ثمن را تا اجتماع پنج کوکب به تأخیر 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از این نوع معاملات نهی کردند، به این علّت که زمان دقیق این واقعه مشخّص نبود و همین، موجب جهل در ثمن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مشخّص شدن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بدانیم که مراد از سحت در روایات، حرمت است؛ لیکن گاهی نیز با وجود قرینه، به معنای کراهت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سحت در روایت ذیل دربارۀ کسب درآمد از راه حجامت و به معنای کراهت، به کار رفته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کَسْبَ الْحَجَّامِ مِنَ السُّحْتِ</w:t>
      </w:r>
      <w:r>
        <w:rPr>
          <w:rFonts w:eastAsia="Amiri" w:cs="Amiri" w:ascii="Amiri" w:hAnsi="Amiri"/>
          <w:color w:val="111111"/>
          <w:sz w:val="28"/>
          <w:szCs w:val="28"/>
          <w:rtl w:val="true"/>
          <w:lang w:bidi="ar-SA"/>
        </w:rPr>
        <w:t>.</w:t>
      </w:r>
      <w:r>
        <w:rPr>
          <w:rStyle w:val="FootnoteAnchor"/>
          <w:rtl w:val="true"/>
        </w:rPr>
        <w:footnoteReference w:id="356"/>
      </w:r>
      <w:bookmarkStart w:id="505" w:name="pg13785_135064"/>
    </w:p>
    <w:p>
      <w:pPr>
        <w:pStyle w:val="BookText"/>
        <w:rPr/>
      </w:pPr>
      <w:bookmarkEnd w:id="505"/>
      <w:r>
        <w:rPr>
          <w:rFonts w:ascii="IRNazanin" w:hAnsi="IRNazanin" w:eastAsia="IRNazanin"/>
          <w:color w:val="111111"/>
          <w:sz w:val="28"/>
          <w:sz w:val="28"/>
          <w:szCs w:val="28"/>
          <w:rtl w:val="true"/>
          <w:lang w:bidi="fa-IR"/>
        </w:rPr>
        <w:t xml:space="preserve">لیکن با توجّه به آنچه گفته شد،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بدون وجود قرینه، بر حرمت دلالت می‌کند</w:t>
      </w:r>
      <w:r>
        <w:rPr>
          <w:rFonts w:eastAsia="IRNazanin" w:cs="IRNazanin"/>
          <w:color w:val="111111"/>
          <w:sz w:val="28"/>
          <w:szCs w:val="28"/>
          <w:rtl w:val="true"/>
          <w:lang w:bidi="fa-IR"/>
        </w:rPr>
        <w:t>.</w:t>
      </w:r>
    </w:p>
    <w:p>
      <w:pPr>
        <w:pStyle w:val="Heading5"/>
        <w:numPr>
          <w:ilvl w:val="4"/>
          <w:numId w:val="1"/>
        </w:numPr>
        <w:rPr/>
      </w:pPr>
      <w:bookmarkStart w:id="506" w:name="__RefHeading___Toc2531081_1468164448"/>
      <w:bookmarkStart w:id="507" w:name="_Toc196"/>
      <w:bookmarkEnd w:id="506"/>
      <w:r>
        <w:rPr>
          <w:rtl w:val="true"/>
        </w:rPr>
        <w:t>بند دوم</w:t>
      </w:r>
      <w:r>
        <w:rPr>
          <w:rtl w:val="true"/>
        </w:rPr>
        <w:t xml:space="preserve">: </w:t>
      </w:r>
      <w:r>
        <w:rPr>
          <w:rtl w:val="true"/>
        </w:rPr>
        <w:t>روایت مجوّزه</w:t>
      </w:r>
      <w:bookmarkEnd w:id="507"/>
    </w:p>
    <w:p>
      <w:pPr>
        <w:pStyle w:val="BookText"/>
        <w:rPr/>
      </w:pPr>
      <w:r>
        <w:rPr>
          <w:rFonts w:ascii="Amiri" w:hAnsi="Amiri" w:eastAsia="Amiri" w:cs="Amiri"/>
          <w:color w:val="111111"/>
          <w:sz w:val="28"/>
          <w:sz w:val="28"/>
          <w:szCs w:val="28"/>
          <w:rtl w:val="true"/>
          <w:lang w:bidi="ar-SA"/>
        </w:rPr>
        <w:t>وَبِإِسْنَادِهِ عَنْ أَحْمَدَ بْنِ مُحَمَّدٍ عَنِ الْحَجَّالِ عَنْ ثَعْلَبَةَ عَنْ مُحَمَّدِ بْنِ مُضَارِبٍ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بِبَیْعِ الْعَذِرَةِ؛</w:t>
      </w:r>
      <w:r>
        <w:rPr>
          <w:rStyle w:val="FootnoteAnchor"/>
          <w:rtl w:val="true"/>
        </w:rPr>
        <w:footnoteReference w:id="357"/>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عذره اشکال ندارد</w:t>
      </w:r>
      <w:r>
        <w:rPr>
          <w:rFonts w:eastAsia="IRNazanin" w:cs="IRNazanin"/>
          <w:color w:val="111111"/>
          <w:sz w:val="28"/>
          <w:szCs w:val="28"/>
          <w:rtl w:val="true"/>
          <w:lang w:bidi="fa-IR"/>
        </w:rPr>
        <w:t>.</w:t>
      </w:r>
    </w:p>
    <w:p>
      <w:pPr>
        <w:pStyle w:val="Heading5"/>
        <w:numPr>
          <w:ilvl w:val="4"/>
          <w:numId w:val="1"/>
        </w:numPr>
        <w:rPr/>
      </w:pPr>
      <w:bookmarkStart w:id="508" w:name="__RefHeading___Toc2531083_1468164448"/>
      <w:bookmarkStart w:id="509" w:name="_Toc197"/>
      <w:bookmarkEnd w:id="508"/>
      <w:r>
        <w:rPr>
          <w:rtl w:val="true"/>
        </w:rPr>
        <w:t>بند سوم</w:t>
      </w:r>
      <w:r>
        <w:rPr>
          <w:rtl w:val="true"/>
        </w:rPr>
        <w:t xml:space="preserve">: </w:t>
      </w:r>
      <w:r>
        <w:rPr>
          <w:rtl w:val="true"/>
        </w:rPr>
        <w:t>روایت جامع بین منع و جواز</w:t>
      </w:r>
      <w:bookmarkEnd w:id="509"/>
    </w:p>
    <w:p>
      <w:pPr>
        <w:pStyle w:val="BookText"/>
        <w:rPr/>
      </w:pPr>
      <w:r>
        <w:rPr>
          <w:rFonts w:ascii="IRNazanin" w:hAnsi="IRNazanin" w:eastAsia="IRNazanin"/>
          <w:color w:val="111111"/>
          <w:sz w:val="28"/>
          <w:sz w:val="28"/>
          <w:szCs w:val="28"/>
          <w:rtl w:val="true"/>
          <w:lang w:bidi="fa-IR"/>
        </w:rPr>
        <w:t>این روایت را سماعه از امام صادق علیه السلام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 رَجُلٌ أَبَا عَبْدِاللّهِ علیه السلام وَأَنَا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رَجُلٌ أَبِیعُ الْعَذِرَةَ فَمَا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بَیْعُهَا وَثَمَنُهَا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بِبَیْعِ الْعَذِرَةِ؛</w:t>
      </w:r>
      <w:r>
        <w:rPr>
          <w:rStyle w:val="FootnoteAnchor"/>
          <w:rtl w:val="true"/>
        </w:rPr>
        <w:footnoteReference w:id="358"/>
      </w:r>
      <w:r>
        <w:rPr>
          <w:rFonts w:ascii="IRNazanin" w:hAnsi="IRNazanin" w:eastAsia="IRNazanin"/>
          <w:color w:val="111111"/>
          <w:sz w:val="28"/>
          <w:sz w:val="28"/>
          <w:szCs w:val="28"/>
          <w:rtl w:val="true"/>
          <w:lang w:bidi="fa-IR"/>
        </w:rPr>
        <w:t>سماعه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امام علیه السلام بودم، شخصی سؤال کرد که من مردی هستم که عذره را می‌فروشم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و ثمن اخذ شده از معاملۀ عذره، حرام است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عذره اشکالی ندارد</w:t>
      </w:r>
      <w:r>
        <w:rPr>
          <w:rFonts w:eastAsia="IRNazanin" w:cs="IRNazanin"/>
          <w:color w:val="111111"/>
          <w:sz w:val="28"/>
          <w:szCs w:val="28"/>
          <w:rtl w:val="true"/>
          <w:lang w:bidi="fa-IR"/>
        </w:rPr>
        <w:t>.</w:t>
      </w:r>
    </w:p>
    <w:p>
      <w:pPr>
        <w:pStyle w:val="Heading5"/>
        <w:numPr>
          <w:ilvl w:val="4"/>
          <w:numId w:val="1"/>
        </w:numPr>
        <w:rPr/>
      </w:pPr>
      <w:bookmarkStart w:id="510" w:name="__RefHeading___Toc2531085_1468164448"/>
      <w:bookmarkStart w:id="511" w:name="_Toc198"/>
      <w:bookmarkEnd w:id="510"/>
      <w:r>
        <w:rPr>
          <w:rtl w:val="true"/>
        </w:rPr>
        <w:t>بند چهارم</w:t>
      </w:r>
      <w:r>
        <w:rPr>
          <w:rtl w:val="true"/>
        </w:rPr>
        <w:t xml:space="preserve">: </w:t>
      </w:r>
      <w:r>
        <w:rPr>
          <w:rtl w:val="true"/>
        </w:rPr>
        <w:t>راه‌های جمع میان روایات مجوّزه و مانعه</w:t>
      </w:r>
      <w:bookmarkEnd w:id="511"/>
    </w:p>
    <w:p>
      <w:pPr>
        <w:pStyle w:val="Heading6"/>
        <w:numPr>
          <w:ilvl w:val="5"/>
          <w:numId w:val="1"/>
        </w:numPr>
        <w:rPr/>
      </w:pPr>
      <w:bookmarkStart w:id="512" w:name="__RefHeading___Toc2531087_1468164448"/>
      <w:bookmarkStart w:id="513" w:name="_Toc199"/>
      <w:bookmarkEnd w:id="512"/>
      <w:r>
        <w:rPr>
          <w:rtl w:val="true"/>
        </w:rPr>
        <w:t>اشارة</w:t>
      </w:r>
      <w:bookmarkEnd w:id="513"/>
    </w:p>
    <w:p>
      <w:pPr>
        <w:pStyle w:val="BookText"/>
        <w:rPr/>
      </w:pPr>
      <w:r>
        <w:rPr>
          <w:rFonts w:ascii="IRNazanin" w:hAnsi="IRNazanin" w:eastAsia="IRNazanin"/>
          <w:color w:val="111111"/>
          <w:sz w:val="28"/>
          <w:sz w:val="28"/>
          <w:szCs w:val="28"/>
          <w:rtl w:val="true"/>
          <w:lang w:bidi="fa-IR"/>
        </w:rPr>
        <w:t xml:space="preserve">اینک با وجود دو دسته روایت متعارض، باید دید آیا این روایات قابل جمع هستند یا خیر؟ در روایت یعقوب بن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روایتی ضعیف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چنین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 الْعَذِرَة مِنَ السُّحْت</w:t>
      </w:r>
      <w:r>
        <w:rPr>
          <w:rFonts w:eastAsia="Amiri" w:cs="Amiri" w:ascii="Amiri" w:hAnsi="Amiri"/>
          <w:color w:val="111111"/>
          <w:sz w:val="28"/>
          <w:szCs w:val="28"/>
          <w:rtl w:val="true"/>
          <w:lang w:bidi="ar-SA"/>
        </w:rPr>
        <w:t>».</w:t>
      </w:r>
      <w:r>
        <w:rPr>
          <w:rStyle w:val="FootnoteAnchor"/>
          <w:rtl w:val="true"/>
        </w:rPr>
        <w:footnoteReference w:id="359"/>
      </w:r>
      <w:r>
        <w:rPr>
          <w:rFonts w:ascii="IRNazanin" w:hAnsi="IRNazanin" w:eastAsia="IRNazanin"/>
          <w:color w:val="111111"/>
          <w:sz w:val="28"/>
          <w:sz w:val="28"/>
          <w:szCs w:val="28"/>
          <w:rtl w:val="true"/>
          <w:lang w:bidi="fa-IR"/>
        </w:rPr>
        <w:t>روایت دیگر، روایتی است که محمّد بن مضارب با این مضمون از امام صادق علیه السلام نقل می‌کند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بِبَیْعِ الْعَذِرَة</w:t>
      </w:r>
      <w:r>
        <w:rPr>
          <w:rFonts w:eastAsia="Amiri" w:cs="Amiri" w:ascii="Amiri" w:hAnsi="Amiri"/>
          <w:color w:val="111111"/>
          <w:sz w:val="28"/>
          <w:szCs w:val="28"/>
          <w:rtl w:val="true"/>
          <w:lang w:bidi="ar-SA"/>
        </w:rPr>
        <w:t>».</w:t>
      </w:r>
      <w:r>
        <w:rPr>
          <w:rStyle w:val="FootnoteAnchor"/>
          <w:rtl w:val="true"/>
        </w:rPr>
        <w:footnoteReference w:id="360"/>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514" w:name="pg13785_135065"/>
    </w:p>
    <w:p>
      <w:pPr>
        <w:pStyle w:val="BookText"/>
        <w:rPr/>
      </w:pPr>
      <w:bookmarkEnd w:id="514"/>
      <w:r>
        <w:rPr>
          <w:rFonts w:ascii="IRNazanin" w:hAnsi="IRNazanin" w:eastAsia="IRNazanin"/>
          <w:color w:val="111111"/>
          <w:sz w:val="28"/>
          <w:sz w:val="28"/>
          <w:szCs w:val="28"/>
          <w:rtl w:val="true"/>
          <w:lang w:bidi="fa-IR"/>
        </w:rPr>
        <w:t>این روایت اطلاق دارد و دالّ بر این مطلب است که بیع عذره، حلال 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چندین راه برای جمع میان این دو دسته از روایات، پیشنهاد کرده‌اند که با مطالعۀ این نظرات و اشکالات آنها، بحث را ادامه می‌دهیم</w:t>
      </w:r>
      <w:r>
        <w:rPr>
          <w:rFonts w:eastAsia="IRNazanin" w:cs="IRNazanin"/>
          <w:color w:val="111111"/>
          <w:sz w:val="28"/>
          <w:szCs w:val="28"/>
          <w:rtl w:val="true"/>
          <w:lang w:bidi="fa-IR"/>
        </w:rPr>
        <w:t>.</w:t>
      </w:r>
    </w:p>
    <w:p>
      <w:pPr>
        <w:pStyle w:val="Heading6"/>
        <w:numPr>
          <w:ilvl w:val="5"/>
          <w:numId w:val="1"/>
        </w:numPr>
        <w:rPr/>
      </w:pPr>
      <w:bookmarkStart w:id="515" w:name="__RefHeading___Toc2531089_1468164448"/>
      <w:bookmarkStart w:id="516" w:name="_Toc200"/>
      <w:bookmarkEnd w:id="515"/>
      <w:r>
        <w:rPr>
          <w:rtl w:val="true"/>
        </w:rPr>
        <w:t>الف</w:t>
      </w:r>
      <w:r>
        <w:rPr>
          <w:rtl w:val="true"/>
        </w:rPr>
        <w:t xml:space="preserve">) </w:t>
      </w:r>
      <w:r>
        <w:rPr>
          <w:rtl w:val="true"/>
        </w:rPr>
        <w:t>دیدگاه شیخ طوسی</w:t>
      </w:r>
      <w:bookmarkEnd w:id="516"/>
    </w:p>
    <w:p>
      <w:pPr>
        <w:pStyle w:val="BookText"/>
        <w:rPr/>
      </w:pPr>
      <w:r>
        <w:rPr>
          <w:rFonts w:ascii="IRNazanin" w:hAnsi="IRNazanin" w:eastAsia="IRNazanin"/>
          <w:color w:val="111111"/>
          <w:sz w:val="28"/>
          <w:sz w:val="28"/>
          <w:szCs w:val="28"/>
          <w:rtl w:val="true"/>
          <w:lang w:bidi="fa-IR"/>
        </w:rPr>
        <w:t>شیخ طوسی قدس سره در کتاب الاستبصار بر این مطلب تصریح دارد که برای جمع بین دو روایت، باید روایات مانعه را بر عذرۀ انسان و روایات مجوّزه را بر عذرۀ حیوانات حلال گوشت حمل نمود</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وی روایت سماعه را مؤیّد و شاهد سخن خود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وی هنگامی که امام معصوم قدس سره در یک مجلس و با کلام واحد خطاب به یک نفر حکم به حرمت بیع عذره می‌کند و در ادامه بیع آن را جایز می‌داند، مشخّص‌کنندۀ این است که موضوع حرمت غیر از موضوع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حرمت، عذرۀ انسان و موضوع جواز، عذرۀ طاهر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قدس سره در تبیین این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شیخ طوسی قدس سره این دو روایت، هر کدام از جهتی نص و از جهتی ظاهرند و می‌توان با نصّ هر کدام، در ظهور دیگری تصرّف نمود</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بدین بیان که روایت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 العذرة من السُّحْت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3"/>
      </w:r>
      <w:r>
        <w:rPr>
          <w:rFonts w:ascii="IRNazanin" w:hAnsi="IRNazanin" w:eastAsia="IRNazanin"/>
          <w:color w:val="111111"/>
          <w:sz w:val="28"/>
          <w:sz w:val="28"/>
          <w:szCs w:val="28"/>
          <w:rtl w:val="true"/>
          <w:lang w:bidi="fa-IR"/>
        </w:rPr>
        <w:t>نص در عذرۀ انسان و ظاهر در عذرۀ غیر انسان است؛ ولی روایت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ببیع العذرة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نصّ در عذرۀ حیوان حلال گوشت و ظاهر در عذرۀ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نصّ هر کدام در ظهور دیگری تصرّف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روایت نخست بر عذرۀ انسان و روایت دوم بر عذرۀ حیوان حلال گوشت حمل می‌گردد</w:t>
      </w:r>
      <w:r>
        <w:rPr>
          <w:rFonts w:eastAsia="IRNazanin" w:cs="IRNazanin"/>
          <w:color w:val="111111"/>
          <w:sz w:val="28"/>
          <w:szCs w:val="28"/>
          <w:rtl w:val="true"/>
          <w:lang w:bidi="fa-IR"/>
        </w:rPr>
        <w:t>.</w:t>
      </w:r>
    </w:p>
    <w:p>
      <w:pPr>
        <w:pStyle w:val="Heading6"/>
        <w:numPr>
          <w:ilvl w:val="5"/>
          <w:numId w:val="1"/>
        </w:numPr>
        <w:rPr/>
      </w:pPr>
      <w:bookmarkStart w:id="517" w:name="__RefHeading___Toc2531091_1468164448"/>
      <w:bookmarkStart w:id="518" w:name="_Toc201"/>
      <w:bookmarkEnd w:id="517"/>
      <w:r>
        <w:rPr/>
        <w:t>1</w:t>
      </w:r>
      <w:r>
        <w:rPr>
          <w:rtl w:val="true"/>
        </w:rPr>
        <w:t xml:space="preserve">- </w:t>
      </w:r>
      <w:r>
        <w:rPr>
          <w:rtl w:val="true"/>
        </w:rPr>
        <w:t>بررسی و نقد وجه جمع</w:t>
      </w:r>
      <w:bookmarkEnd w:id="518"/>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نقد و بررسی سخن شیخ طوسی قدس سره، باید دربارۀ وجه جمع و شاهد آن بحث</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وجه جمع ارائه شده، می‌توان به اشکالاتی که محقّق خویی قدس سره مطرح کرده است،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این‌که روایتی در یک معنا نصّ باشد و این‌که معنایی به صورت یقینی اراده شده باشد،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هنگامی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فقیه به صورت یقینی از عالم اراده شده است؛ چراکه قطعاً فقیه مصداقی برای عالم است؛ لیکن این بدان معنا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در فقیه می‌باشد؛ بلکه فقط در این معنا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شیخ طوسی قدس سره میان این دو مطلب خلط کرده است؛ یعنی در روایت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 العذرة من السُّحت</w:t>
      </w:r>
      <w:r>
        <w:rPr>
          <w:rFonts w:eastAsia="Amiri" w:cs="Amiri" w:ascii="Amiri" w:hAnsi="Amiri"/>
          <w:color w:val="111111"/>
          <w:sz w:val="28"/>
          <w:szCs w:val="28"/>
          <w:rtl w:val="true"/>
          <w:lang w:bidi="ar-SA"/>
        </w:rPr>
        <w:t>»</w:t>
      </w:r>
      <w:r>
        <w:rPr>
          <w:rStyle w:val="FootnoteAnchor"/>
          <w:rtl w:val="true"/>
        </w:rPr>
        <w:footnoteReference w:id="365"/>
      </w:r>
      <w:r>
        <w:rPr>
          <w:rFonts w:ascii="IRNazanin" w:hAnsi="IRNazanin" w:eastAsia="IRNazanin"/>
          <w:color w:val="111111"/>
          <w:sz w:val="28"/>
          <w:sz w:val="28"/>
          <w:szCs w:val="28"/>
          <w:rtl w:val="true"/>
          <w:lang w:bidi="fa-IR"/>
        </w:rPr>
        <w:t>یقیناً عذرۀ انسان اراده شده است، ولی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در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نص در این معنا نیست؛ بلکه در این معنا ظهور دارد، همان‌گونه که نسبت به عذرۀ غیر انسان نیز ظهور دارد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بپذیریم که در روایت اوّل، عذره، نصّ در مدفوع انسان است، نمی‌توان روایت دوم را بر خصوص مدفوع حیوان حلال گوشت حمل نمود؛ زیرا به عقیدۀ محقّق خویی قدس سره برای مدفوع حیوان حلال گوشت فقط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می‌شود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البتّه این اشکال از نظر ما مردود است و با توجّه به عرف و روایات، می‌توان عذره را برای مدفوع انسان و حیوان، خواه حلال گوشت و خواه حرام گوشت، به کار برد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قدس سره برای رفع تعارض، روایات را حمل بر قدر متیقّن کرده است؛ امّا آیا می‌توان حمل بر قدر متیقّن را جمعی عرفی دانست و در نتیجه، دو روایت را از تعارض خارج کرد؟ پاسخ منفی است؛ زیرا اگر بخواهیم متیقّن را ملاک جمع عرفی قرار دهیم، اصلاً باب ظواهر و حجّیت آن بسته خواهد شد و در این صورت به</w:t>
      </w:r>
      <w:bookmarkStart w:id="519" w:name="pg13785_135067"/>
    </w:p>
    <w:p>
      <w:pPr>
        <w:pStyle w:val="BookText"/>
        <w:rPr/>
      </w:pPr>
      <w:bookmarkEnd w:id="519"/>
      <w:r>
        <w:rPr>
          <w:rFonts w:ascii="IRNazanin" w:hAnsi="IRNazanin" w:eastAsia="IRNazanin"/>
          <w:color w:val="111111"/>
          <w:sz w:val="28"/>
          <w:sz w:val="28"/>
          <w:szCs w:val="28"/>
          <w:rtl w:val="true"/>
          <w:lang w:bidi="fa-IR"/>
        </w:rPr>
        <w:t>جای ظهور لفظ، قدر متیقّن آن مورد توجّه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نمی‌توان حمل بر قدر متیقّن را یک وجه جمع عرفی دانست و همان گونه که در علم اصول گفته می‌شود، اخذ قدر متیقّن در ادلّۀ لبّی است و در ادلّۀ لفظی باید به سراغ ظواهر رفت</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حمل بر قدر متیقّن را یک جمع عرفی بدانیم، راه‌های زیادی برای اخذ به قدر متیقّن وجود خواهد داشت و منحصر در سخن شیخ طوسی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 العذرة من السُّحْت</w:t>
      </w:r>
      <w:r>
        <w:rPr>
          <w:rFonts w:eastAsia="Amiri" w:cs="Amiri" w:ascii="Amiri" w:hAnsi="Amiri"/>
          <w:color w:val="111111"/>
          <w:sz w:val="28"/>
          <w:szCs w:val="28"/>
          <w:rtl w:val="true"/>
          <w:lang w:bidi="ar-SA"/>
        </w:rPr>
        <w:t>»</w:t>
      </w:r>
      <w:r>
        <w:rPr>
          <w:rStyle w:val="FootnoteAnchor"/>
          <w:rtl w:val="true"/>
        </w:rPr>
        <w:footnoteReference w:id="369"/>
      </w:r>
      <w:r>
        <w:rPr>
          <w:rFonts w:ascii="IRNazanin" w:hAnsi="IRNazanin" w:eastAsia="IRNazanin"/>
          <w:color w:val="111111"/>
          <w:sz w:val="28"/>
          <w:sz w:val="28"/>
          <w:szCs w:val="28"/>
          <w:rtl w:val="true"/>
          <w:lang w:bidi="fa-IR"/>
        </w:rPr>
        <w:t>اشاره به موردی دارد که شغل انسان فروش عذره است، و روایت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ببیع العذرة</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اشاره به شخصی دارد که برای باغچه خانه‌اش اقدام به خرید عذره کرده است</w:t>
      </w:r>
      <w:r>
        <w:rPr>
          <w:rFonts w:eastAsia="IRNazanin" w:cs="IRNazanin"/>
          <w:color w:val="111111"/>
          <w:sz w:val="28"/>
          <w:szCs w:val="28"/>
          <w:rtl w:val="true"/>
          <w:lang w:bidi="fa-IR"/>
        </w:rPr>
        <w:t>.</w:t>
      </w:r>
      <w:r>
        <w:rPr>
          <w:rStyle w:val="FootnoteAnchor"/>
          <w:rtl w:val="true"/>
        </w:rPr>
        <w:footnoteReference w:id="371"/>
      </w:r>
    </w:p>
    <w:p>
      <w:pPr>
        <w:pStyle w:val="Heading6"/>
        <w:numPr>
          <w:ilvl w:val="5"/>
          <w:numId w:val="1"/>
        </w:numPr>
        <w:rPr/>
      </w:pPr>
      <w:bookmarkStart w:id="520" w:name="__RefHeading___Toc2531093_1468164448"/>
      <w:bookmarkStart w:id="521" w:name="_Toc202"/>
      <w:bookmarkEnd w:id="520"/>
      <w:r>
        <w:rPr/>
        <w:t>2</w:t>
      </w:r>
      <w:r>
        <w:rPr>
          <w:rtl w:val="true"/>
        </w:rPr>
        <w:t xml:space="preserve">- </w:t>
      </w:r>
      <w:r>
        <w:rPr>
          <w:rtl w:val="true"/>
        </w:rPr>
        <w:t>بررسی و نقد شاهد جمع</w:t>
      </w:r>
      <w:bookmarkEnd w:id="521"/>
    </w:p>
    <w:p>
      <w:pPr>
        <w:pStyle w:val="BookText"/>
        <w:rPr/>
      </w:pPr>
      <w:r>
        <w:rPr>
          <w:rFonts w:ascii="IRNazanin" w:hAnsi="IRNazanin" w:eastAsia="IRNazanin"/>
          <w:color w:val="111111"/>
          <w:sz w:val="28"/>
          <w:sz w:val="28"/>
          <w:szCs w:val="28"/>
          <w:rtl w:val="true"/>
          <w:lang w:bidi="fa-IR"/>
        </w:rPr>
        <w:t>پس از گفتگو دربارۀ وجه جمع شیخ طوسی قدس سره، اکنون پیرامون شاهد و مؤیّدی که ایشان برای سخن خویش آورده، مطالبی را 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شیخ انصاری قدس سره نمی‌توان در روایت واحد، مسئلۀ تعارض را مطرح نمود و در مواردی که در یک روایت، دو حکم متعارض دیده می‌شود، نباید به سراغ ادلّۀ علاجیّه و مرجحات سندی و خارجی از قبیل موافقت با قرآن و مخالفت با عامّه رفت؛ بلکه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اختلاف در موضوع وجود دارد و شیخ طوسی قدس سره نیز با توجّه به همین مطلب، روایت سماعه را به عنوان شاهد جمع خود قرار داده است</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امّا امام خمینی قدس سره این نظر را قبول نمی‌کند و با مطرح کردن دو اشکال، آن را مورد نقد قرار می‌دهد</w:t>
      </w:r>
      <w:r>
        <w:rPr>
          <w:rFonts w:eastAsia="IRNazanin" w:cs="IRNazanin"/>
          <w:color w:val="111111"/>
          <w:sz w:val="28"/>
          <w:szCs w:val="28"/>
          <w:rtl w:val="true"/>
          <w:lang w:bidi="fa-IR"/>
        </w:rPr>
        <w:t>.</w:t>
      </w:r>
    </w:p>
    <w:p>
      <w:pPr>
        <w:pStyle w:val="Heading6"/>
        <w:numPr>
          <w:ilvl w:val="5"/>
          <w:numId w:val="1"/>
        </w:numPr>
        <w:rPr/>
      </w:pPr>
      <w:bookmarkStart w:id="522" w:name="__RefHeading___Toc2531095_1468164448"/>
      <w:bookmarkStart w:id="523" w:name="_Toc203"/>
      <w:bookmarkEnd w:id="522"/>
      <w:r>
        <w:rPr/>
        <w:t>2-1</w:t>
      </w:r>
      <w:r>
        <w:rPr>
          <w:rtl w:val="true"/>
        </w:rPr>
        <w:t xml:space="preserve">- </w:t>
      </w:r>
      <w:r>
        <w:rPr>
          <w:rtl w:val="true"/>
        </w:rPr>
        <w:t>اشکال اوّل</w:t>
      </w:r>
      <w:bookmarkEnd w:id="523"/>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اشکالی که ایشان مطرح می‌کند،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شیخ انصاری قدس سره مبنی بر</w:t>
      </w:r>
      <w:bookmarkStart w:id="524" w:name="pg13785_135068"/>
    </w:p>
    <w:p>
      <w:pPr>
        <w:pStyle w:val="BookText"/>
        <w:rPr/>
      </w:pPr>
      <w:bookmarkEnd w:id="524"/>
      <w:r>
        <w:rPr>
          <w:rFonts w:ascii="IRNazanin" w:hAnsi="IRNazanin" w:eastAsia="IRNazanin"/>
          <w:color w:val="111111"/>
          <w:sz w:val="28"/>
          <w:sz w:val="28"/>
          <w:szCs w:val="28"/>
          <w:rtl w:val="true"/>
          <w:lang w:bidi="fa-IR"/>
        </w:rPr>
        <w:t>این‌که نمی‌توان در این روایت به ادلّۀ علاجیّه مراجعه نمود، در صورتی است که احراز شود امام صادق علیه السلام در یک روایت، این دو حکم را جمع نموده‌اند؛ یعنی امام علیه السلام در کلامی واحد و خطاب به شخصی و مخاطبی واحد،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در روایت سماعه، احراز این مطلب مشکل است و این احتمال که راوی دو روایت مستقل را در نقلی واحد آورده باشد، با توجّه به قرائنی تقویت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و در عبارت دوّم آن به جای ضمیر، اسم ظاهر آمده است، در حالی که اگر این دو عبارت در یک روایت صادر شده بود، نباید اسم ظاهر به کار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تکرار 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نیز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دیگر این است که در کتب رجالی در مورد سماعه آمده است که وی از راویانی است که گاهی چند روایت را در نقل واحد جمع کرده است</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اکنون هم مرسوم است که وقتی شخصی می‌خواهد مطالبی را که فرد بزرگی در مجالس مختلفی ایراد کرده است، به شخص دیگری منتقل کند، همۀ سخنان وی را در کلامی واحد و به صورت یک‌جا بیان می‌کند</w:t>
      </w:r>
      <w:r>
        <w:rPr>
          <w:rFonts w:eastAsia="IRNazanin" w:cs="IRNazanin"/>
          <w:color w:val="111111"/>
          <w:sz w:val="28"/>
          <w:szCs w:val="28"/>
          <w:rtl w:val="true"/>
          <w:lang w:bidi="fa-IR"/>
        </w:rPr>
        <w:t>.</w:t>
      </w:r>
    </w:p>
    <w:p>
      <w:pPr>
        <w:pStyle w:val="Heading6"/>
        <w:numPr>
          <w:ilvl w:val="5"/>
          <w:numId w:val="1"/>
        </w:numPr>
        <w:rPr/>
      </w:pPr>
      <w:bookmarkStart w:id="525" w:name="__RefHeading___Toc2531097_1468164448"/>
      <w:bookmarkStart w:id="526" w:name="_Toc204"/>
      <w:bookmarkEnd w:id="525"/>
      <w:r>
        <w:rPr/>
        <w:t>2-2</w:t>
      </w:r>
      <w:r>
        <w:rPr>
          <w:rtl w:val="true"/>
        </w:rPr>
        <w:t xml:space="preserve">- </w:t>
      </w:r>
      <w:r>
        <w:rPr>
          <w:rtl w:val="true"/>
        </w:rPr>
        <w:t>اشکال دوم</w:t>
      </w:r>
      <w:bookmarkEnd w:id="526"/>
    </w:p>
    <w:p>
      <w:pPr>
        <w:pStyle w:val="BookText"/>
        <w:rPr/>
      </w:pPr>
      <w:r>
        <w:rPr>
          <w:rFonts w:ascii="IRNazanin" w:hAnsi="IRNazanin" w:eastAsia="IRNazanin"/>
          <w:color w:val="111111"/>
          <w:sz w:val="28"/>
          <w:sz w:val="28"/>
          <w:szCs w:val="28"/>
          <w:rtl w:val="true"/>
          <w:lang w:bidi="fa-IR"/>
        </w:rPr>
        <w:t>اشکال دیگری که ایشان مطرح می‌کنند به این کلام شیخ انصاری قدس سره باز می‌گردد که در روایت سماعه تعارض دلالی وجود دارد و در چنین مواردی قواعد باب تعارض پیاده نمی‌شود و باید بدون رجوع به ادلّۀ علاجیّه، تعارض را از راه جمع عرفی و دلالی برطرف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شیخ انصاری قدس سره چنین برداشت می‌شود که قواعد باب تعارض تنها در جایی که دو حدیث مستقل وجود دارد، جاری می‌شود و در مواردی همچون روایت سماعه که در یک روایت دو حکم متعارض آمده است، نباید ادلّۀ علاجیّه را به کار برد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قدس سره در نقد این کلام، به این مطلب اشاره می‌کند که تعارض دلالی نه تنها موجب طرد ادلّۀ علاجیّه نمی‌شود، بلکه محقِّقِ موضوع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w:t>
      </w:r>
    </w:p>
    <w:p>
      <w:pPr>
        <w:pStyle w:val="BookText"/>
        <w:rPr/>
      </w:pPr>
      <w:r>
        <w:rPr>
          <w:rFonts w:ascii="IRNazanin" w:hAnsi="IRNazanin" w:eastAsia="IRNazanin"/>
          <w:color w:val="111111"/>
          <w:sz w:val="28"/>
          <w:sz w:val="28"/>
          <w:szCs w:val="28"/>
          <w:rtl w:val="true"/>
          <w:lang w:bidi="fa-IR"/>
        </w:rPr>
        <w:t>قواعد باب تعارض در این‌جا نیز جاری می‌شود، با این تفاوت که در این مورد، پیش از مراجعه به مرجّحات سندی و خارجی، باید دید جمع دلالی و عرفی مقبول در این مورد وجود دارد یا خیر، تا اگر جمع عرفی وجود نداشت، به سراغ ادلّۀ علاجیّه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قدس سره بر خلاف نظر شیخ انصاری قدس سره معتقد است که اگر در یک روایت، بین صدر و ذیل آن تعارض وجود داشته باشد، می‌توان برخی از قواعد باب تعارض را جاری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صدر آن موافق قرآن یا مخالف عامّه و ذیل آن مخالف قرآن و موافق عامّه باشد، می‌توان به این مرجحّات توجّه نمود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البتّه برخی از فقها بر این باورند که با مراجعه به روایات این باب، می‌توان دریافت که روایات باب تعارض، انصراف به جایی دارد که دو خبر متعارض جدا از هم داشته باشیم، نه روایت واحدی که دو حکم متعارض در آن آمده است؛ لیکن انصاف این است که آنچه از روایات باب ادلّۀ علاجیّه برداشت می‌شود، شامل هر جایی که دو حکم متعارض وجود داشته باشد می‌شود، چه در یک خبر آمده باشند و چه در دو خبر؛ زیرا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خبران متعارضان</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که برخی آن را منشأ انصراف دانسته‌اند، در پرسش سائل است نه پاسخ امام علیه السلام؛ بلکه پاسخ امام علیه السلام مطلق است و شامل مواردی که در یک نقل، دو حکم معارض آمده باشد نیز می‌شود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مطالبی که گفته شد، جمع شیخ طوسی قدس سره یک جمع تبرّعی است که هیچ شاهد و ملاکی ندارد و همان طور که گفته شد، نمی‌توان روایت سماعه را شاهد بر این جمع دانست؛ زیرا در واقع این روایت، دو نقل متفاوت و در دو مجلس و نسبت به دو مخاطب بوده که سماعه آنها را در یک نقل آورده است</w:t>
      </w:r>
      <w:r>
        <w:rPr>
          <w:rFonts w:eastAsia="IRNazanin" w:cs="IRNazanin"/>
          <w:color w:val="111111"/>
          <w:sz w:val="28"/>
          <w:szCs w:val="28"/>
          <w:rtl w:val="true"/>
          <w:lang w:bidi="fa-IR"/>
        </w:rPr>
        <w:t>.</w:t>
      </w:r>
      <w:bookmarkStart w:id="527" w:name="pg13785_135070"/>
    </w:p>
    <w:p>
      <w:pPr>
        <w:pStyle w:val="Heading6"/>
        <w:numPr>
          <w:ilvl w:val="5"/>
          <w:numId w:val="1"/>
        </w:numPr>
        <w:rPr/>
      </w:pPr>
      <w:bookmarkStart w:id="528" w:name="__RefHeading___Toc2531099_1468164448"/>
      <w:bookmarkStart w:id="529" w:name="_Toc205"/>
      <w:bookmarkEnd w:id="527"/>
      <w:bookmarkEnd w:id="528"/>
      <w:r>
        <w:rPr>
          <w:rtl w:val="true"/>
        </w:rPr>
        <w:t>ب</w:t>
      </w:r>
      <w:r>
        <w:rPr>
          <w:rtl w:val="true"/>
        </w:rPr>
        <w:t xml:space="preserve">) </w:t>
      </w:r>
      <w:r>
        <w:rPr>
          <w:rtl w:val="true"/>
        </w:rPr>
        <w:t>دیدگاه محقّق سبزواری</w:t>
      </w:r>
      <w:bookmarkEnd w:id="529"/>
    </w:p>
    <w:p>
      <w:pPr>
        <w:pStyle w:val="BookText"/>
        <w:rPr/>
      </w:pPr>
      <w:r>
        <w:rPr>
          <w:rFonts w:ascii="IRNazanin" w:hAnsi="IRNazanin" w:eastAsia="IRNazanin"/>
          <w:color w:val="111111"/>
          <w:sz w:val="28"/>
          <w:sz w:val="28"/>
          <w:szCs w:val="28"/>
          <w:rtl w:val="true"/>
          <w:lang w:bidi="fa-IR"/>
        </w:rPr>
        <w:t>محقّق سبزواری قدس سره روایت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 العذرة من السُّحْت</w:t>
      </w:r>
      <w:r>
        <w:rPr>
          <w:rFonts w:eastAsia="Amiri" w:cs="Amiri" w:ascii="Amiri" w:hAnsi="Amiri"/>
          <w:color w:val="111111"/>
          <w:sz w:val="28"/>
          <w:szCs w:val="28"/>
          <w:rtl w:val="true"/>
          <w:lang w:bidi="ar-SA"/>
        </w:rPr>
        <w:t>»</w:t>
      </w:r>
      <w:r>
        <w:rPr>
          <w:rStyle w:val="FootnoteAnchor"/>
          <w:rtl w:val="true"/>
        </w:rPr>
        <w:footnoteReference w:id="376"/>
      </w:r>
      <w:r>
        <w:rPr>
          <w:rFonts w:ascii="IRNazanin" w:hAnsi="IRNazanin" w:eastAsia="IRNazanin"/>
          <w:color w:val="111111"/>
          <w:sz w:val="28"/>
          <w:sz w:val="28"/>
          <w:szCs w:val="28"/>
          <w:rtl w:val="true"/>
          <w:lang w:bidi="fa-IR"/>
        </w:rPr>
        <w:t>را حمل بر کراهت، و روایت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بأس ببیع العذرة</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را بر جواز، حمل نموده است</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شیخ انصاری قدس سره در مورد این جمع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 ما لا یخفی من البعد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محقّق مامقانی قدس سره در حاشیۀ مکاسب پیرامون این سخن شیخ انصاری قدس سره که این جمع را بعید دانسته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فرع بر تکافؤ است؛ یعنی هنگامی ما دو دلیل را جمع دلالی می‌کنیم که این دو دلیل از هر جهت با یک‌دیگر تکافؤ و تساوی داشته باشند، در حالی که این‌جا روایت جواز با روایت منع، تساوی ندارند؛ چراکه اجماع و شهرت و ادلّۀ عامّه، مؤیّد روایت منع است</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لیکن به نظر می‌رسد که این سخن محقّق مامقانی قدس سره صحیح نیست؛ چراکه رجوع به مرجّحات خارجی پس از این است که جمع عرفی و دلالی ممکن نباشد؛ یعنی اگر بتوان بین دو روایت جمع دلالی کرد، تعارض از بین می‌رود و دلیلی برای مراجعه به مرجحات خارجی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شیخ انصاری قدس سره و وجه استبعاد ایشان هم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سحت در کراهت بعید به نظر می‌رسد؛ زیرا استعمال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کراهت نیازمند قرینه بوده و بدون وجود قرینه نمی‌توان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حمل به کراهت کرد و حتّی در این روایت، به قرینۀ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 در معنای حرمت استعمال شده است؛ چون نمی‌توان معامله‌ای را مکروه دانسته و در عین حال، ثمن آن را سحت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عبارت</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العذرة من السّحت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ثمن به دست آمده از معاملۀ عذره، از سحت است و از این رو، باید این معامله را باطل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bookmarkStart w:id="530" w:name="pg13785_135071"/>
    </w:p>
    <w:p>
      <w:pPr>
        <w:pStyle w:val="BookText"/>
        <w:rPr/>
      </w:pPr>
      <w:bookmarkEnd w:id="530"/>
      <w:r>
        <w:rPr>
          <w:rFonts w:ascii="IRNazanin" w:hAnsi="IRNazanin" w:eastAsia="IRNazanin"/>
          <w:color w:val="111111"/>
          <w:sz w:val="28"/>
          <w:sz w:val="28"/>
          <w:szCs w:val="28"/>
          <w:rtl w:val="true"/>
          <w:lang w:bidi="fa-IR"/>
        </w:rPr>
        <w:t>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معامله‌ای از سحت است، ولی در عین حال، آن معامله حرام نبوده و مکروه است؛ زیرا این مطلب با فهم عرف سازگار نیست؛ یعنی در نگاه عرف هنگامی که گفته می‌شود ثمن یک معامله از سحت است، معنایش این است که این معامله، باطل است؛ یعنی عرف میان بطلان و حرمت در این موارد، ملازمه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از آن‌جا که شارع این معامله را حرام کرده است، حکم به بطلان آن می‌شود و بطلان معامله به دنبال حرمت آن می‌آید، مگر این‌که قرینه‌ای داشته باشیم مبنی بر این‌که شارع، معامله‌ای را حرام کرده و در عین حال آن را صحیح می‌داند، مثل بیع وقت نداء؛ ولی اگر قرینه‌ای نباشد، در چنین مواردی عرف، میان حرمت و بطلان ملازمه بر قرار می‌کند؛ لیکن هیچ گاه میان کراهت و بطلان چنین ملازمه‌ای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صورت خلاصه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بر حرمت،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اگر در روایت چنین وارد می‌شد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العذرة من السحت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احتمال حمل سحت بر کراهت صحیح بود؛ امّا وقتی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 العذرة من السحت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نمی‌توان احتمالی غیر از حرمت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دومین روایت مانعه را نیز به خاطر وجود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بر کراهت 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حتّی اگر در روایت یعقوب بن شعیب به خاطر وجود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کراهت وجود داشته باشد، در روایت دعائم الاسلام به خاطر وجود لفظ حرام، احتمال حمل بر کراهت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جمع نیز صحیح نیست</w:t>
      </w:r>
      <w:r>
        <w:rPr>
          <w:rFonts w:eastAsia="IRNazanin" w:cs="IRNazanin"/>
          <w:color w:val="111111"/>
          <w:sz w:val="28"/>
          <w:szCs w:val="28"/>
          <w:rtl w:val="true"/>
          <w:lang w:bidi="fa-IR"/>
        </w:rPr>
        <w:t>.</w:t>
      </w:r>
    </w:p>
    <w:p>
      <w:pPr>
        <w:pStyle w:val="Heading6"/>
        <w:numPr>
          <w:ilvl w:val="5"/>
          <w:numId w:val="1"/>
        </w:numPr>
        <w:rPr/>
      </w:pPr>
      <w:bookmarkStart w:id="531" w:name="__RefHeading___Toc2531101_1468164448"/>
      <w:bookmarkStart w:id="532" w:name="_Toc206"/>
      <w:bookmarkEnd w:id="531"/>
      <w:r>
        <w:rPr>
          <w:rtl w:val="true"/>
        </w:rPr>
        <w:t>ج</w:t>
      </w:r>
      <w:r>
        <w:rPr>
          <w:rtl w:val="true"/>
        </w:rPr>
        <w:t xml:space="preserve">) </w:t>
      </w:r>
      <w:r>
        <w:rPr>
          <w:rtl w:val="true"/>
        </w:rPr>
        <w:t>دیدگاه علّامۀ مجلسی</w:t>
      </w:r>
      <w:bookmarkEnd w:id="532"/>
    </w:p>
    <w:p>
      <w:pPr>
        <w:pStyle w:val="BookText"/>
        <w:rPr/>
      </w:pPr>
      <w:r>
        <w:rPr>
          <w:rFonts w:ascii="IRNazanin" w:hAnsi="IRNazanin" w:eastAsia="IRNazanin"/>
          <w:color w:val="111111"/>
          <w:sz w:val="28"/>
          <w:sz w:val="28"/>
          <w:szCs w:val="28"/>
          <w:rtl w:val="true"/>
          <w:lang w:bidi="fa-IR"/>
        </w:rPr>
        <w:t>علّامه محمّدتقی مجلسی قدس سره دو راه برای جمع میان روایات مانعه و روایات مجوّزه، ارائه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کتاب ملاذ الأخیار از پدر خود علاّمه محمّدباقر مجلسی قدس سره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الوالد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حمل عدم الجواز علی بلادٍ لاینتفع بها فیها والجواز علی غیرها؛</w:t>
      </w:r>
      <w:r>
        <w:rPr>
          <w:rStyle w:val="FootnoteAnchor"/>
          <w:rtl w:val="true"/>
        </w:rPr>
        <w:footnoteReference w:id="381"/>
      </w:r>
      <w:r>
        <w:rPr>
          <w:rFonts w:ascii="IRNazanin" w:hAnsi="IRNazanin" w:eastAsia="IRNazanin"/>
          <w:color w:val="111111"/>
          <w:sz w:val="28"/>
          <w:sz w:val="28"/>
          <w:szCs w:val="28"/>
          <w:rtl w:val="true"/>
          <w:lang w:bidi="fa-IR"/>
        </w:rPr>
        <w:t>والد علّامه‌ام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که روایت مانعه، مربوط به شهرهایی است که عذره در آن‌جا منفعت محلّل عقلایی نداشته است، و روایت مجوّزه، مربوط به شهرهایی است که عذره در آن‌جا دارای منفعت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قدس سره در کتاب المکاسب این جمع را نیز همچون جمع قبلی بعید و نادرست می‌داند؛ امّا وجهی برای نظر خود بیان نمی‌کند</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در هر صورت، این جمع نیز صحیح به نظر نمی‌رسد و با اشکالات گوناگونی مواجه است که در ادامه، آنها را بررسی خوهیم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ایروانی قدس سره و به پیروی از ایشان محقّق خویی قدس سره بیان مهمّی دارند که می‌توان به عنوان اولین اشکال به آن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ایشان اگر چیزی در یک شهر دارای منفعت باشد، بیع آن علی الاطلاق صحیح است، حتّی اگر در شهر محلّ معامله منفعتی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اگر چیزی در یک شهر قابلیّت انتفاع داشته باشد و مال محسوب شود، بیع آن در همۀ نقاط و شهرهای دیگر، صحیح خواهد بود</w:t>
      </w:r>
      <w:r>
        <w:rPr>
          <w:rFonts w:eastAsia="IRNazanin" w:cs="IRNazanin"/>
          <w:color w:val="111111"/>
          <w:sz w:val="28"/>
          <w:szCs w:val="28"/>
          <w:rtl w:val="true"/>
          <w:lang w:bidi="fa-IR"/>
        </w:rPr>
        <w:t>.</w:t>
      </w:r>
      <w:r>
        <w:rPr>
          <w:rStyle w:val="FootnoteAnchor"/>
          <w:rtl w:val="true"/>
        </w:rPr>
        <w:footnoteReference w:id="383"/>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سخن محقّق ایروانی قدس سره در مورد منفعت و مالیّت شیء،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چیزی در یک شهر یا منطقه مالیّت داشته باشد، بیع آن به‌طور مطلق صحیح است؛ لیکن در مورد حرمت اشیا این سخن صحیح نیست؛ یعنی در باب محرّمات این گونه نیست که اگر در منطقه‌ای یک شیء حرام نبود، بیع آن در همۀ مناطق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عنوانی مانند شطرنج که در کشور ما آلت قمار محسوب نمی‌شود، امّا در کشورهای غربی آلت قمار است، نمی‌توان حکم به جواز بیع آن در کشور ما نمود؛ چراکه در باب محرّمات، قاعده اقتضا می‌کند که برای جواز تصرّف در</w:t>
      </w:r>
    </w:p>
    <w:p>
      <w:pPr>
        <w:pStyle w:val="BookText"/>
        <w:rPr/>
      </w:pPr>
      <w:r>
        <w:rPr>
          <w:rFonts w:ascii="IRNazanin" w:hAnsi="IRNazanin" w:eastAsia="IRNazanin"/>
          <w:color w:val="111111"/>
          <w:sz w:val="28"/>
          <w:sz w:val="28"/>
          <w:szCs w:val="28"/>
          <w:rtl w:val="true"/>
          <w:lang w:bidi="fa-IR"/>
        </w:rPr>
        <w:t>این اشیا، در هیچ منطقه و شهری آلت قمار شمرده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حتّی اگر این اشیا در یک منطقه آلت قمار محسوب شوند، در هیچ جا نمی‌توان در آن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قاعده در باب محرّمات عکس آن چیزی است که در مورد مالیّت اشیا گفته شد؛</w:t>
      </w:r>
      <w:r>
        <w:rPr>
          <w:rStyle w:val="FootnoteAnchor"/>
          <w:rtl w:val="true"/>
        </w:rPr>
        <w:footnoteReference w:id="384"/>
      </w:r>
      <w:r>
        <w:rPr>
          <w:rFonts w:ascii="IRNazanin" w:hAnsi="IRNazanin" w:eastAsia="IRNazanin"/>
          <w:color w:val="111111"/>
          <w:sz w:val="28"/>
          <w:sz w:val="28"/>
          <w:szCs w:val="28"/>
          <w:rtl w:val="true"/>
          <w:lang w:bidi="fa-IR"/>
        </w:rPr>
        <w:t>زیرا در آن‌جا مالیّت یک شیء در یک شهر برای صحّت بیع آن در همۀ مناطق کافی است؛ ولی در باب محرّمات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دومین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سخن علّامۀ مجلسی قدس سره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می‌توان به سخن والد معظّم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ایشان این جمع با حکم وضعی تناسب دارد؛ یعنی این‌که بگوییم روایت اوّل، مربوط به شهرهایی است که عذره در آن‌جا مالیّت ندارد و روایت دوم، مربوط به شهرهایی است که عذره در آن‌جا مالیّت دارد، با حکم وضعی متناسب است و مالیّت در حکم وضعی مورد توجّه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اگر این دو روایت، تنها در مقام بیان حکم وضعی بودند، این جمع صحیح بود؛ امّا تردیدی وجود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حکم تکلیفی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روایات بر حکم تکلیفی دلالت می‌کنند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اشکال این جمع، ناسازگاری آن با مورد این روایات است؛ زیرا در روایت سماعه که هر دو حکم را جمع کرده است، سائل تصریح می‌کند که شغل او فروش عذره است و از همین نکته می‌توان فهمید که در آن منطقه، عذره قابلیت انتفاع داشته است؛ ولی با این حال، امام علیه السلام در پاسخ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آن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علمای عامّه بر این باورند که بیع اعیان نجس، مطلقاً حرام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از این رو، علّامه محمّدتقی مجلسی قدس سره با توجّه به اجماع علمای عامّه، روایات مانعه را حمل بر تقیّه کرده است و روایت دوم را که دلالت بر جواز دارد، با توجّه به مخالفت آن با فتوای عامّه، مقدّم می‌داند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این نظر نیز تهی از اشکال نیست؛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مشهور فقهای امامیّه نیز حرمت بیع عذرۀ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مقبولۀ عمر بن حنظله، امام علیه السلام در پاسخ به این پرسش که تکلیف ما در صورتی که با دو حدیث متعارض روبه رو شویم چیست، ابتدا به بحث موافقت با مشهور اشاره می‌نمایند</w:t>
      </w:r>
      <w:r>
        <w:rPr>
          <w:rFonts w:eastAsia="IRNazanin" w:cs="IRNazanin"/>
          <w:color w:val="111111"/>
          <w:sz w:val="28"/>
          <w:szCs w:val="28"/>
          <w:rtl w:val="true"/>
          <w:lang w:bidi="fa-IR"/>
        </w:rPr>
        <w:t>.</w:t>
      </w:r>
      <w:r>
        <w:rPr>
          <w:rStyle w:val="FootnoteAnchor"/>
          <w:rtl w:val="true"/>
        </w:rPr>
        <w:footnoteReference w:id="388"/>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دیگر سخن، با توجّه به مقبولۀ عمر بن حنظله، اوّلین مرجّح در حلّ تعارض دو روایت، شهرت فتوایی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فقها شهرت را در این روایت بر شهرت روایی حمل کرده‌اند؛</w:t>
      </w:r>
      <w:r>
        <w:rPr>
          <w:rStyle w:val="FootnoteAnchor"/>
          <w:rtl w:val="true"/>
        </w:rPr>
        <w:footnoteReference w:id="389"/>
      </w:r>
      <w:r>
        <w:rPr>
          <w:rFonts w:ascii="IRNazanin" w:hAnsi="IRNazanin" w:eastAsia="IRNazanin"/>
          <w:color w:val="111111"/>
          <w:sz w:val="28"/>
          <w:sz w:val="28"/>
          <w:szCs w:val="28"/>
          <w:rtl w:val="true"/>
          <w:lang w:bidi="fa-IR"/>
        </w:rPr>
        <w:t>لیکن امام خمینی،</w:t>
      </w:r>
      <w:r>
        <w:rPr>
          <w:rStyle w:val="FootnoteAnchor"/>
          <w:rtl w:val="true"/>
        </w:rPr>
        <w:footnoteReference w:id="390"/>
      </w:r>
      <w:r>
        <w:rPr>
          <w:rFonts w:ascii="IRNazanin" w:hAnsi="IRNazanin" w:eastAsia="IRNazanin"/>
          <w:color w:val="111111"/>
          <w:sz w:val="28"/>
          <w:sz w:val="28"/>
          <w:szCs w:val="28"/>
          <w:rtl w:val="true"/>
          <w:lang w:bidi="fa-IR"/>
        </w:rPr>
        <w:t>محقّق بروجردی،</w:t>
      </w:r>
      <w:r>
        <w:rPr>
          <w:rStyle w:val="FootnoteAnchor"/>
          <w:rtl w:val="true"/>
        </w:rPr>
        <w:footnoteReference w:id="391"/>
      </w:r>
      <w:r>
        <w:rPr>
          <w:rFonts w:ascii="IRNazanin" w:hAnsi="IRNazanin" w:eastAsia="IRNazanin"/>
          <w:color w:val="111111"/>
          <w:sz w:val="28"/>
          <w:sz w:val="28"/>
          <w:szCs w:val="28"/>
          <w:rtl w:val="true"/>
          <w:lang w:bidi="fa-IR"/>
        </w:rPr>
        <w:t xml:space="preserve">والد معظّم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العالی </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 xml:space="preserve">و شمار بسیاری از فقهای بزرگوار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شهرت فتوایی، مقصود و مراد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هرگاه شهرت فتوایی وجود داشته باشد به آن مراجعه می‌شود و در صورت نبود شهرت، می‌توان به موافقت کتاب و پس از آن مخالفت با عامّه رجوع کرد؛ یعنی مخالفت با عامّه به عنوان آخرین مرجّح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این‌که روایت مانعه، مطابق شهرت فتواییِ فقهای امامیّه است، باید همان را مقدّم بدانیم</w:t>
      </w:r>
      <w:r>
        <w:rPr>
          <w:rFonts w:eastAsia="IRNazanin" w:cs="IRNazanin"/>
          <w:color w:val="111111"/>
          <w:sz w:val="28"/>
          <w:szCs w:val="28"/>
          <w:rtl w:val="true"/>
          <w:lang w:bidi="fa-IR"/>
        </w:rPr>
        <w:t>.</w:t>
      </w:r>
      <w:bookmarkStart w:id="533" w:name="pg13785_135075"/>
    </w:p>
    <w:p>
      <w:pPr>
        <w:pStyle w:val="Heading6"/>
        <w:numPr>
          <w:ilvl w:val="5"/>
          <w:numId w:val="1"/>
        </w:numPr>
        <w:rPr/>
      </w:pPr>
      <w:bookmarkStart w:id="534" w:name="__RefHeading___Toc2531103_1468164448"/>
      <w:bookmarkStart w:id="535" w:name="_Toc207"/>
      <w:bookmarkEnd w:id="533"/>
      <w:bookmarkEnd w:id="534"/>
      <w:r>
        <w:rPr>
          <w:rtl w:val="true"/>
        </w:rPr>
        <w:t>د</w:t>
      </w:r>
      <w:r>
        <w:rPr>
          <w:rtl w:val="true"/>
        </w:rPr>
        <w:t xml:space="preserve">) </w:t>
      </w:r>
      <w:r>
        <w:rPr>
          <w:rtl w:val="true"/>
        </w:rPr>
        <w:t>دیدگاه امام خمینی</w:t>
      </w:r>
      <w:bookmarkEnd w:id="535"/>
    </w:p>
    <w:p>
      <w:pPr>
        <w:pStyle w:val="BookText"/>
        <w:rPr/>
      </w:pPr>
      <w:r>
        <w:rPr>
          <w:rFonts w:ascii="IRNazanin" w:hAnsi="IRNazanin" w:eastAsia="IRNazanin"/>
          <w:color w:val="111111"/>
          <w:sz w:val="28"/>
          <w:sz w:val="28"/>
          <w:szCs w:val="28"/>
          <w:rtl w:val="true"/>
          <w:lang w:bidi="fa-IR"/>
        </w:rPr>
        <w:t>به فرمودۀ امام خمینی قدس سره اگر روایت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ببَیْع العَذِرَة</w:t>
      </w:r>
      <w:r>
        <w:rPr>
          <w:rFonts w:eastAsia="Amiri" w:cs="Amiri" w:ascii="Amiri" w:hAnsi="Amiri"/>
          <w:color w:val="111111"/>
          <w:sz w:val="28"/>
          <w:szCs w:val="28"/>
          <w:rtl w:val="true"/>
          <w:lang w:bidi="ar-SA"/>
        </w:rPr>
        <w:t>»</w:t>
      </w:r>
      <w:r>
        <w:rPr>
          <w:rStyle w:val="FootnoteAnchor"/>
          <w:rtl w:val="true"/>
        </w:rPr>
        <w:footnoteReference w:id="393"/>
      </w:r>
      <w:r>
        <w:rPr>
          <w:rFonts w:ascii="IRNazanin" w:hAnsi="IRNazanin" w:eastAsia="IRNazanin"/>
          <w:color w:val="111111"/>
          <w:sz w:val="28"/>
          <w:sz w:val="28"/>
          <w:szCs w:val="28"/>
          <w:rtl w:val="true"/>
          <w:lang w:bidi="fa-IR"/>
        </w:rPr>
        <w:t>وجود نداشت، آن‌گاه روایت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 العَذِرَة من السُّحْت</w:t>
      </w:r>
      <w:r>
        <w:rPr>
          <w:rFonts w:eastAsia="Amiri" w:cs="Amiri" w:ascii="Amiri" w:hAnsi="Amiri"/>
          <w:color w:val="111111"/>
          <w:sz w:val="28"/>
          <w:szCs w:val="28"/>
          <w:rtl w:val="true"/>
          <w:lang w:bidi="ar-SA"/>
        </w:rPr>
        <w:t>»</w:t>
      </w:r>
      <w:r>
        <w:rPr>
          <w:rStyle w:val="FootnoteAnchor"/>
          <w:rtl w:val="true"/>
        </w:rPr>
        <w:footnoteReference w:id="394"/>
      </w:r>
      <w:r>
        <w:rPr>
          <w:rFonts w:ascii="IRNazanin" w:hAnsi="IRNazanin" w:eastAsia="IRNazanin"/>
          <w:color w:val="111111"/>
          <w:sz w:val="28"/>
          <w:sz w:val="28"/>
          <w:szCs w:val="28"/>
          <w:rtl w:val="true"/>
          <w:lang w:bidi="fa-IR"/>
        </w:rPr>
        <w:t xml:space="preserve">تنها ظهور در حکم تکلیفی داشت؛ زیرا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می‌شود، ظهور قوی در حکم تکلیفی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این روایت با قطع‌نظر ازروایت مجوّزه در حکم تکلیفی ظهور دارد و حمل آن بر خصوص حکم وضعی و یا بر اعمّ از حکم تکلیفی و وضعی، خلاف ظاهر است؛ لیکن روایت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ببَیْع العَذِرَة</w:t>
      </w:r>
      <w:r>
        <w:rPr>
          <w:rFonts w:eastAsia="Amiri" w:cs="Amiri" w:ascii="Amiri" w:hAnsi="Amiri"/>
          <w:color w:val="111111"/>
          <w:sz w:val="28"/>
          <w:szCs w:val="28"/>
          <w:rtl w:val="true"/>
          <w:lang w:bidi="ar-SA"/>
        </w:rPr>
        <w:t>»</w:t>
      </w:r>
      <w:r>
        <w:rPr>
          <w:rStyle w:val="FootnoteAnchor"/>
          <w:rtl w:val="true"/>
        </w:rPr>
        <w:footnoteReference w:id="395"/>
      </w:r>
      <w:r>
        <w:rPr>
          <w:rFonts w:ascii="IRNazanin" w:hAnsi="IRNazanin" w:eastAsia="IRNazanin"/>
          <w:color w:val="111111"/>
          <w:sz w:val="28"/>
          <w:sz w:val="28"/>
          <w:szCs w:val="28"/>
          <w:rtl w:val="true"/>
          <w:lang w:bidi="fa-IR"/>
        </w:rPr>
        <w:t>قرینه است بر این‌که روایت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w:t>
      </w:r>
    </w:p>
    <w:p>
      <w:pPr>
        <w:pStyle w:val="BookText"/>
        <w:rPr/>
      </w:pPr>
      <w:r>
        <w:rPr>
          <w:rFonts w:ascii="Amiri" w:hAnsi="Amiri" w:eastAsia="Amiri" w:cs="Amiri"/>
          <w:color w:val="111111"/>
          <w:sz w:val="28"/>
          <w:sz w:val="28"/>
          <w:szCs w:val="28"/>
          <w:rtl w:val="true"/>
          <w:lang w:bidi="ar-SA"/>
        </w:rPr>
        <w:t>الْعَذِرَة من السُّحْت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6"/>
      </w:r>
      <w:r>
        <w:rPr>
          <w:rFonts w:ascii="IRNazanin" w:hAnsi="IRNazanin" w:eastAsia="IRNazanin"/>
          <w:color w:val="111111"/>
          <w:sz w:val="28"/>
          <w:sz w:val="28"/>
          <w:szCs w:val="28"/>
          <w:rtl w:val="true"/>
          <w:lang w:bidi="fa-IR"/>
        </w:rPr>
        <w:t>هم بر حکم وضعی و هم بر حکم تکلیفی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روایت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بِبَیْعِ الْعَذِرَةِ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است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جامع بین حکم تکلیفی و حکم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تکلیفیِ حرمت در روایت مانعه را برمی‌دارد و تنها حکم وضعیِ بطلان،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جمع بین این دو روایت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عذره باطل است، ولی حرمت تکلیفی ندارد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بنا بر این، امام خمینی قدس سره معتقد است که این وجه جمع با وجود تکلّف، بر سایر راه‌های موجود در کلام فقها رجحان دارد؛ زیرا در این جمع،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کراهت نمی‌گردد و عذره بر خصوص مدفوع انسان، حمل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نقد این سخن امام خمینی قدس سره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این جمع نیز تبرّعی و فاقد شاهد است، روایت</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بِبَیْعِ الْعَذِرَةِ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اطلاق دارد و بازگوکنندۀ حکم وضعی و تکلیفی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در مدلول روایت مانعه تصرّف کند و حرمت تکلیفی را از بین ببرد، می‌تواند حرمت وضعی معاملۀ عذره را نیز بردارد، در حالی که ایشان متفاهم از این روایت را تنها حکم تکلیفی می‌داند</w:t>
      </w:r>
      <w:r>
        <w:rPr>
          <w:rFonts w:eastAsia="IRNazanin" w:cs="IRNazanin"/>
          <w:color w:val="111111"/>
          <w:sz w:val="28"/>
          <w:szCs w:val="28"/>
          <w:rtl w:val="true"/>
          <w:lang w:bidi="fa-IR"/>
        </w:rPr>
        <w:t>.</w:t>
      </w:r>
      <w:bookmarkStart w:id="536" w:name="pg13785_135076"/>
    </w:p>
    <w:p>
      <w:pPr>
        <w:pStyle w:val="Heading6"/>
        <w:numPr>
          <w:ilvl w:val="5"/>
          <w:numId w:val="1"/>
        </w:numPr>
        <w:rPr/>
      </w:pPr>
      <w:bookmarkStart w:id="537" w:name="__RefHeading___Toc2531105_1468164448"/>
      <w:bookmarkStart w:id="538" w:name="_Toc208"/>
      <w:bookmarkEnd w:id="536"/>
      <w:bookmarkEnd w:id="537"/>
      <w:r>
        <w:rPr>
          <w:rtl w:val="true"/>
        </w:rPr>
        <w:t>ه</w:t>
      </w:r>
      <w:r>
        <w:rPr>
          <w:rtl w:val="true"/>
        </w:rPr>
        <w:t xml:space="preserve">) </w:t>
      </w:r>
      <w:r>
        <w:rPr>
          <w:rtl w:val="true"/>
        </w:rPr>
        <w:t>دیدگاه محقّق مامقانی</w:t>
      </w:r>
      <w:bookmarkEnd w:id="538"/>
    </w:p>
    <w:p>
      <w:pPr>
        <w:pStyle w:val="BookText"/>
        <w:rPr/>
      </w:pPr>
      <w:r>
        <w:rPr>
          <w:rFonts w:ascii="IRNazanin" w:hAnsi="IRNazanin" w:eastAsia="IRNazanin"/>
          <w:color w:val="111111"/>
          <w:sz w:val="28"/>
          <w:sz w:val="28"/>
          <w:szCs w:val="28"/>
          <w:rtl w:val="true"/>
          <w:lang w:bidi="fa-IR"/>
        </w:rPr>
        <w:t>محقّق مامقانی قدس سره در غایة الآمال که حاشیه‌ای بر مکاسب است،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والأقرب عندی حمل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ببیع العذرة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الإستفهام الإنکاری، وقد وجدتُ فی الوافی بعد ما سنح لی هذا الوجه کلاماً ظاهره الإشارة إلیه، فإنه ذکر فیه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ان یکون اللفظتان مختلفتین فی هیئة التلفّظ وإن کانتا واحدة فی الصورة</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به عقیدۀ ایشان باید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ببیع العذرة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استفهام انکاری حمل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بیان که امام علیه السلام در روایت سماعه</w:t>
      </w:r>
      <w:r>
        <w:rPr>
          <w:rStyle w:val="FootnoteAnchor"/>
          <w:rtl w:val="true"/>
        </w:rPr>
        <w:footnoteReference w:id="399"/>
      </w:r>
      <w:r>
        <w:rPr>
          <w:rFonts w:ascii="IRNazanin" w:hAnsi="IRNazanin" w:eastAsia="IRNazanin"/>
          <w:color w:val="111111"/>
          <w:sz w:val="28"/>
          <w:sz w:val="28"/>
          <w:szCs w:val="28"/>
          <w:rtl w:val="true"/>
          <w:lang w:bidi="fa-IR"/>
        </w:rPr>
        <w:t>پس از آن‌که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و ثمن عذره حرام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می‌آورند؛ یعنی گویا ایشان با حالت تعجّب می‌خواهند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گفت بیع عذره بدون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مامقانی قدس سره در ادامه اظهار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وافی عبارتی یافتم که گویا به همین مطلب اشاره دارد؛ زیرا در وافی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این دو لفظ، یعنی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بیعها و ثمنها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ببیع العذرة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هیئت تلفّظ و معنا متفاوت باشند، هرچند در ظاهر با هم تفاوتی ندارند؛ یعنی ظاهراً هر دو در مقام بیان حکم هستند، ولی در واقع لفظ نخست، بیان حکم می‌کند و قسمت دوم، استفهام انکاری است</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اوّلین نکته‌ای که در نقد این وجه جمع می‌توان به آن اشاره کرد، تبرّعی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دیگر هم این است که چه بسا عکس سخن محقّق مامقانی قدس سره صادق باشد؛ یعنی قسمت</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بیعها وثمنها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بخشی از کلام سؤال‌کننده باشد و امام علیه السلام در پاسخ او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باشند؛ یعنی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روایت</w:t>
      </w:r>
      <w:bookmarkStart w:id="539" w:name="pg13785_135077"/>
    </w:p>
    <w:p>
      <w:pPr>
        <w:pStyle w:val="BookText"/>
        <w:rPr/>
      </w:pPr>
      <w:bookmarkEnd w:id="539"/>
      <w:r>
        <w:rPr>
          <w:rFonts w:ascii="IRNazanin" w:hAnsi="IRNazanin" w:eastAsia="IRNazanin"/>
          <w:color w:val="111111"/>
          <w:sz w:val="28"/>
          <w:sz w:val="28"/>
          <w:szCs w:val="28"/>
          <w:rtl w:val="true"/>
          <w:lang w:bidi="fa-IR"/>
        </w:rPr>
        <w:t>سماعه را خود راوی قرار دهیم که از امام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بیع و ثمن عذره حرام است؟ و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را امام علیه السلام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در عرف نیز مرسوم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شخصی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معامله را انجام می‌دهم، صحیح است یا باطل؟ با این توضیح، معلوم می‌شود که راه پیشنهادی محقّق مامقانی قدس سره نیز قابل قبول نیست</w:t>
      </w:r>
      <w:r>
        <w:rPr>
          <w:rFonts w:eastAsia="IRNazanin" w:cs="IRNazanin"/>
          <w:color w:val="111111"/>
          <w:sz w:val="28"/>
          <w:szCs w:val="28"/>
          <w:rtl w:val="true"/>
          <w:lang w:bidi="fa-IR"/>
        </w:rPr>
        <w:t>.</w:t>
      </w:r>
    </w:p>
    <w:p>
      <w:pPr>
        <w:pStyle w:val="Heading6"/>
        <w:numPr>
          <w:ilvl w:val="5"/>
          <w:numId w:val="1"/>
        </w:numPr>
        <w:rPr/>
      </w:pPr>
      <w:bookmarkStart w:id="540" w:name="__RefHeading___Toc2531107_1468164448"/>
      <w:bookmarkStart w:id="541" w:name="_Toc209"/>
      <w:bookmarkEnd w:id="540"/>
      <w:r>
        <w:rPr>
          <w:rtl w:val="true"/>
        </w:rPr>
        <w:t>و</w:t>
      </w:r>
      <w:r>
        <w:rPr>
          <w:rtl w:val="true"/>
        </w:rPr>
        <w:t xml:space="preserve">) </w:t>
      </w:r>
      <w:r>
        <w:rPr>
          <w:rtl w:val="true"/>
        </w:rPr>
        <w:t>دیدگاه برگزیده</w:t>
      </w:r>
      <w:bookmarkEnd w:id="541"/>
    </w:p>
    <w:p>
      <w:pPr>
        <w:pStyle w:val="BookText"/>
        <w:rPr/>
      </w:pPr>
      <w:r>
        <w:rPr>
          <w:rFonts w:ascii="IRNazanin" w:hAnsi="IRNazanin" w:eastAsia="IRNazanin"/>
          <w:color w:val="111111"/>
          <w:sz w:val="28"/>
          <w:sz w:val="28"/>
          <w:szCs w:val="28"/>
          <w:rtl w:val="true"/>
          <w:lang w:bidi="fa-IR"/>
        </w:rPr>
        <w:t>پذیرش هر یک از راه‌های یاد شده، با اشکالاتی مواجه است و هیچ کدام قابل قبول نیست؛ لیکن همچنان این پرسش مطرح است که چگونه می‌توان تعارض این روایات را حل نمود؟</w:t>
      </w:r>
    </w:p>
    <w:p>
      <w:pPr>
        <w:pStyle w:val="BookText"/>
        <w:rPr/>
      </w:pPr>
      <w:r>
        <w:rPr>
          <w:rFonts w:ascii="IRNazanin" w:hAnsi="IRNazanin" w:eastAsia="IRNazanin"/>
          <w:color w:val="111111"/>
          <w:sz w:val="28"/>
          <w:sz w:val="28"/>
          <w:szCs w:val="28"/>
          <w:rtl w:val="true"/>
          <w:lang w:bidi="fa-IR"/>
        </w:rPr>
        <w:t>شیخ انصاری قدس سره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والأظهر ما ذکره الشیخ قدس سره لو أُرید التبرّع بالحمل، لکونه أولی من الطرح، وإلّا فروایة الجواز لا یجوز الأخذ بها من وجوه لا تخفی</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به عقیدۀ ایشان در میان وجوه جمع مذکور، سخن شیخ طوسی قدس سره اظهر است و با توجّه به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مهما أمکن أولی من الطرح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این وجه جمع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اشکال کند که این جمع بدون شاهد است، در این صورت، بنا به دلایل متعدّدی باید روایت جواز را طرد نمود و به روایت مانعه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عبارت‌اند از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اجماعات منقول، مؤیّد روایت مانعه است؛ زیرا بر حرمت بیع اعیان نجس بویژه عذرۀ نجس، اجماع قائم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شهرت فتوایی با روایات مانعه موافقت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ادلّۀ عام نیز بر منع بیع عذرۀ نجس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روایت تحف العقول، بیع اشیای نجس حرام دانسته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محمّد بن مضارب در سند روایت جواز، موجب ضعف این روایت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دیدگاه شیخ انصاری قدس سره برخی دیگر از فقها همچون محقّق ایروانی، محقّق خویی قدس سرهما و عدّه‌ای از شاگردان ایشان معتقدند که ادلّۀ شیخ انصاری قدس سره برای ردّ روایت جواز مخدوش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اجماعات ذکر شده فاقد حجّیت‌اند، چراکه همگی مدرکی و یا محتمل المدرک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فتوایی نیز از دو جهت اشکال دارد؛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اصلاً شهرت فتوایی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فقها که شهرت فتوایی را قبول می‌کنند، معتقدند آن شهرتی حجّیت دارد و می‌تواند به عنوان مرّجح استفاده شود که استناد مشهور فقها به آن روایت در صدور فتوایشان ثابت شود، در حالی که در این‌جا چنین چیزی ثابت نمی‌شود؛ یعنی نمی‌توان ثابت کرد مشهور فقها برای فتوایشان به این روایت استناد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شهرت نیز پذیرفتنی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ادلّۀ عامّه مخدوش بوده و این ادلّۀ اعتباری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روایت جواز، ناشی از اشتباه محمّد بن مضارب با محمّد بن مصادف می‌باشد؛ یعنی محمّد بن مصادف توسّط علمای رجال تضعیف شده است ولی بر حُسن محمّد بن مضارب نصّ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اشتباه شدن این دو نفر با یکدیگر موجب ضعیف دانستن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عنوان مؤیّد به این مطلب اشاره می‌کنند که شیخ کلینی قدس سره با آن تبحّر و تخصّص در علم حدیث، در کتاب کافی و در باب بیع عذره، تنها روایت جواز را آورده است</w:t>
      </w:r>
      <w:r>
        <w:rPr>
          <w:rFonts w:eastAsia="IRNazanin" w:cs="IRNazanin"/>
          <w:color w:val="111111"/>
          <w:sz w:val="28"/>
          <w:szCs w:val="28"/>
          <w:rtl w:val="true"/>
          <w:lang w:bidi="fa-IR"/>
        </w:rPr>
        <w:t>.</w:t>
      </w:r>
      <w:r>
        <w:rPr>
          <w:rStyle w:val="FootnoteAnchor"/>
          <w:rtl w:val="true"/>
        </w:rPr>
        <w:footnoteReference w:id="402"/>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 این گروه از فقها معتقدند که برای رفع تعارض این دو روایت، باید به ادلّۀ علاجیّه مراجعه نمود و از آن‌جا که روایت جواز، هم موافق قرآن است و هم</w:t>
      </w:r>
    </w:p>
    <w:p>
      <w:pPr>
        <w:pStyle w:val="BookText"/>
        <w:rPr/>
      </w:pPr>
      <w:r>
        <w:rPr>
          <w:rFonts w:ascii="IRNazanin" w:hAnsi="IRNazanin" w:eastAsia="IRNazanin"/>
          <w:color w:val="111111"/>
          <w:sz w:val="28"/>
          <w:sz w:val="28"/>
          <w:szCs w:val="28"/>
          <w:rtl w:val="true"/>
          <w:lang w:bidi="fa-IR"/>
        </w:rPr>
        <w:t>مخالف با عامّه، باید آن را ترجیح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شریفۀ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آن بوده و مخالف دیدگاه بیشتر فقهای عامّه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ایروانی قدس سره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عذره دارای منافع زیادی است، برای صحّت بیع آن، استناد به ادلّۀ عام کافی است و نیازی به دلیل خاص در این مورد وجود ندارد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به نظر ما نیز اگر ثابت شود روایت مانعه ضعیف است و نتوان ثابت کرد که مشهور به آن روایت استناد کرده‌اند،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عذره دارای منفعت عقلایی باشد، بیعش جایز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ضعف سند را نپذیریم و در نتیجه دو دسته روایات دارای تعارض، مستقر و ثابت شوند و نتوان از مرجّحات استفاده نمود، باید مسئلۀ تساقط و رجوع بر ادلّۀ عام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نماییم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منفعت عقلایی در بیع آن باشد، این عمل جایز و صحیح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این مبحث به سخنی از والد معظّم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بیان طرق جمع میان این روایات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شهرت فتوایی نخستین مرجّح به شمار می‌آید و روایت مانعه موافق فتوای مشهور فقهاست، باید روایت مانعه را مقدّم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ایشان مطابق روایت مانعه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همچنین اظهار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عذره به مدفوع انسان اختصاص دارد، می‌توان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 الْعَذِرَةِ مِنَ السُّحْتِ</w:t>
      </w:r>
      <w:r>
        <w:rPr>
          <w:rFonts w:eastAsia="Amiri" w:cs="Amiri" w:ascii="Amiri" w:hAnsi="Amiri"/>
          <w:color w:val="111111"/>
          <w:sz w:val="28"/>
          <w:szCs w:val="28"/>
          <w:rtl w:val="true"/>
          <w:lang w:bidi="ar-SA"/>
        </w:rPr>
        <w:t>»</w:t>
      </w:r>
      <w:r>
        <w:rPr>
          <w:rStyle w:val="FootnoteAnchor"/>
          <w:rtl w:val="true"/>
        </w:rPr>
        <w:footnoteReference w:id="404"/>
      </w:r>
      <w:r>
        <w:rPr>
          <w:rFonts w:ascii="IRNazanin" w:hAnsi="IRNazanin" w:eastAsia="IRNazanin"/>
          <w:color w:val="111111"/>
          <w:sz w:val="28"/>
          <w:sz w:val="28"/>
          <w:szCs w:val="28"/>
          <w:rtl w:val="true"/>
          <w:lang w:bidi="fa-IR"/>
        </w:rPr>
        <w:t>الغای خصوصیت کرده و آن را شامل عذرۀ غیر انسان نیز دانست</w:t>
      </w:r>
      <w:r>
        <w:rPr>
          <w:rFonts w:eastAsia="IRNazanin" w:cs="IRNazanin"/>
          <w:color w:val="111111"/>
          <w:sz w:val="28"/>
          <w:szCs w:val="28"/>
          <w:rtl w:val="true"/>
          <w:lang w:bidi="fa-IR"/>
        </w:rPr>
        <w:t>.</w:t>
      </w:r>
      <w:r>
        <w:rPr>
          <w:rStyle w:val="FootnoteAnchor"/>
          <w:rtl w:val="true"/>
        </w:rPr>
        <w:footnoteReference w:id="405"/>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سخن ایشان با اشکالاتی مواجه است؛ زیرا از یک سو برای ما محرز نیست که فقها در صدور فتاوای خود مبنی بر حرمت بیع عذرۀ نجس، به این روایت استناد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چنان‌که عذره را مختص به عذرۀ انسان بدانیم، این الغای خصوصیت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قبلاً گذشت که عذره در روایات به معنای مطلق مدفوع به کار رفته است و حتّی شامل عذرۀ حیوان حلال گوشت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دیگر نیازی به الغای خصوصیت نیست</w:t>
      </w:r>
      <w:r>
        <w:rPr>
          <w:rFonts w:eastAsia="IRNazanin" w:cs="IRNazanin"/>
          <w:color w:val="111111"/>
          <w:sz w:val="28"/>
          <w:szCs w:val="28"/>
          <w:rtl w:val="true"/>
          <w:lang w:bidi="fa-IR"/>
        </w:rPr>
        <w:t>.</w:t>
      </w:r>
      <w:bookmarkStart w:id="542" w:name="pg13785_135082"/>
    </w:p>
    <w:p>
      <w:pPr>
        <w:pStyle w:val="Heading3"/>
        <w:numPr>
          <w:ilvl w:val="2"/>
          <w:numId w:val="1"/>
        </w:numPr>
        <w:rPr/>
      </w:pPr>
      <w:bookmarkStart w:id="543" w:name="__RefHeading___Toc2531109_1468164448"/>
      <w:bookmarkStart w:id="544" w:name="_Toc210"/>
      <w:bookmarkEnd w:id="542"/>
      <w:bookmarkEnd w:id="543"/>
      <w:r>
        <w:rPr>
          <w:rtl w:val="true"/>
        </w:rPr>
        <w:t>فصل چهارم</w:t>
      </w:r>
      <w:r>
        <w:rPr>
          <w:rtl w:val="true"/>
        </w:rPr>
        <w:t xml:space="preserve">: </w:t>
      </w:r>
      <w:r>
        <w:rPr>
          <w:rtl w:val="true"/>
        </w:rPr>
        <w:t>معاملۀ خون</w:t>
      </w:r>
      <w:bookmarkEnd w:id="544"/>
    </w:p>
    <w:p>
      <w:pPr>
        <w:pStyle w:val="Heading4"/>
        <w:numPr>
          <w:ilvl w:val="3"/>
          <w:numId w:val="1"/>
        </w:numPr>
        <w:rPr/>
      </w:pPr>
      <w:bookmarkStart w:id="545" w:name="__RefHeading___Toc2531111_1468164448"/>
      <w:bookmarkStart w:id="546" w:name="_Toc211"/>
      <w:bookmarkEnd w:id="545"/>
      <w:r>
        <w:rPr>
          <w:rtl w:val="true"/>
        </w:rPr>
        <w:t>اشارة</w:t>
      </w:r>
      <w:bookmarkEnd w:id="546"/>
    </w:p>
    <w:p>
      <w:pPr>
        <w:pStyle w:val="BookText"/>
        <w:rPr/>
      </w:pPr>
      <w:r>
        <w:rPr>
          <w:rFonts w:ascii="IRNazanin" w:hAnsi="IRNazanin" w:eastAsia="IRNazanin"/>
          <w:color w:val="111111"/>
          <w:sz w:val="28"/>
          <w:sz w:val="28"/>
          <w:szCs w:val="28"/>
          <w:rtl w:val="true"/>
          <w:lang w:bidi="fa-IR"/>
        </w:rPr>
        <w:t>شیخ انصاری قدس سره در کتاب المکاسب از خون به عنوان سومین مورد از اعیان نجس که معاملۀ آن حرام است، نام می‌برد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یحرم المعاوضة علی الدم بلاخلافٍ بل عن النهایة وشرح الإرشاد لفخر الدین والتنقیح الإجماع علیه</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ایشان با ادّعای عدم خلاف و با نقل اجماع از کتاب‌های النهایة، شرح ارشاد و تنقیح، بیع خون را حرام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معاملۀ خون مانند بول و عذره در بین قدما مسلّم بوده است و ایشان، خون را از جملۀ اعیان نجسی می‌دانند که معاوضۀ آن حرام و باطل است</w:t>
      </w:r>
      <w:r>
        <w:rPr>
          <w:rFonts w:eastAsia="IRNazanin" w:cs="IRNazanin"/>
          <w:color w:val="111111"/>
          <w:sz w:val="28"/>
          <w:szCs w:val="28"/>
          <w:rtl w:val="true"/>
          <w:lang w:bidi="fa-IR"/>
        </w:rPr>
        <w:t>.</w:t>
      </w:r>
    </w:p>
    <w:p>
      <w:pPr>
        <w:pStyle w:val="Heading4"/>
        <w:numPr>
          <w:ilvl w:val="3"/>
          <w:numId w:val="1"/>
        </w:numPr>
        <w:rPr/>
      </w:pPr>
      <w:bookmarkStart w:id="547" w:name="__RefHeading___Toc2531113_1468164448"/>
      <w:bookmarkStart w:id="548" w:name="_Toc212"/>
      <w:bookmarkEnd w:id="547"/>
      <w:r>
        <w:rPr>
          <w:rtl w:val="true"/>
        </w:rPr>
        <w:t>گفتار اوّل</w:t>
      </w:r>
      <w:r>
        <w:rPr>
          <w:rtl w:val="true"/>
        </w:rPr>
        <w:t xml:space="preserve">: </w:t>
      </w:r>
      <w:r>
        <w:rPr>
          <w:rtl w:val="true"/>
        </w:rPr>
        <w:t>بررسی ادلّۀ حرمت بیع خون</w:t>
      </w:r>
      <w:bookmarkEnd w:id="548"/>
    </w:p>
    <w:p>
      <w:pPr>
        <w:pStyle w:val="Heading5"/>
        <w:numPr>
          <w:ilvl w:val="4"/>
          <w:numId w:val="1"/>
        </w:numPr>
        <w:rPr/>
      </w:pPr>
      <w:bookmarkStart w:id="549" w:name="__RefHeading___Toc2531115_1468164448"/>
      <w:bookmarkStart w:id="550" w:name="_Toc213"/>
      <w:bookmarkEnd w:id="549"/>
      <w:r>
        <w:rPr>
          <w:rtl w:val="true"/>
        </w:rPr>
        <w:t>اشارة</w:t>
      </w:r>
      <w:bookmarkEnd w:id="550"/>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فقهی، نجاست یک شیء، دلیل بر حرمت معاوضۀ آن نیست؛ یعنی ملازمه‌ای میان نجاست شیء و حرمت آن وجود ندارد؛ بلکه ممکن است نجاست، موجب عدم</w:t>
      </w:r>
      <w:bookmarkStart w:id="551" w:name="pg13785_135083"/>
    </w:p>
    <w:p>
      <w:pPr>
        <w:pStyle w:val="BookText"/>
        <w:rPr/>
      </w:pPr>
      <w:bookmarkEnd w:id="551"/>
      <w:r>
        <w:rPr>
          <w:rFonts w:ascii="IRNazanin" w:hAnsi="IRNazanin" w:eastAsia="IRNazanin"/>
          <w:color w:val="111111"/>
          <w:sz w:val="28"/>
          <w:sz w:val="28"/>
          <w:szCs w:val="28"/>
          <w:rtl w:val="true"/>
          <w:lang w:bidi="fa-IR"/>
        </w:rPr>
        <w:t>انتفاع و به دنبال آن عدم مالیّت شیء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معاملۀ شیء نجسی که قابلیّت انتفاع ندارد،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نجاست برای حرمت بیع، مرضوعیّتی ندارد و در این بحث نیز مورد استفاده قرار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اجماعی که شیخ انصاری قدس سره به آن اشاره کرد نیز تذکّر دو نکته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این اجماعات محتمل المدرک‌اند و دوم این‌که از کلمات فقها استفاده می‌شود که علّت حرمت و بطلان معاوضۀ خون، غیر قابل انتفاع بودن آن است؛ یعنی در حقیقت، اجماع روی عدم انتفاع متمرکز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معلوم می‌شود که اجماع نیز در این زمینه بی‌فایده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روایات عام، همچون روایت تحف العقول و روایت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حَرَّمَ شیئاً حرَّمَ ثمنَه</w:t>
      </w:r>
      <w:r>
        <w:rPr>
          <w:rFonts w:eastAsia="Amiri" w:cs="Amiri" w:ascii="Amiri" w:hAnsi="Amiri"/>
          <w:color w:val="111111"/>
          <w:sz w:val="28"/>
          <w:szCs w:val="28"/>
          <w:rtl w:val="true"/>
          <w:lang w:bidi="ar-SA"/>
        </w:rPr>
        <w:t>»</w:t>
      </w:r>
      <w:r>
        <w:rPr>
          <w:rStyle w:val="FootnoteAnchor"/>
          <w:rtl w:val="true"/>
        </w:rPr>
        <w:footnoteReference w:id="407"/>
      </w:r>
      <w:r>
        <w:rPr>
          <w:rFonts w:ascii="IRNazanin" w:hAnsi="IRNazanin" w:eastAsia="IRNazanin"/>
          <w:color w:val="111111"/>
          <w:sz w:val="28"/>
          <w:sz w:val="28"/>
          <w:szCs w:val="28"/>
          <w:rtl w:val="true"/>
          <w:lang w:bidi="fa-IR"/>
        </w:rPr>
        <w:t>نیز گفته شد که آن معامله‌ای حرام است که به قصد ترتّب اثر حرام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خون را برای نجات جان دیگری بفروشد، این معامله از شمول حکم روایات عام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این ادلّه می‌توان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معاملۀ خون به قصد خوردن و آشامیدن قطعاً حرام و باطل است؛</w:t>
      </w:r>
      <w:r>
        <w:rPr>
          <w:rStyle w:val="FootnoteAnchor"/>
          <w:rtl w:val="true"/>
        </w:rPr>
        <w:footnoteReference w:id="408"/>
      </w:r>
      <w:r>
        <w:rPr>
          <w:rFonts w:ascii="IRNazanin" w:hAnsi="IRNazanin" w:eastAsia="IRNazanin"/>
          <w:color w:val="111111"/>
          <w:sz w:val="28"/>
          <w:sz w:val="28"/>
          <w:szCs w:val="28"/>
          <w:rtl w:val="true"/>
          <w:lang w:bidi="fa-IR"/>
        </w:rPr>
        <w:t>امّا اگر به قصد یک منفعت محلّل باشد، معاملۀ آن صحیح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آیات و روایات دیگری در این زمینه وجود دارد که پس از بررسی آنها می‌توان نظر نهایی را اعلام نمود</w:t>
      </w:r>
      <w:r>
        <w:rPr>
          <w:rFonts w:eastAsia="IRNazanin" w:cs="IRNazanin"/>
          <w:color w:val="111111"/>
          <w:sz w:val="28"/>
          <w:szCs w:val="28"/>
          <w:rtl w:val="true"/>
          <w:lang w:bidi="fa-IR"/>
        </w:rPr>
        <w:t>.</w:t>
      </w:r>
    </w:p>
    <w:p>
      <w:pPr>
        <w:pStyle w:val="Heading5"/>
        <w:numPr>
          <w:ilvl w:val="4"/>
          <w:numId w:val="1"/>
        </w:numPr>
        <w:rPr/>
      </w:pPr>
      <w:bookmarkStart w:id="552" w:name="__RefHeading___Toc2531117_1468164448"/>
      <w:bookmarkStart w:id="553" w:name="_Toc214"/>
      <w:bookmarkEnd w:id="552"/>
      <w:r>
        <w:rPr>
          <w:rtl w:val="true"/>
        </w:rPr>
        <w:t>بند اوّل</w:t>
      </w:r>
      <w:r>
        <w:rPr>
          <w:rtl w:val="true"/>
        </w:rPr>
        <w:t xml:space="preserve">: </w:t>
      </w:r>
      <w:r>
        <w:rPr>
          <w:rtl w:val="true"/>
        </w:rPr>
        <w:t>استدلال به آیۀ سوم سورۀ مائده</w:t>
      </w:r>
      <w:bookmarkEnd w:id="553"/>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الْمَیْتَةُ وَ الدَّمُ وَ لَحْمُ الْخِنْزِیرِ وَ ما أُهِلَّ لِغَیْرِ اللّهِ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و خون و گوشت خوک و آنچه جز به نام خدا ذبح شده باشد بر شما حرام است</w:t>
      </w:r>
      <w:r>
        <w:rPr>
          <w:rFonts w:eastAsia="IRNazanin" w:cs="IRNazanin"/>
          <w:color w:val="111111"/>
          <w:sz w:val="28"/>
          <w:szCs w:val="28"/>
          <w:rtl w:val="true"/>
          <w:lang w:bidi="fa-IR"/>
        </w:rPr>
        <w:t>.</w:t>
      </w:r>
      <w:bookmarkStart w:id="554" w:name="pg13785_135084"/>
    </w:p>
    <w:p>
      <w:pPr>
        <w:pStyle w:val="BookText"/>
        <w:rPr/>
      </w:pPr>
      <w:bookmarkEnd w:id="554"/>
      <w:r>
        <w:rPr>
          <w:rFonts w:ascii="IRNazanin" w:hAnsi="IRNazanin" w:eastAsia="IRNazanin"/>
          <w:color w:val="111111"/>
          <w:sz w:val="28"/>
          <w:sz w:val="28"/>
          <w:szCs w:val="28"/>
          <w:rtl w:val="true"/>
          <w:lang w:bidi="fa-IR"/>
        </w:rPr>
        <w:t>استدلال به این آیۀ شریفه بدین گونه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آیۀ شریفه بدون اینکه متعلّق ذکر متعلّق شود، حرام دانسته شده است و از ضمیمۀ روایت نبوی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حَرَّمَ شیئاً حرَّمَ ثمنَه</w:t>
      </w:r>
      <w:r>
        <w:rPr>
          <w:rFonts w:eastAsia="Amiri" w:cs="Amiri" w:ascii="Amiri" w:hAnsi="Amiri"/>
          <w:color w:val="111111"/>
          <w:sz w:val="28"/>
          <w:szCs w:val="28"/>
          <w:rtl w:val="true"/>
          <w:lang w:bidi="ar-SA"/>
        </w:rPr>
        <w:t>»</w:t>
      </w:r>
      <w:r>
        <w:rPr>
          <w:rStyle w:val="FootnoteAnchor"/>
          <w:rtl w:val="true"/>
        </w:rPr>
        <w:footnoteReference w:id="409"/>
      </w:r>
      <w:r>
        <w:rPr>
          <w:rFonts w:ascii="IRNazanin" w:hAnsi="IRNazanin" w:eastAsia="IRNazanin"/>
          <w:color w:val="111111"/>
          <w:sz w:val="28"/>
          <w:sz w:val="28"/>
          <w:szCs w:val="28"/>
          <w:rtl w:val="true"/>
          <w:lang w:bidi="fa-IR"/>
        </w:rPr>
        <w:t>به این آیه، می‌توان نتیجه گرفت که معاوضه و معاملۀ خون،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استدلال،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روایت، مربوط به جایی است که انسان چیزی را در جهت حرام آن مورد معامله قرار دهد؛ لیکن اگر چیزی در جهت منافع حلال مورد معامله قرار گیرد، دیگر مشمول روایت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متعلّق حرمت در مردار و گوشت خوک، خوردن آنهاست،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آیۀ شریفه از حرمت خون نیز حرمت خوردن آن است</w:t>
      </w:r>
      <w:r>
        <w:rPr>
          <w:rFonts w:eastAsia="IRNazanin" w:cs="IRNazanin"/>
          <w:color w:val="111111"/>
          <w:sz w:val="28"/>
          <w:szCs w:val="28"/>
          <w:rtl w:val="true"/>
          <w:lang w:bidi="fa-IR"/>
        </w:rPr>
        <w:t>.</w:t>
      </w:r>
    </w:p>
    <w:p>
      <w:pPr>
        <w:pStyle w:val="Heading5"/>
        <w:numPr>
          <w:ilvl w:val="4"/>
          <w:numId w:val="1"/>
        </w:numPr>
        <w:rPr/>
      </w:pPr>
      <w:bookmarkStart w:id="555" w:name="__RefHeading___Toc2531119_1468164448"/>
      <w:bookmarkStart w:id="556" w:name="_Toc215"/>
      <w:bookmarkEnd w:id="555"/>
      <w:r>
        <w:rPr>
          <w:rtl w:val="true"/>
        </w:rPr>
        <w:t>بند دوم</w:t>
      </w:r>
      <w:r>
        <w:rPr>
          <w:rtl w:val="true"/>
        </w:rPr>
        <w:t xml:space="preserve">: </w:t>
      </w:r>
      <w:r>
        <w:rPr>
          <w:rtl w:val="true"/>
        </w:rPr>
        <w:t xml:space="preserve">استدلال به آیات </w:t>
      </w:r>
      <w:r>
        <w:rPr/>
        <w:t>172</w:t>
      </w:r>
      <w:r>
        <w:rPr>
          <w:rtl w:val="true"/>
        </w:rPr>
        <w:t xml:space="preserve"> </w:t>
      </w:r>
      <w:r>
        <w:rPr>
          <w:rtl w:val="true"/>
        </w:rPr>
        <w:t xml:space="preserve">و </w:t>
      </w:r>
      <w:r>
        <w:rPr/>
        <w:t>173</w:t>
      </w:r>
      <w:r>
        <w:rPr>
          <w:rtl w:val="true"/>
        </w:rPr>
        <w:t xml:space="preserve"> </w:t>
      </w:r>
      <w:r>
        <w:rPr>
          <w:rtl w:val="true"/>
        </w:rPr>
        <w:t>سورۀ بقره</w:t>
      </w:r>
      <w:bookmarkEnd w:id="5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الَّذِینَ آمَنُوا کُلُوا مِنْ طَیِّباتِ ما رَزَقْناکُمْ وَ اشْکُرُوا لِلّهِ إِنْ کُنْتُمْ إِیّاهُ تَعْبُدُونَ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حَرَّمَ عَلَیْکُمُ الْمَیْتَةَ وَ الدَّمَ وَ لَحْمَ الْخِنْزِیرِ وَ ما أُهِلَّ بِهِ لِغَیْرِ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 از چیزهای پاکیزه‌ای که روزیتان کرده‌ایم بخورید و خداوند را شکر نمایید اگر تنها او را می‌پرستید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مردار، خون، گوشت خوک و آنچه جز با نام او ذبح شده را بر شما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نیز به قرینۀ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من 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حرمت، مربوط به خوردن مردار و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نحل نیز حکمی شبیه این آیۀ شریفه دارند و در همۀ آنها با توجّه به قرائن موجود، معلوم می‌شود که مراد از حرمت خون، حرمت خوردن آن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شدن متعلّق در این آیات، دلالت بر عموم می‌کند؛ یعنی از</w:t>
      </w:r>
      <w:bookmarkStart w:id="557" w:name="pg13785_135085"/>
    </w:p>
    <w:p>
      <w:pPr>
        <w:pStyle w:val="BookText"/>
        <w:rPr/>
      </w:pPr>
      <w:bookmarkEnd w:id="557"/>
      <w:r>
        <w:rPr>
          <w:rFonts w:ascii="IRNazanin" w:hAnsi="IRNazanin" w:eastAsia="IRNazanin"/>
          <w:color w:val="111111"/>
          <w:sz w:val="28"/>
          <w:sz w:val="28"/>
          <w:szCs w:val="28"/>
          <w:rtl w:val="true"/>
          <w:lang w:bidi="fa-IR"/>
        </w:rPr>
        <w:t>حذف متعلّق حرمت در آیات شریفه، می‌توان نتیجه گرفت که همۀ انتفاعات مردار و خون حرام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المتعلّق یدلّ علی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جایی جاری است که قرینه‌ای بر خلاف آن وجود نداشته باشد؛ ولی در آیات یاد شده، قرائنی وجود دارد که نشان می‌دهد مراد از تحریم، حرمت خوردن و آشامیدن است</w:t>
      </w:r>
      <w:r>
        <w:rPr>
          <w:rFonts w:eastAsia="IRNazanin" w:cs="IRNazanin"/>
          <w:color w:val="111111"/>
          <w:sz w:val="28"/>
          <w:szCs w:val="28"/>
          <w:rtl w:val="true"/>
          <w:lang w:bidi="fa-IR"/>
        </w:rPr>
        <w:t>.</w:t>
      </w:r>
    </w:p>
    <w:p>
      <w:pPr>
        <w:pStyle w:val="Heading5"/>
        <w:numPr>
          <w:ilvl w:val="4"/>
          <w:numId w:val="1"/>
        </w:numPr>
        <w:rPr/>
      </w:pPr>
      <w:bookmarkStart w:id="558" w:name="__RefHeading___Toc2531121_1468164448"/>
      <w:bookmarkStart w:id="559" w:name="_Toc216"/>
      <w:bookmarkEnd w:id="558"/>
      <w:r>
        <w:rPr>
          <w:rtl w:val="true"/>
        </w:rPr>
        <w:t>بند سوم</w:t>
      </w:r>
      <w:r>
        <w:rPr>
          <w:rtl w:val="true"/>
        </w:rPr>
        <w:t xml:space="preserve">: </w:t>
      </w:r>
      <w:r>
        <w:rPr>
          <w:rtl w:val="true"/>
        </w:rPr>
        <w:t>استدلال به مرفوعۀ ابویحیی واسطی</w:t>
      </w:r>
      <w:bookmarkEnd w:id="559"/>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یَحْیَی الْوَاسِطِیِّ رَفَعَهُ قَالَ مَرَّ أَمِیرُ الْمُؤْمِنِینَ علیه السلام بِالْقَصَّابِینَ فَنَهَاهُمْ عَنْ بَیْعِ سَبْعَةِ أَشْیَاءَ مِنَ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نَهَاهُمْ عَنْ بَیْعِ الدَّمِ وَالْغُدَدِ وَآذَانِ الْفُؤَادِ وَالطِّحَالِ وَالنُّخَاعِ وَالْخُصَی وَالْقَضِیبِ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 الْقَصَّابِینَ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مَا الطِّحَالُ وَالْکَبِدُ إِلاَّ سَوَاءً؟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 یَا لُکَعُ ایتِنِی بِتَوْرَیْنِ مِنْ مَاءٍ أُنَبِّئْکَ بِخِلَافِ مَا بَیْنَهُمَا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 بِکَبِدٍ وَطِحَالٍ وَتَوْرَیْنِ مِنْ مَاءٍ،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شُقُّوا الْکَبِدَ مِنْ وَسَطِهِ وَالطِّحَالَ مِنْ وَسَطِهِ، ثُمَّ أَمَرَ فَمُرِسَا فِی الْمَاءِ جَمِیعاً فَابْیَضَّتِ الْکَبِدُ وَلَمْ یَنْقُصْ مِنْهَا شَیْ‌ءٌ وَلَمْ یَبْیَضَّ الطِّحَالُ وَخَرَجَ مَا فِیهِ کُلُّهُ وَصَارَ دَماً کُلُّهُ وَبَقِیَ جِلْدٌ وَعُرُوقٌ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مَا بَیْنَهُمَا هَذَا لَحْمٌ وَهَذَا دَمٌ</w:t>
      </w:r>
      <w:r>
        <w:rPr>
          <w:rFonts w:eastAsia="Amiri" w:cs="Amiri" w:ascii="Amiri" w:hAnsi="Amiri"/>
          <w:color w:val="111111"/>
          <w:sz w:val="28"/>
          <w:szCs w:val="28"/>
          <w:rtl w:val="true"/>
          <w:lang w:bidi="ar-SA"/>
        </w:rPr>
        <w:t>.</w:t>
      </w:r>
      <w:r>
        <w:rPr>
          <w:rStyle w:val="FootnoteAnchor"/>
          <w:rtl w:val="true"/>
        </w:rPr>
        <w:footnoteReference w:id="410"/>
      </w:r>
      <w:r>
        <w:rPr>
          <w:rFonts w:ascii="IRNazanin" w:hAnsi="IRNazanin" w:eastAsia="IRNazanin"/>
          <w:color w:val="111111"/>
          <w:sz w:val="28"/>
          <w:sz w:val="28"/>
          <w:szCs w:val="28"/>
          <w:rtl w:val="true"/>
          <w:lang w:bidi="fa-IR"/>
        </w:rPr>
        <w:t>حضرت امیرالمومنین علیه السلام از محله قصّاب‌ها عبور می‌کردند و ایشان را از فروش هفت شیء از گوسفند نهی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برخی از قصّاب‌ها از ایشان سؤال کردند که کبد و طحال یک چیز هستند، پس چرا از بیع طحال ما را منع کرده و بیع کبد را بدون اشکال می‌دانید؟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ظرف آب بیاورید تا بگویم تفاوت این دو در چیست؟ سپس حضرت امر فرمودند تا طحال و کبد را از وسط بشکافند و طوری در آب قرار دهند که آب همۀ آنها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کبد سفید شد و چیزی از آن کاسته</w:t>
      </w:r>
      <w:bookmarkStart w:id="560" w:name="pg13785_135086"/>
    </w:p>
    <w:p>
      <w:pPr>
        <w:pStyle w:val="BookText"/>
        <w:rPr/>
      </w:pPr>
      <w:bookmarkEnd w:id="560"/>
      <w:r>
        <w:rPr>
          <w:rFonts w:ascii="IRNazanin" w:hAnsi="IRNazanin" w:eastAsia="IRNazanin"/>
          <w:color w:val="111111"/>
          <w:sz w:val="28"/>
          <w:sz w:val="28"/>
          <w:szCs w:val="28"/>
          <w:rtl w:val="true"/>
          <w:lang w:bidi="fa-IR"/>
        </w:rPr>
        <w:t>نشد، امّا طحال سفید نشده و اجزائش از آن خارج شد، تا جایی که تنها پوست و چندین رگ از آن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آن مرد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دو در این است که کبد گوشت است و طحال چیزی جز خون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با توجّه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نهاهم عن بیع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روایت چنین استفاده می‌کنند که خرید و فروش خون، حرام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از خون در روایت، خون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استدلال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نهی ظهور در حرمت دارد، امّا در این‌جا قرائنی وجود دارد که مقصود روایت، حرمت بیع خون به منظور خوردن و آشامیدن آن است؛ زیرا امام علیه السلام خون را در کنار غدد، طحال، نخاع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که همگی برای خوردن، خرید و فروش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مستفاد از روایت به قرینۀ سیاق، این است که خرید و فروش خون، جهت خوردن و آشامیدن،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نکته نیز الزامی است که سند این روایت، ضعیف است و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فقها به آن استناد کرده‌اند تا به واسطۀ استناد مشهور، ضعف سند آن جبران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دانسته شد که از هیچ یک از آیات و روایات نمی‌توان استفاده کرد که معاملۀ خون برای استفاده از منافع حلال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معاملۀ خون با قصد دسترسی به منفعت حلال آن، صحیح بوده و اشکالی ندارد</w:t>
      </w:r>
      <w:r>
        <w:rPr>
          <w:rFonts w:eastAsia="IRNazanin" w:cs="IRNazanin"/>
          <w:color w:val="111111"/>
          <w:sz w:val="28"/>
          <w:szCs w:val="28"/>
          <w:rtl w:val="true"/>
          <w:lang w:bidi="fa-IR"/>
        </w:rPr>
        <w:t>.</w:t>
      </w:r>
    </w:p>
    <w:p>
      <w:pPr>
        <w:pStyle w:val="Heading4"/>
        <w:numPr>
          <w:ilvl w:val="3"/>
          <w:numId w:val="1"/>
        </w:numPr>
        <w:rPr/>
      </w:pPr>
      <w:bookmarkStart w:id="561" w:name="__RefHeading___Toc2531123_1468164448"/>
      <w:bookmarkStart w:id="562" w:name="_Toc217"/>
      <w:bookmarkEnd w:id="561"/>
      <w:r>
        <w:rPr>
          <w:rtl w:val="true"/>
        </w:rPr>
        <w:t>گفتار دوم</w:t>
      </w:r>
      <w:r>
        <w:rPr>
          <w:rtl w:val="true"/>
        </w:rPr>
        <w:t xml:space="preserve">: </w:t>
      </w:r>
      <w:r>
        <w:rPr>
          <w:rtl w:val="true"/>
        </w:rPr>
        <w:t>سخن محقّق ایروانی</w:t>
      </w:r>
      <w:bookmarkEnd w:id="562"/>
    </w:p>
    <w:p>
      <w:pPr>
        <w:pStyle w:val="BookText"/>
        <w:rPr/>
      </w:pPr>
      <w:r>
        <w:rPr>
          <w:rFonts w:ascii="IRNazanin" w:hAnsi="IRNazanin" w:eastAsia="IRNazanin"/>
          <w:color w:val="111111"/>
          <w:sz w:val="28"/>
          <w:sz w:val="28"/>
          <w:szCs w:val="28"/>
          <w:rtl w:val="true"/>
          <w:lang w:bidi="fa-IR"/>
        </w:rPr>
        <w:t>محقّق ایروانی قدس سره با استناد به قاعدۀ اعانت بر اثم، معاوضۀ خون را حرام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عقیدۀ ایشان با فروش خون، زمینه‌ای برای خوردن آن مهیّا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ایشان معاملۀ خون را به عنوان مقدّمۀ حرام، حرام می‌داند</w:t>
      </w:r>
      <w:r>
        <w:rPr>
          <w:rFonts w:eastAsia="IRNazanin" w:cs="IRNazanin"/>
          <w:color w:val="111111"/>
          <w:sz w:val="28"/>
          <w:szCs w:val="28"/>
          <w:rtl w:val="true"/>
          <w:lang w:bidi="fa-IR"/>
        </w:rPr>
        <w:t>.</w:t>
      </w:r>
      <w:r>
        <w:rPr>
          <w:rStyle w:val="FootnoteAnchor"/>
          <w:rtl w:val="true"/>
        </w:rPr>
        <w:footnoteReference w:id="411"/>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نقد این سخن محقّق ایروانی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مجرّد صلاحیت و</w:t>
      </w:r>
      <w:bookmarkStart w:id="563" w:name="pg13785_135087"/>
    </w:p>
    <w:p>
      <w:pPr>
        <w:pStyle w:val="BookText"/>
        <w:rPr/>
      </w:pPr>
      <w:bookmarkEnd w:id="563"/>
      <w:r>
        <w:rPr>
          <w:rFonts w:ascii="IRNazanin" w:hAnsi="IRNazanin" w:eastAsia="IRNazanin"/>
          <w:color w:val="111111"/>
          <w:sz w:val="28"/>
          <w:sz w:val="28"/>
          <w:szCs w:val="28"/>
          <w:rtl w:val="true"/>
          <w:lang w:bidi="fa-IR"/>
        </w:rPr>
        <w:t>شأنیّت، کفایت نمی‌کند؛ بلکه در اعانت بر اثم، فعلیّت گناه اعتبار دارد، می‌توان به دو مطلب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در بحث اعانت بر اثم، برخی اعانت را حرام نمی‌دانند؛ بلکه عنوان دیگری غیر از آن را حرام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این‌که نسبت میان معاملۀ خون و اعانت براثم، عام و خاصّ من وجه است؛ یعنی گاهی اوقات از خون برای امر حرام استفاده می‌شود و گاهی برای کارهای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استدلال ایشان صحیح نیست</w:t>
      </w:r>
      <w:r>
        <w:rPr>
          <w:rFonts w:eastAsia="IRNazanin" w:cs="IRNazanin"/>
          <w:color w:val="111111"/>
          <w:sz w:val="28"/>
          <w:szCs w:val="28"/>
          <w:rtl w:val="true"/>
          <w:lang w:bidi="fa-IR"/>
        </w:rPr>
        <w:t>.</w:t>
      </w:r>
    </w:p>
    <w:p>
      <w:pPr>
        <w:pStyle w:val="Heading4"/>
        <w:numPr>
          <w:ilvl w:val="3"/>
          <w:numId w:val="1"/>
        </w:numPr>
        <w:rPr/>
      </w:pPr>
      <w:bookmarkStart w:id="564" w:name="__RefHeading___Toc2531125_1468164448"/>
      <w:bookmarkStart w:id="565" w:name="_Toc218"/>
      <w:bookmarkEnd w:id="564"/>
      <w:r>
        <w:rPr>
          <w:rtl w:val="true"/>
        </w:rPr>
        <w:t>گفتار سوم</w:t>
      </w:r>
      <w:r>
        <w:rPr>
          <w:rtl w:val="true"/>
        </w:rPr>
        <w:t xml:space="preserve">: </w:t>
      </w:r>
      <w:r>
        <w:rPr>
          <w:rtl w:val="true"/>
        </w:rPr>
        <w:t>سخن محقّق مامقانی</w:t>
      </w:r>
      <w:bookmarkEnd w:id="565"/>
    </w:p>
    <w:p>
      <w:pPr>
        <w:pStyle w:val="BookText"/>
        <w:rPr/>
      </w:pPr>
      <w:r>
        <w:rPr>
          <w:rFonts w:ascii="IRNazanin" w:hAnsi="IRNazanin" w:eastAsia="IRNazanin"/>
          <w:color w:val="111111"/>
          <w:sz w:val="28"/>
          <w:sz w:val="28"/>
          <w:szCs w:val="28"/>
          <w:rtl w:val="true"/>
          <w:lang w:bidi="fa-IR"/>
        </w:rPr>
        <w:t>به عقیدۀ محقّق مامقانی قدس سره خون مالیّت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کسی خون خارج شده از بدن انسان دیگر را با خاک مخلوط کند، نمی‌توان او را ضامن دانست؛ چراکه خون مالیّت ندارد و با تلف کردن آن کسی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توجّه به عدم مالیّت خون باید معاملۀ آن را حرام و باطل دانست</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در نقد دیدگاه ایشان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مالیّت امری ثابت نیست و ممکن است یکی شیء در یک زمان و مکان، مال شمرده شود و در زمان و مکان دیگر مال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در هنگام معاملۀ مالیّت داشته باشد، بیع آن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خون برای نجات جان دیگران مالیّت دارد و اگر کسی خونی را که برای انتقال به بدن انسان نگهداری می‌شود تلف کند،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همان‌گونه که بارها به آن اشاره شد، نمی‌توان به‌واسطۀ عدم مالیّت، معاملۀ یک شیء را حرام دانست؛ بلکه معاملۀ چیزی که فاقد مالیّت است، فقط باطل می‌باشد 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برخی از فقها همچون محقّق خویی قدس سره چنین معامله‌ای را باطل نمی‌دانند و معاملۀ شیء فاقد مالیّت را فقط یک معاملۀ سفهی دانسته و می‌گویند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دلیلی مبنی بر بطلان معاملۀ سفهی وجود ندارد</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امّا به نظر می‌رسد که این سخن</w:t>
      </w:r>
    </w:p>
    <w:p>
      <w:pPr>
        <w:pStyle w:val="BookText"/>
        <w:rPr/>
      </w:pPr>
      <w:r>
        <w:rPr>
          <w:rFonts w:ascii="IRNazanin" w:hAnsi="IRNazanin" w:eastAsia="IRNazanin"/>
          <w:color w:val="111111"/>
          <w:sz w:val="28"/>
          <w:sz w:val="28"/>
          <w:szCs w:val="28"/>
          <w:rtl w:val="true"/>
          <w:lang w:bidi="fa-IR"/>
        </w:rPr>
        <w:t>صحیح نیست و ادلّۀ صحّت بیع، فقط شامل معاملات عقلایی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چنین معاملاتی باطل‌اند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نتیجۀ نهایی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معاملۀ خون نجس به غرض و قصد عقلایی است، صحیح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خون پاک نیز هیچ اختلافی وجود ندارد و معاملۀ آن صحیح است</w:t>
      </w:r>
      <w:r>
        <w:rPr>
          <w:rFonts w:eastAsia="IRNazanin" w:cs="IRNazanin"/>
          <w:color w:val="111111"/>
          <w:sz w:val="28"/>
          <w:szCs w:val="28"/>
          <w:rtl w:val="true"/>
          <w:lang w:bidi="fa-IR"/>
        </w:rPr>
        <w:t>.</w:t>
      </w:r>
      <w:bookmarkStart w:id="566" w:name="pg13785_135090"/>
    </w:p>
    <w:p>
      <w:pPr>
        <w:pStyle w:val="Heading3"/>
        <w:numPr>
          <w:ilvl w:val="2"/>
          <w:numId w:val="1"/>
        </w:numPr>
        <w:rPr/>
      </w:pPr>
      <w:bookmarkStart w:id="567" w:name="__RefHeading___Toc2531127_1468164448"/>
      <w:bookmarkStart w:id="568" w:name="_Toc219"/>
      <w:bookmarkEnd w:id="566"/>
      <w:bookmarkEnd w:id="567"/>
      <w:r>
        <w:rPr>
          <w:rtl w:val="true"/>
        </w:rPr>
        <w:t>فصل پنجم</w:t>
      </w:r>
      <w:r>
        <w:rPr>
          <w:rtl w:val="true"/>
        </w:rPr>
        <w:t xml:space="preserve">: </w:t>
      </w:r>
      <w:r>
        <w:rPr>
          <w:rtl w:val="true"/>
        </w:rPr>
        <w:t>معاملۀ منی</w:t>
      </w:r>
      <w:bookmarkEnd w:id="568"/>
    </w:p>
    <w:p>
      <w:pPr>
        <w:pStyle w:val="Heading4"/>
        <w:numPr>
          <w:ilvl w:val="3"/>
          <w:numId w:val="1"/>
        </w:numPr>
        <w:rPr/>
      </w:pPr>
      <w:bookmarkStart w:id="569" w:name="__RefHeading___Toc2531129_1468164448"/>
      <w:bookmarkStart w:id="570" w:name="_Toc220"/>
      <w:bookmarkEnd w:id="569"/>
      <w:r>
        <w:rPr>
          <w:rtl w:val="true"/>
        </w:rPr>
        <w:t>اشارة</w:t>
      </w:r>
      <w:bookmarkEnd w:id="570"/>
    </w:p>
    <w:p>
      <w:pPr>
        <w:pStyle w:val="BookText"/>
        <w:rPr/>
      </w:pPr>
      <w:r>
        <w:rPr>
          <w:rFonts w:ascii="IRNazanin" w:hAnsi="IRNazanin" w:eastAsia="IRNazanin"/>
          <w:color w:val="111111"/>
          <w:sz w:val="28"/>
          <w:sz w:val="28"/>
          <w:szCs w:val="28"/>
          <w:rtl w:val="true"/>
          <w:lang w:bidi="fa-IR"/>
        </w:rPr>
        <w:t xml:space="preserve">شیخ انصاری قدس سره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چهارمین قسم از اعیان نجس است،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حرمة بیع المنی لنجاسته وعدم الإنتفاع به إذا وقع فی خارج الرحم ولو وقع فیه کذلک لاینتفع به المشتری لأنّ الولد نماء الأمّ فی الحیوانات عرفاً وللأب فی الإنسان شرعاً؛</w:t>
      </w:r>
      <w:r>
        <w:rPr>
          <w:rStyle w:val="FootnoteAnchor"/>
          <w:rtl w:val="true"/>
        </w:rPr>
        <w:footnoteReference w:id="414"/>
      </w:r>
      <w:r>
        <w:rPr>
          <w:rFonts w:ascii="IRNazanin" w:hAnsi="IRNazanin" w:eastAsia="IRNazanin"/>
          <w:color w:val="111111"/>
          <w:sz w:val="28"/>
          <w:sz w:val="28"/>
          <w:szCs w:val="28"/>
          <w:rtl w:val="true"/>
          <w:lang w:bidi="fa-IR"/>
        </w:rPr>
        <w:t>شکّی در حرمت بیع منی نیست؛ زیرا منی نجس است و انتفاع از آن هنگامی که خارج از رحم قرار گیرد امکان ندارد، و اگر هم در رحم قرار گیرد، مشتری از آن بهره‌ای نمی‌برد، زیرا فرزند در حیوانات از نظر عرفی نماء مادر شمرده می‌شود و در انسان نیز از نظر شرعی نماء پدر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ایشان بحث بیع منی را در سه فرض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منی در خارج رحم، بیع منی در داخل رحم و بیع عسیب الفحل، پیش از بررسی این فرض‌های سه‌گانه، به بحث پیرامون معنای لغوی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خویی قدس سره در این باره می‌نویسد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المنی إنّما یطلق علی ما خرج من المخرج وأریق، کما ذکره بعض أهل اللغة فی</w:t>
      </w:r>
      <w:bookmarkStart w:id="571" w:name="pg13785_135091"/>
    </w:p>
    <w:p>
      <w:pPr>
        <w:pStyle w:val="BookText"/>
        <w:rPr/>
      </w:pPr>
      <w:bookmarkEnd w:id="571"/>
      <w:r>
        <w:rPr>
          <w:rFonts w:ascii="IRNazanin" w:hAnsi="IRNazanin" w:eastAsia="IRNazanin"/>
          <w:color w:val="111111"/>
          <w:sz w:val="28"/>
          <w:sz w:val="28"/>
          <w:szCs w:val="28"/>
          <w:rtl w:val="true"/>
          <w:lang w:bidi="fa-IR"/>
        </w:rPr>
        <w:t>وجه التسمیة؛</w:t>
      </w:r>
      <w:r>
        <w:rPr>
          <w:rStyle w:val="FootnoteAnchor"/>
          <w:rtl w:val="true"/>
        </w:rPr>
        <w:footnoteReference w:id="415"/>
      </w:r>
      <w:r>
        <w:rPr>
          <w:rFonts w:ascii="IRNazanin" w:hAnsi="IRNazanin" w:eastAsia="IRNazanin"/>
          <w:color w:val="111111"/>
          <w:sz w:val="28"/>
          <w:sz w:val="28"/>
          <w:szCs w:val="28"/>
          <w:rtl w:val="true"/>
          <w:lang w:bidi="fa-IR"/>
        </w:rPr>
        <w:t>منی بر چیزی اطلاق می‌شود که از مخرج خارج و ریخته می‌شود، چنان‌که برخی از اهل لغت در وجه نامگذاری آن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مقصود ایشان کلام مصباح المنیر است که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یُمْنَی بِهِ مِنَ الدِّمَاءِ أَی یُرَاق</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و نیز در مجمع البحرین نیز نوشته‌اند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نُطْفَةٍ إِذا تُمْنی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أی‌قیل تدفق فی الرّحم</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به عقیدۀ محقّق خویی قدس سره، منی‌آن مایعی است که از بدن خارج می‌شود، حال ممکن است در رحم ریخته شود یا در خارج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معنای ریخته شدن و إراقه 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وجه تسمیۀ آن نیز معنای ریخته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سرزمین مِنی را به این اسم نامیده‌اند؛</w:t>
      </w:r>
      <w:r>
        <w:rPr>
          <w:rStyle w:val="FootnoteAnchor"/>
          <w:rtl w:val="true"/>
        </w:rPr>
        <w:footnoteReference w:id="418"/>
      </w:r>
      <w:r>
        <w:rPr>
          <w:rFonts w:ascii="IRNazanin" w:hAnsi="IRNazanin" w:eastAsia="IRNazanin"/>
          <w:color w:val="111111"/>
          <w:sz w:val="28"/>
          <w:sz w:val="28"/>
          <w:szCs w:val="28"/>
          <w:rtl w:val="true"/>
          <w:lang w:bidi="fa-IR"/>
        </w:rPr>
        <w:t>چراکه آن‌جا خون گوسفندان و دیگر حیوانات قربانی ریخته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نمی‌توان عسیب الفحل را منی دانست؛ زیرا عسیب الفحل مایعی است که پیش از انزال در صلب مذکّر وجود دارد</w:t>
      </w:r>
      <w:r>
        <w:rPr>
          <w:rFonts w:eastAsia="IRNazanin" w:cs="IRNazanin"/>
          <w:color w:val="111111"/>
          <w:sz w:val="28"/>
          <w:szCs w:val="28"/>
          <w:rtl w:val="true"/>
          <w:lang w:bidi="fa-IR"/>
        </w:rPr>
        <w:t>.</w:t>
      </w:r>
    </w:p>
    <w:p>
      <w:pPr>
        <w:pStyle w:val="Heading4"/>
        <w:numPr>
          <w:ilvl w:val="3"/>
          <w:numId w:val="1"/>
        </w:numPr>
        <w:rPr/>
      </w:pPr>
      <w:bookmarkStart w:id="572" w:name="__RefHeading___Toc2531131_1468164448"/>
      <w:bookmarkStart w:id="573" w:name="_Toc221"/>
      <w:bookmarkEnd w:id="572"/>
      <w:r>
        <w:rPr>
          <w:rtl w:val="true"/>
        </w:rPr>
        <w:t>گفتار اوّل</w:t>
      </w:r>
      <w:r>
        <w:rPr>
          <w:rtl w:val="true"/>
        </w:rPr>
        <w:t xml:space="preserve">: </w:t>
      </w:r>
      <w:r>
        <w:rPr>
          <w:rtl w:val="true"/>
        </w:rPr>
        <w:t>صورت‌های گوناگون معاملۀ منی</w:t>
      </w:r>
      <w:bookmarkEnd w:id="573"/>
    </w:p>
    <w:p>
      <w:pPr>
        <w:pStyle w:val="Heading5"/>
        <w:numPr>
          <w:ilvl w:val="4"/>
          <w:numId w:val="1"/>
        </w:numPr>
        <w:rPr/>
      </w:pPr>
      <w:bookmarkStart w:id="574" w:name="__RefHeading___Toc2531133_1468164448"/>
      <w:bookmarkStart w:id="575" w:name="_Toc222"/>
      <w:bookmarkEnd w:id="574"/>
      <w:r>
        <w:rPr>
          <w:rtl w:val="true"/>
        </w:rPr>
        <w:t>اشارة</w:t>
      </w:r>
      <w:bookmarkEnd w:id="575"/>
    </w:p>
    <w:p>
      <w:pPr>
        <w:pStyle w:val="BookText"/>
        <w:rPr/>
      </w:pPr>
      <w:r>
        <w:rPr>
          <w:rFonts w:ascii="IRNazanin" w:hAnsi="IRNazanin" w:eastAsia="IRNazanin"/>
          <w:color w:val="111111"/>
          <w:sz w:val="28"/>
          <w:sz w:val="28"/>
          <w:szCs w:val="28"/>
          <w:rtl w:val="true"/>
          <w:lang w:bidi="fa-IR"/>
        </w:rPr>
        <w:t>به‌طور کلّی می‌توان بحث نطفه و مایع منی را در سه فرض تصویر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زمانی که در صلب مذکّر است و هنوز خارج نشده است که از آن با عنوان عسیب الفحل 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زمانی که از بدن خارج شده، امّا در رحم استقرار نیافته است که از آن به منی تعبیر می‌شود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زمانی که بیرون آمده و در رحم قرار گرفته است که به آن مضامین یا ملاقیح</w:t>
      </w:r>
      <w:bookmarkStart w:id="576" w:name="pg13785_135092"/>
    </w:p>
    <w:p>
      <w:pPr>
        <w:pStyle w:val="BookText"/>
        <w:rPr/>
      </w:pPr>
      <w:bookmarkEnd w:id="576"/>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Heading5"/>
        <w:numPr>
          <w:ilvl w:val="4"/>
          <w:numId w:val="1"/>
        </w:numPr>
        <w:rPr/>
      </w:pPr>
      <w:bookmarkStart w:id="577" w:name="__RefHeading___Toc2531135_1468164448"/>
      <w:bookmarkStart w:id="578" w:name="_Toc223"/>
      <w:bookmarkEnd w:id="577"/>
      <w:r>
        <w:rPr>
          <w:rtl w:val="true"/>
        </w:rPr>
        <w:t>بند نخست</w:t>
      </w:r>
      <w:r>
        <w:rPr>
          <w:rtl w:val="true"/>
        </w:rPr>
        <w:t xml:space="preserve">: </w:t>
      </w:r>
      <w:r>
        <w:rPr>
          <w:rtl w:val="true"/>
        </w:rPr>
        <w:t>معاملۀ منی در خارج رحم</w:t>
      </w:r>
      <w:bookmarkEnd w:id="578"/>
    </w:p>
    <w:p>
      <w:pPr>
        <w:pStyle w:val="BookText"/>
        <w:rPr/>
      </w:pPr>
      <w:r>
        <w:rPr>
          <w:rFonts w:ascii="IRNazanin" w:hAnsi="IRNazanin" w:eastAsia="IRNazanin"/>
          <w:color w:val="111111"/>
          <w:sz w:val="28"/>
          <w:sz w:val="28"/>
          <w:szCs w:val="28"/>
          <w:rtl w:val="true"/>
          <w:lang w:bidi="fa-IR"/>
        </w:rPr>
        <w:t>نخستین فرضی که شیخ انصاری قدس سره مطرح می‌نماید، بحث معاملۀ منی در خارج از 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دو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نجاست منی و عدم انتفاع آن در صورتی که خارج از رحم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معاملۀ منی در خارج رحم را حرام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نجاست منی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شافعیّه که در برخی موارد منی را طاهر می‌دانند، همۀ مذاهب بر نجاست آن اتّفاق نظر دارند؛ امّا نمی‌توان نجاست را دلیلی برای حرمت معامله دانست؛ بلکه معاملۀ شیء نجس در صورتی حرام خواهد بود که به قصد ترتّب اثر محرّم واقع شده باشد، مانند جایی که خون، جهت خوردن مورد معامله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سره نیز در بحث بیع مردار به این نکته تصریح می‌کند که مجرّد نجاست، مانع صحّت بیع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عدم انتفاع نیز نمی‌تواند دلیل بر حرمت معامله باشد؛ بلکه عدم انتفاع یک شیء موجب عدم مالیّت می‌شود و معاملۀ چیزی که فاقد مالیّت است، حرمت وضعی داشته و از مصادیق اکل مال به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محقّق خویی قدس سره در صورت عدم مالیّت نیز معامله را صحیح دانسته و مالیّت را در صحّت معامله دخیل نمی‌داند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عقیدۀ ایشان معاملۀ چیزی که فاقد مالیّت است، یک معاملۀ سفهی است و دلیلی بر بطلان این گونه معاملات نداریم</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ولی به نظر ما ادلّۀ امضایی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معاملۀ سفهی انصراف دارند و مالیّت عوضین، شرط صحّت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معاملۀ چیزی که فاقد مالیّت باشد،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bookmarkStart w:id="579" w:name="pg13785_135093"/>
    </w:p>
    <w:p>
      <w:pPr>
        <w:pStyle w:val="BookText"/>
        <w:rPr/>
      </w:pPr>
      <w:bookmarkEnd w:id="579"/>
      <w:r>
        <w:rPr>
          <w:rFonts w:ascii="IRNazanin" w:hAnsi="IRNazanin" w:eastAsia="IRNazanin"/>
          <w:color w:val="111111"/>
          <w:sz w:val="28"/>
          <w:sz w:val="28"/>
          <w:szCs w:val="28"/>
          <w:rtl w:val="true"/>
          <w:lang w:bidi="fa-IR"/>
        </w:rPr>
        <w:t>اساس این توضیحات، دو دلیلی که شیخ انصاری قدس سره برای اثبات حرمت معاملۀ منی در خارج رحم اقامه نمود، رد می‌شود</w:t>
      </w:r>
      <w:r>
        <w:rPr>
          <w:rFonts w:eastAsia="IRNazanin" w:cs="IRNazanin"/>
          <w:color w:val="111111"/>
          <w:sz w:val="28"/>
          <w:szCs w:val="28"/>
          <w:rtl w:val="true"/>
          <w:lang w:bidi="fa-IR"/>
        </w:rPr>
        <w:t>.</w:t>
      </w:r>
    </w:p>
    <w:p>
      <w:pPr>
        <w:pStyle w:val="Heading5"/>
        <w:numPr>
          <w:ilvl w:val="4"/>
          <w:numId w:val="1"/>
        </w:numPr>
        <w:rPr/>
      </w:pPr>
      <w:bookmarkStart w:id="580" w:name="__RefHeading___Toc2531137_1468164448"/>
      <w:bookmarkStart w:id="581" w:name="_Toc224"/>
      <w:bookmarkEnd w:id="580"/>
      <w:r>
        <w:rPr>
          <w:rtl w:val="true"/>
        </w:rPr>
        <w:t>بند دوم</w:t>
      </w:r>
      <w:r>
        <w:rPr>
          <w:rtl w:val="true"/>
        </w:rPr>
        <w:t xml:space="preserve">: </w:t>
      </w:r>
      <w:r>
        <w:rPr>
          <w:rtl w:val="true"/>
        </w:rPr>
        <w:t>معاملۀ منی در داخل رحم</w:t>
      </w:r>
      <w:bookmarkEnd w:id="581"/>
    </w:p>
    <w:p>
      <w:pPr>
        <w:pStyle w:val="BookText"/>
        <w:rPr/>
      </w:pPr>
      <w:r>
        <w:rPr>
          <w:rFonts w:ascii="IRNazanin" w:hAnsi="IRNazanin" w:eastAsia="IRNazanin"/>
          <w:color w:val="111111"/>
          <w:sz w:val="28"/>
          <w:sz w:val="28"/>
          <w:szCs w:val="28"/>
          <w:rtl w:val="true"/>
          <w:lang w:bidi="fa-IR"/>
        </w:rPr>
        <w:t>شیخ انصاری قدس سره در این فرض نیز معامله را حرام می‌داند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وقع فیه کذلک لا ینتفع به المشتری، لأنّ الولد نماء الاُمّ فی الحیوانات عرفاً وللأب فی الإنسان شرعاً؛ لکنّ الظاهر أنّ حکمهم بتبعیّة الاُمّ متفرّع علی عدم تملّک المنی وإلّا لکان بمنزلة البذر المملوک یتبعه الزرع فالمتعیّن التعلیل بالنجاسة، لکن قد منع بعض من نجاسته إذا دخل من الباطن إلی الباطن</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به عقیدۀ ایشان در این فرض نیز منی فاقد منفعت است؛ زیرا از نظر عرف، حمل در حیوانات از نمائات مادر و در نتیجه، تابع مادر است؛ یعنی هر کسی که مالک حیوان مادّه باشد، مالک بچّه‌ای که از آن متولّد می‌شود نیز خواهد بود و معنا ندارد کسی که حیوان مادّه را می‌خرد، مالک منی و ولود موجود در آن نباشد، به خلاف انسان که نوزاد شرعاً تابع پدر است؛ یعنی اگر منی یک مرد در رحم زنی قرار گیرد، چه از راه مشروع و چه از راه غیر مشروع، فرزند، منسوب به پدر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ایشان در ادامه حکم تبعیت حمل از مادر در حیوانات را، ناشی از عدم امکان تملّک منی در رحم می‌داند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 تصوّر کرد که تملّک منی در رحم امکان دارد، آن‌گاه بین منی و بذری که در زمین دیگری کاشته شده تفاوتی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در مورد اخیر گفته می‌شود هر کس مالک بذر است، مالک زرع نیز خواهد بود، باید گفت هر کس مالک منی و نطفه است، مالک حمل نیز خواهد بود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هنگامی که منی داخل رحم قرار می‌گیرد، دیگر قابلیّت تملّک استقلالی ندارد؛ زیرا تابع مادرش و جزئی از آن می‌گردد</w:t>
      </w:r>
      <w:r>
        <w:rPr>
          <w:rFonts w:eastAsia="IRNazanin" w:cs="IRNazanin"/>
          <w:color w:val="111111"/>
          <w:sz w:val="28"/>
          <w:szCs w:val="28"/>
          <w:rtl w:val="true"/>
          <w:lang w:bidi="fa-IR"/>
        </w:rPr>
        <w:t>.</w:t>
      </w:r>
      <w:bookmarkStart w:id="582" w:name="pg13785_135094"/>
    </w:p>
    <w:p>
      <w:pPr>
        <w:pStyle w:val="BookText"/>
        <w:rPr/>
      </w:pPr>
      <w:bookmarkEnd w:id="582"/>
      <w:r>
        <w:rPr>
          <w:rFonts w:ascii="IRNazanin" w:hAnsi="IRNazanin" w:eastAsia="IRNazanin"/>
          <w:color w:val="111111"/>
          <w:sz w:val="28"/>
          <w:sz w:val="28"/>
          <w:szCs w:val="28"/>
          <w:rtl w:val="true"/>
          <w:lang w:bidi="fa-IR"/>
        </w:rPr>
        <w:t>امّا اگر بپذیریم که منی در این صورت نیز قابلیت تملّک دارد، آیا جهل به میزان منی در این فرض، مانع صحّت بیع نخواهد بود؟ پاسخ این سؤال منفی است؛ زیرا جهالت در این‌جا معنایی ندارد؛ چراکه ارزش نطفه و منی با میزان و کمیّت آن سنجیده نمی‌شود؛ بلکه نطفه باید موجب حمل شود و مقدار بسیار کمی از منی برای تولّد کافی و بقیۀ آن زائد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غرر و جهالتی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 توجّه به این‌که تسلیم هر شیء به حسب خودش است، در این فرض نیز تسلیم منی همین است که در رحم دیگری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عدم قدرت بر تسلیم را مانع بیع منی در این فرض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سره نیز پس از پذیرش ضمنیِ قابلیت تملّک منی در رحم، به نجاست منی اشاره می‌کند، ولی معتقد است که به ناچار باید نجاست را دلیل حرمت معامله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هر چهار دلیلی که برای اثباث حرمت بیع منی در داخل رحم به آن استناد شده، 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نمی‌توان با استناد به نجاست منی، عدم انتفاع، غرر و عدم قدرت بر تسلیم، حرمت معاملۀ مضامین و ملاقیح را اثبات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اشکال دیگری مطرح می‌شود مبنی بر این‌که اصلاً مشخّص نیست این نطفه موجب باروری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این جهل را موجب از بین رفتن ارزش منی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هنگام کاشتن یک نهال نمی‌دانیم آیا به یک درخت بارور تبدیل می‌شود یا این‌که خشک می‌شود؛ امّا این مطلب، موجب عدم مالیّت 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اشکال جهل در صورتی مطرح می‌شود که بخواهیم منی را مورد بیع یا اجاره قرار دهیم؛ امّا اگر منی را به عقد صلح مورد معامله قرار دهیم، برای این اشکال، مجالی باقی نمی‌ماند</w:t>
      </w:r>
      <w:r>
        <w:rPr>
          <w:rFonts w:eastAsia="IRNazanin" w:cs="IRNazanin"/>
          <w:color w:val="111111"/>
          <w:sz w:val="28"/>
          <w:szCs w:val="28"/>
          <w:rtl w:val="true"/>
          <w:lang w:bidi="fa-IR"/>
        </w:rPr>
        <w:t>.</w:t>
      </w:r>
    </w:p>
    <w:p>
      <w:pPr>
        <w:pStyle w:val="Heading5"/>
        <w:numPr>
          <w:ilvl w:val="4"/>
          <w:numId w:val="1"/>
        </w:numPr>
        <w:rPr/>
      </w:pPr>
      <w:bookmarkStart w:id="583" w:name="__RefHeading___Toc2531139_1468164448"/>
      <w:bookmarkStart w:id="584" w:name="_Toc225"/>
      <w:bookmarkEnd w:id="583"/>
      <w:r>
        <w:rPr>
          <w:rtl w:val="true"/>
        </w:rPr>
        <w:t>بند سوم</w:t>
      </w:r>
      <w:r>
        <w:rPr>
          <w:rtl w:val="true"/>
        </w:rPr>
        <w:t xml:space="preserve">: </w:t>
      </w:r>
      <w:r>
        <w:rPr>
          <w:rtl w:val="true"/>
        </w:rPr>
        <w:t>معاملۀ عسیب الفحل</w:t>
      </w:r>
      <w:bookmarkEnd w:id="584"/>
    </w:p>
    <w:p>
      <w:pPr>
        <w:pStyle w:val="Heading6"/>
        <w:numPr>
          <w:ilvl w:val="5"/>
          <w:numId w:val="1"/>
        </w:numPr>
        <w:rPr/>
      </w:pPr>
      <w:bookmarkStart w:id="585" w:name="__RefHeading___Toc2531141_1468164448"/>
      <w:bookmarkStart w:id="586" w:name="_Toc226"/>
      <w:bookmarkEnd w:id="585"/>
      <w:r>
        <w:rPr>
          <w:rtl w:val="true"/>
        </w:rPr>
        <w:t>اشارة</w:t>
      </w:r>
      <w:bookmarkEnd w:id="586"/>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فرض که شیخ انصاری قدس سره مطرح می‌کند، بحث بیع عسیب الفحل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w:t>
      </w:r>
    </w:p>
    <w:p>
      <w:pPr>
        <w:pStyle w:val="BookText"/>
        <w:rPr/>
      </w:pPr>
      <w:r>
        <w:rPr>
          <w:rFonts w:ascii="IRNazanin" w:hAnsi="IRNazanin" w:eastAsia="IRNazanin"/>
          <w:color w:val="111111"/>
          <w:sz w:val="28"/>
          <w:sz w:val="28"/>
          <w:szCs w:val="28"/>
          <w:rtl w:val="true"/>
          <w:lang w:bidi="fa-IR"/>
        </w:rPr>
        <w:t>این باره چنین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العلّامة من المحرّمات بیع عسیب الفحل، وهو ماؤه قبل الإستقرار فی الرحم، کما أنّ الملاقیح هو ماؤه بعد الاستقرار کما فی جامع المقاصد وعن غیره، وعلّل فی الغنیة بطلان بیع ما فی أصلاب الفحول بالجهالة وعدم القدرة علی التسلیم</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ابتدا باید دید تفاوت عسیب الفحل با دو صورت قبلی در چیست؟ از این رو، به بررسی معنای لغوی آن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چندین معنا برای عسیب الفحل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جماع و طروقه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قدیم چنین مرسوم بوده که مالکین حیوان مادّه، حیوان نر را جهت جماع و باردار نمودن حیوان خود اجاره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معانی عسیب الفحل، جماع و طروقه حیوان نر و حیوان ماده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مایع منی و نطفه‌ای که در داخل صلب مذکّر وجود دارد و هنوز خارج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اجرت و مزدی که برای جماع به صاحب حیوان نر پرداخت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کرایه دادن بر ضراب و اجتماع</w:t>
      </w:r>
      <w:r>
        <w:rPr>
          <w:rFonts w:eastAsia="IRNazanin" w:cs="IRNazanin"/>
          <w:color w:val="111111"/>
          <w:sz w:val="28"/>
          <w:szCs w:val="28"/>
          <w:rtl w:val="true"/>
          <w:lang w:bidi="fa-IR"/>
        </w:rPr>
        <w:t>.</w:t>
      </w:r>
      <w:r>
        <w:rPr>
          <w:rStyle w:val="FootnoteAnchor"/>
          <w:rtl w:val="true"/>
        </w:rPr>
        <w:footnoteReference w:id="422"/>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معانی مختلف عسیب الفحل است؛ امّا مراد از عسیب الفحل در این بحث، نطفه و منی پیش از خارج شدن از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مادامی که نطفه در صلب مذکّر است، از آن با عنوان عسیب الفحل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صلب مذکّر خارج شود، به آن منی گفته می‌شود و در معنای منی، اراقه و ریخته شدن اشراب شده است و</w:t>
      </w:r>
      <w:bookmarkStart w:id="587" w:name="pg13785_135096"/>
    </w:p>
    <w:p>
      <w:pPr>
        <w:pStyle w:val="BookText"/>
        <w:rPr/>
      </w:pPr>
      <w:bookmarkEnd w:id="587"/>
      <w:r>
        <w:rPr>
          <w:rFonts w:ascii="IRNazanin" w:hAnsi="IRNazanin" w:eastAsia="IRNazanin"/>
          <w:color w:val="111111"/>
          <w:sz w:val="28"/>
          <w:sz w:val="28"/>
          <w:szCs w:val="28"/>
          <w:rtl w:val="true"/>
          <w:lang w:bidi="fa-IR"/>
        </w:rPr>
        <w:t>اگر منی داخل رحم مؤنّث ریخته شود، از آن به مضامین و ملاقیح 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منی و ملاقیح، در مورد عسیب الفحل روایات متعدّدی وارد شده است؛ امّا پیش از بررسی روایات، حکم معاملۀ آن را از نظر قواعد بررسی می‌کنیم</w:t>
      </w:r>
      <w:r>
        <w:rPr>
          <w:rFonts w:eastAsia="IRNazanin" w:cs="IRNazanin"/>
          <w:color w:val="111111"/>
          <w:sz w:val="28"/>
          <w:szCs w:val="28"/>
          <w:rtl w:val="true"/>
          <w:lang w:bidi="fa-IR"/>
        </w:rPr>
        <w:t>.</w:t>
      </w:r>
    </w:p>
    <w:p>
      <w:pPr>
        <w:pStyle w:val="Heading6"/>
        <w:numPr>
          <w:ilvl w:val="5"/>
          <w:numId w:val="1"/>
        </w:numPr>
        <w:rPr/>
      </w:pPr>
      <w:bookmarkStart w:id="588" w:name="__RefHeading___Toc2531143_1468164448"/>
      <w:bookmarkStart w:id="589" w:name="_Toc227"/>
      <w:bookmarkEnd w:id="588"/>
      <w:r>
        <w:rPr>
          <w:rtl w:val="true"/>
        </w:rPr>
        <w:t>الف</w:t>
      </w:r>
      <w:r>
        <w:rPr>
          <w:rtl w:val="true"/>
        </w:rPr>
        <w:t xml:space="preserve">) </w:t>
      </w:r>
      <w:r>
        <w:rPr>
          <w:rtl w:val="true"/>
        </w:rPr>
        <w:t>حکم معاملۀ عسیب الفحل از نظر قواعد</w:t>
      </w:r>
      <w:bookmarkEnd w:id="589"/>
    </w:p>
    <w:p>
      <w:pPr>
        <w:pStyle w:val="Heading6"/>
        <w:numPr>
          <w:ilvl w:val="5"/>
          <w:numId w:val="1"/>
        </w:numPr>
        <w:rPr/>
      </w:pPr>
      <w:bookmarkStart w:id="590" w:name="__RefHeading___Toc2531145_1468164448"/>
      <w:bookmarkStart w:id="591" w:name="_Toc228"/>
      <w:bookmarkEnd w:id="590"/>
      <w:r>
        <w:rPr/>
        <w:t>1</w:t>
      </w:r>
      <w:r>
        <w:rPr>
          <w:rtl w:val="true"/>
        </w:rPr>
        <w:t xml:space="preserve">- </w:t>
      </w:r>
      <w:r>
        <w:rPr>
          <w:rtl w:val="true"/>
        </w:rPr>
        <w:t>جهالت و غرری بودن معامله</w:t>
      </w:r>
      <w:bookmarkEnd w:id="591"/>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معامله از این‌که مقدار مایع منی در صلب حیوان نر و یا انسان مذکّر پیش از خروج از بدن، چه قدر است و این‌که آیا این نطفه موجب حمل می‌شود یا خیر، آگاه نیستند، در حالی که در هر معامله‌ای عوضین باید معلوم باشد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برای پاسخ به این اشکال، به دو مطلب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معلومیت هر چیزی به حسب خود آن است؛ یعنی از نظر عقلا همین مقدار که صاحب فحل دارای نطفه‌ای است و تا به حال از او بچه‌هایی متولّد شده‌اند، برای رفع جهل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نیز مثل فروختن میوه‌های درختی است که امسال هنوز میوه نداده، ولی در سال‌های پیش محصول داده است؛ زیرا همین که این درخت، قابلیّت میوه دادن را دارد، جهل را برطرف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خویی قدس سره معتقد است که هیچ دلیلی مبنی بر این‌که یکی از شرایط عوضین، معلوم بودن آنهاست وجود ندارد؛ بلکه فقط جهالتی معامله را باطل می‌کند که موجب غرر شود</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در این فرض نیز با وجود جماع دو حیوان، غرر از بین می‌رود</w:t>
      </w:r>
      <w:r>
        <w:rPr>
          <w:rFonts w:eastAsia="IRNazanin" w:cs="IRNazanin"/>
          <w:color w:val="111111"/>
          <w:sz w:val="28"/>
          <w:szCs w:val="28"/>
          <w:rtl w:val="true"/>
          <w:lang w:bidi="fa-IR"/>
        </w:rPr>
        <w:t>.</w:t>
      </w:r>
    </w:p>
    <w:p>
      <w:pPr>
        <w:pStyle w:val="Heading6"/>
        <w:numPr>
          <w:ilvl w:val="5"/>
          <w:numId w:val="1"/>
        </w:numPr>
        <w:rPr/>
      </w:pPr>
      <w:bookmarkStart w:id="592" w:name="__RefHeading___Toc2531147_1468164448"/>
      <w:bookmarkStart w:id="593" w:name="_Toc229"/>
      <w:bookmarkEnd w:id="592"/>
      <w:r>
        <w:rPr/>
        <w:t>2</w:t>
      </w:r>
      <w:r>
        <w:rPr>
          <w:rtl w:val="true"/>
        </w:rPr>
        <w:t xml:space="preserve">- </w:t>
      </w:r>
      <w:r>
        <w:rPr>
          <w:rtl w:val="true"/>
        </w:rPr>
        <w:t>عدم قدرت بر تسلیم</w:t>
      </w:r>
      <w:bookmarkEnd w:id="593"/>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عدم قدرت بر تسلیم نیز این گونه پاسخ داده می‌شود که وقتی مالک حیوان نر آن را در اختیار مالک حیوان مادّه قرار می‌دهد و آنها را برای جماع به هم نزدیک می‌کند، تسلیم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می‌توان گفت بیع عسیب الفحل با توجّه به</w:t>
      </w:r>
      <w:bookmarkStart w:id="594" w:name="pg13785_135097"/>
    </w:p>
    <w:p>
      <w:pPr>
        <w:pStyle w:val="BookText"/>
        <w:rPr/>
      </w:pPr>
      <w:bookmarkEnd w:id="594"/>
      <w:r>
        <w:rPr>
          <w:rFonts w:ascii="IRNazanin" w:hAnsi="IRNazanin" w:eastAsia="IRNazanin"/>
          <w:color w:val="111111"/>
          <w:sz w:val="28"/>
          <w:sz w:val="28"/>
          <w:szCs w:val="28"/>
          <w:rtl w:val="true"/>
          <w:lang w:bidi="fa-IR"/>
        </w:rPr>
        <w:t>قواعد، اشکالی ندارد</w:t>
      </w:r>
      <w:r>
        <w:rPr>
          <w:rFonts w:eastAsia="IRNazanin" w:cs="IRNazanin"/>
          <w:color w:val="111111"/>
          <w:sz w:val="28"/>
          <w:szCs w:val="28"/>
          <w:rtl w:val="true"/>
          <w:lang w:bidi="fa-IR"/>
        </w:rPr>
        <w:t>.</w:t>
      </w:r>
    </w:p>
    <w:p>
      <w:pPr>
        <w:pStyle w:val="Heading6"/>
        <w:numPr>
          <w:ilvl w:val="5"/>
          <w:numId w:val="1"/>
        </w:numPr>
        <w:rPr/>
      </w:pPr>
      <w:bookmarkStart w:id="595" w:name="__RefHeading___Toc2531149_1468164448"/>
      <w:bookmarkStart w:id="596" w:name="_Toc230"/>
      <w:bookmarkEnd w:id="595"/>
      <w:r>
        <w:rPr>
          <w:rtl w:val="true"/>
        </w:rPr>
        <w:t>ب</w:t>
      </w:r>
      <w:r>
        <w:rPr>
          <w:rtl w:val="true"/>
        </w:rPr>
        <w:t xml:space="preserve">) </w:t>
      </w:r>
      <w:r>
        <w:rPr>
          <w:rtl w:val="true"/>
        </w:rPr>
        <w:t>حکم معاملۀ عسیب الفحل از نظر روایات</w:t>
      </w:r>
      <w:bookmarkEnd w:id="596"/>
    </w:p>
    <w:p>
      <w:pPr>
        <w:pStyle w:val="BookText"/>
        <w:rPr/>
      </w:pPr>
      <w:r>
        <w:rPr>
          <w:rFonts w:ascii="IRNazanin" w:hAnsi="IRNazanin" w:eastAsia="IRNazanin"/>
          <w:color w:val="111111"/>
          <w:sz w:val="28"/>
          <w:sz w:val="28"/>
          <w:szCs w:val="28"/>
          <w:rtl w:val="true"/>
          <w:lang w:bidi="fa-IR"/>
        </w:rPr>
        <w:t>در مورد عسیب الفحل، دو دسته روایت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دسته‌ای از روایات، بیع عسیب الفحل جایز دانسته شده است و گروهی دیگر، بر ممنوع بودن آن دلالت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مانعه</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إِبْرَاهِیمَ بْنِ مُحَمَّدِ بْنِ حَمْزَةَ عَنْ سَالِمِ بْنِ سَالِمٍ وَأَبِی عَدَوِیَّةَ عَنْ أَبِی الْخَطَّابِ عَنْ هَارُونَ بْنِ مُسْلِمٍ عَنِ الْقَاسِمِ بْنِ عَبْدِ الرَّحْمَنِ عَنْ مُحَمَّدِ بْنِ عَلِیٍّ عَنْ أَبِیهِ عَنِ الْحُسَیْنِ بْنِ عَلِیٍّ علیه السلام فِی حَدِیثٍ أَنَّ رَسُولَ اللّهِ صلی الله علیه و آله نَهَی عَنْ خِصَالٍ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مَهْرِ الْبَغِیِّ وَعَنْ عَسِیبِ الدَّابَّةِ یَعْنِی کَسْبَ الْفَحْلِ وَعَنْ خَاتَمِ الذَّهَبِ وَعَنْ ثَمَنِ الْکَلْبِ وَعَنْ مَیَاثِرِ الْأُرْجُوَانِ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الْخِصَالِ</w:t>
      </w:r>
    </w:p>
    <w:p>
      <w:pPr>
        <w:pStyle w:val="BookText"/>
        <w:rPr/>
      </w:pPr>
      <w:r>
        <w:rPr>
          <w:rFonts w:ascii="Amiri" w:hAnsi="Amiri" w:eastAsia="Amiri" w:cs="Amiri"/>
          <w:color w:val="111111"/>
          <w:sz w:val="28"/>
          <w:sz w:val="28"/>
          <w:szCs w:val="28"/>
          <w:rtl w:val="true"/>
          <w:lang w:bidi="ar-SA"/>
        </w:rPr>
        <w:t>قَالَ أَبُو عَدَوِیَّةَ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مَیَاثِرِ الْحُمْرِ وَعَنْ ثِیَابِ الْقَسِّیِّ وَهِیَ ثِیَابٌ تُنْسَجُ بِالشَّامِ وَعَنْ أَکْلِ لُحُومِ السِّبَاعِ وَعَنْ صَرْفِ الذَّهَبِ بِالذَّهَبِ وَالْفِضَّةِ بِالْفِضَّةِ وَبَیْنَهُمَا فَضْلٌ وَعَنِ النَّظَرِ فِی النُّجُومِ</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در این روایت، پیامبر اکرم صلی الله علیه و آله از نُه صفت نهی کرده‌اند که یکی از آنها کسب فحل است؛ یعنی پیامبر اکرم صلی الله علیه و آله فروش مایع منی داخل فحل را منع کرده است و این نهی، ظهور در حرمت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سند این روایت، ابی الخطّاب راشد منقری و أبی عدویّة وجود دارند که از این جهت، ضعیف است</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الْجَعْفَرِیَّاتُ</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،بِإِسْنَادِهِ عَنْ جَعْفَرِ بْنِ مُحَمَّدٍ عَنْ أَبِیهِ عَنْ جَدِّهِ عَلِیِّ بْنِ الْحُسَیْنِ</w:t>
      </w:r>
    </w:p>
    <w:p>
      <w:pPr>
        <w:pStyle w:val="BookText"/>
        <w:rPr/>
      </w:pPr>
      <w:r>
        <w:rPr>
          <w:rFonts w:ascii="Amiri" w:hAnsi="Amiri" w:eastAsia="Amiri" w:cs="Amiri"/>
          <w:color w:val="111111"/>
          <w:sz w:val="28"/>
          <w:sz w:val="28"/>
          <w:szCs w:val="28"/>
          <w:rtl w:val="true"/>
          <w:lang w:bidi="ar-SA"/>
        </w:rPr>
        <w:t>عَنْ أَبِیهِ عَنْ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السُّحْتِ ثَمَنُ الْمَیْتَةِ وَثَمَنُ اللِّقَاحِ وَمَهْرُ الْبَغِیِّ وَکَسْبُ الْحَجَّامِ وَأَجْرُ الْکَاهِنِ وَأَجْرُ الْقَفِیزِ وَأَجْرُ الْفَرِطُونَ وَالْمِیزَانِ إِلاَّ قَفِیزاً یَکِیلُهُ صَاحِبُهُ أَوْ مِیزَاناً یَزِنُ بِهِ صَاحِبُهُ وَثَمَنُ الشِّطْرَنْجِ وَثَمَنُ النَّرْدِ وَثَمَنُ الْقِرَدِ وَجُلُودُ 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وَعَسْبُ الْفَحْلِ</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در این روایت نیز حضرت امیرالمؤمنین علیه السلام ثمن لقاح و عسیب الفحل را از مال‌های حرام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خویی قدس سره در کتاب مصباح الفقاهة، کتاب جعفریّات و احادیث آن را قابل اعتماد می‌شمارد و در میان روایات مانعه تنها این روایت را توثیق نموده است؛</w:t>
      </w:r>
      <w:r>
        <w:rPr>
          <w:rStyle w:val="FootnoteAnchor"/>
          <w:rtl w:val="true"/>
        </w:rPr>
        <w:footnoteReference w:id="428"/>
      </w:r>
      <w:r>
        <w:rPr>
          <w:rFonts w:ascii="IRNazanin" w:hAnsi="IRNazanin" w:eastAsia="IRNazanin"/>
          <w:color w:val="111111"/>
          <w:sz w:val="28"/>
          <w:sz w:val="28"/>
          <w:szCs w:val="28"/>
          <w:rtl w:val="true"/>
          <w:lang w:bidi="fa-IR"/>
        </w:rPr>
        <w:t>امّا در کتاب مبانی تکملة المنهاج که در اواخر عمر خویش و به قلم خود نوشته است، دربارۀ‌کتاب جعفریّات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کتاب محمّد بن محمّد الأشعث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وثقّه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معتبراً إلّاأنّه لم یصل إلینا ولم یذکره الشّیخ فی الفهرست وهو لا ینطبق علی ما هو موجود عندنا جزماً</w:t>
      </w:r>
      <w:r>
        <w:rPr>
          <w:rFonts w:eastAsia="IRNazanin" w:cs="IRNazanin"/>
          <w:color w:val="111111"/>
          <w:sz w:val="28"/>
          <w:szCs w:val="28"/>
          <w:rtl w:val="true"/>
          <w:lang w:bidi="fa-IR"/>
        </w:rPr>
        <w:t>.</w:t>
      </w:r>
      <w:r>
        <w:rPr>
          <w:rStyle w:val="FootnoteAnchor"/>
          <w:rtl w:val="true"/>
        </w:rPr>
        <w:footnoteReference w:id="429"/>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گفتۀ ایشان، هرچند مؤلّف کتاب جعفریّات انسانی موثّق و نجّاشی قدس سره او را توثیق نموده است؛ امّا آنچه امروز از کتاب جعفریّات در اختیار ماست، غیر از آن چیزی است که در برخی کتاب‌ها از جعفریّات نقل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ما محرز نیست که این کتاب همان کتاب جعفریّات است که محدّثینی همچون حاجی نوری قدس سره از آن نقل حدیث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فقیه نمی‌تواند به این کتاب جعفریّات که امروزه موجود است، اعتماد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روایات دیگری نیز با عناوین گوناگون از بیع عسیب الفحل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روایتی از پیامبر اکرم صلی الله علیه و 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عن عسیب التیس</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که تیس همان جنس مذکّر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روایتی مرسل، عسیب الفحل به اجرت ضراب معنا و از آن نهی شده است</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روایات مانعه ضعیف هستند؛ امّا کثرت آنها به حدّی است که می‌توان به طور اجمالی در مورد آنها ادّعای تواتر نمود و نتیجه گرفت که دست‌کم یکی از آنها از معصوم علیه السلام صادر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مجوزّه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یکم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یَعْقُوبَ عَنْ عِدَّةٍ مِنْ أَصْحَابِنَا عَنْ سَهْلِ بْنِ زِیَادٍ عَنْ أَحْمَدَ بْنِ مُحَمَّدِ بْنِ أَبِی نَصْرٍ 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عَلَی أَبِی عَبْدِ اللّهِ علیه السلام وَمَعَنَا فَرْقَدٌ الْحَجَّامُ،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جَعَلَنِیَ اللّهُ فِدَاکَ إِنَّ لِیَ تَیْساً أُکْرِیهِ فَمَا تَقُولُ فِی کَسْبِهِ؟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کَسْبَهُ فَإِنَّهُ لَکَ حَلَالٌ؛</w:t>
      </w:r>
      <w:r>
        <w:rPr>
          <w:rStyle w:val="FootnoteAnchor"/>
          <w:rtl w:val="true"/>
        </w:rPr>
        <w:footnoteReference w:id="432"/>
      </w:r>
      <w:r>
        <w:rPr>
          <w:rFonts w:ascii="IRNazanin" w:hAnsi="IRNazanin" w:eastAsia="IRNazanin"/>
          <w:color w:val="111111"/>
          <w:sz w:val="28"/>
          <w:sz w:val="28"/>
          <w:szCs w:val="28"/>
          <w:rtl w:val="true"/>
          <w:lang w:bidi="fa-IR"/>
        </w:rPr>
        <w:t>فرقد حجّام از امام صادق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من حیوان نری دارم که آن را کرایه می‌دهم، دیدگاه شما دربارۀ درآمد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آن را بخور که برای تو حلال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این روایت از امام علیه السلام در مورد کرایه دادن حیوان نر، جهت لقاح و جماع با حیوان مادّه، سؤال شده است که ایشان کسب از این راه را حلال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این روایت را به خاطر وجود سهل بن زیاد در سندش تضعیف کرده‌اند؛</w:t>
      </w:r>
      <w:r>
        <w:rPr>
          <w:rStyle w:val="FootnoteAnchor"/>
          <w:rtl w:val="true"/>
        </w:rPr>
        <w:footnoteReference w:id="433"/>
      </w:r>
      <w:r>
        <w:rPr>
          <w:rFonts w:ascii="IRNazanin" w:hAnsi="IRNazanin" w:eastAsia="IRNazanin"/>
          <w:color w:val="111111"/>
          <w:sz w:val="28"/>
          <w:sz w:val="28"/>
          <w:szCs w:val="28"/>
          <w:rtl w:val="true"/>
          <w:lang w:bidi="fa-IR"/>
        </w:rPr>
        <w:t>امّا به نظر ما از آن‌جا که بزرگان و محدّثین روایات زیادی از او نقل کرده‌اند و با تضعیف و عدم</w:t>
      </w:r>
    </w:p>
    <w:p>
      <w:pPr>
        <w:pStyle w:val="BookText"/>
        <w:rPr/>
      </w:pPr>
      <w:r>
        <w:rPr>
          <w:rFonts w:ascii="IRNazanin" w:hAnsi="IRNazanin" w:eastAsia="IRNazanin"/>
          <w:color w:val="111111"/>
          <w:sz w:val="28"/>
          <w:sz w:val="28"/>
          <w:szCs w:val="28"/>
          <w:rtl w:val="true"/>
          <w:lang w:bidi="fa-IR"/>
        </w:rPr>
        <w:t>توثیق او روایات زیادی کنار گذاشته می‌شود، باید روایت او را معتبر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عَلِیِّ بْنِ إِبْرَاهِیمَ عَنْ أَبِیهِ وَعَنْ مُحَمَّدِ بْنِ إِسْمَاعِیلَ عَنِ الْفَضْلِ بْنِ شَاذَانَ عَنِ ابْنِ أَبِی عُمَیْرٍ عَنْ مُعَاوِیَةَ بْنِ عَمَّارٍ عَنْ أَبِی عَبْدِ اللّهِ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أَجْرُ التُّیُوسِ؟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کَانَتِ الْعَرَبُ لَتَعَایَرُ بِهِ وَلَا بَأْسَ؛</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از امام علیه السلام در مورد اجر تیوس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کسب پول از طریق لقاح حیوان 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عرب این کار را نمی‌پسندد، اشکالی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میان روایات مانعه و مجوّزه</w:t>
      </w:r>
    </w:p>
    <w:p>
      <w:pPr>
        <w:pStyle w:val="BookText"/>
        <w:rPr/>
      </w:pPr>
      <w:r>
        <w:rPr>
          <w:rFonts w:ascii="IRNazanin" w:hAnsi="IRNazanin" w:eastAsia="IRNazanin"/>
          <w:color w:val="111111"/>
          <w:sz w:val="28"/>
          <w:sz w:val="28"/>
          <w:szCs w:val="28"/>
          <w:rtl w:val="true"/>
          <w:lang w:bidi="fa-IR"/>
        </w:rPr>
        <w:t>در کلمات فقها سه راه برای جمع بین این دو دسته از روایات،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راه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ناهیه ظهور در حرمت دارند؛ چراکه در هیچ یک از آنها از لفظ حرام استفاده نشده است؛ لیکن روایات مجوّزه صریح در جواز و یا نسبت به جواز، اظهرند و روشن است که در صورت وجود دو روایت که یکی ظاهر و دیگری اظهر، یا یکی ظاهر و دیگری نص است، روایت اظهر و نص بر روایت ظاهر مقدّم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مقدّم دانستن روایات مجوّزه باید از ظهور روایات ناهیه دست برداشت و آنها را به جای حرمت بر کراهت حمل نمود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به قرینۀ روایات مجوّزه که نصّ در جوازند، ظهور روایات ناهیه را کنار می‌گذاریم و به کراهت بیع عسیب الفحل حکم می‌کنیم؛ چراکه در روایات مانعه،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بیع عسیب الفحل از مصادیق سحت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 وجود قرینه می‌توان سحت را بر کراهت 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w:t>
      </w:r>
    </w:p>
    <w:p>
      <w:pPr>
        <w:pStyle w:val="BookText"/>
        <w:rPr/>
      </w:pPr>
      <w:r>
        <w:rPr>
          <w:rFonts w:ascii="IRNazanin" w:hAnsi="IRNazanin" w:eastAsia="IRNazanin"/>
          <w:color w:val="111111"/>
          <w:sz w:val="28"/>
          <w:sz w:val="28"/>
          <w:szCs w:val="28"/>
          <w:rtl w:val="true"/>
          <w:lang w:bidi="fa-IR"/>
        </w:rPr>
        <w:t>معصوم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 عسیب الفحل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امکان حمل روایت بر کراهت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 بسیاری از فقها، همین روش را برای جمع بین این دو دسته از روایات پیموده‌اند</w:t>
      </w:r>
      <w:r>
        <w:rPr>
          <w:rStyle w:val="FootnoteAnchor"/>
          <w:rtl w:val="true"/>
        </w:rPr>
        <w:footnoteReference w:id="435"/>
      </w:r>
      <w:r>
        <w:rPr>
          <w:rFonts w:ascii="IRNazanin" w:hAnsi="IRNazanin" w:eastAsia="IRNazanin"/>
          <w:color w:val="111111"/>
          <w:sz w:val="28"/>
          <w:sz w:val="28"/>
          <w:szCs w:val="28"/>
          <w:rtl w:val="true"/>
          <w:lang w:bidi="fa-IR"/>
        </w:rPr>
        <w:t>و به نظر ما نیز این وجه جمع، صحیح است و باید به آن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از فقها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قطع‌نظر از روایات مجوّزه نیز به خاطر قرائنی که در خود روایات ناهیه وجود دارد، می‌توان آنها را بر کراهت حمل نمود؛ زیرا در روایت جعفریّات، عسیب الفحل در کنار جلود السباع قرار گرفته است و از آن‌جا که می‌دانیم خرید و فروش پوست درندگان حرام نیست،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عسیب الفحل نیز حرام نبوده و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به نظر می‌رسد که این سخن نادرست است؛ زیرا این گونه نیست که اگر در روایتی امام علیه السلام ده چیز را مصداق سحت دانستند، بگوییم یا همگی مکروه‌اند و یا همگی حرام‌اند؛ بلکه اگر سحت بدون قرینه استعمال شود، حمل بر حرمت می‌گردد و هر کجا قرینه و دلیل خارجی برای کراهت بود، آن مورد خاص را بر کراهت حمل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اغتسل للجمعة و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مشهور فقها معتقدند که صیغۀ امر بر وجوب حمل می‌شود، امّا از آن‌جا که در مورد غسل جمعه اجازۀ ترک داده شده است، صیغۀ امر در این مورد نسبت به جمعه بر استحباب حمل می‌شود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در روایتی در باب غسل نیز نظیر این مسئله آمده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الْغُسْلَ فِی أَرْبَعَةَ عَشَرَ مَوْطِناً، غُسْلُ الْمَیِّتِ وَغُسْلُ الْجُنُبِ وَغُسْلُ مَنْ غَسَّلَ الْمَیِّتَ وَغُسْلُ الْجُمُعَةِ وَالْعِیدَیْنِ وَیَوْمِ عَرَفَةَ وَغُسْلُ الْإِحْرَامِ وَدُخُولِ الْکَعْبَةِ وَدُخُولِ</w:t>
      </w:r>
    </w:p>
    <w:p>
      <w:pPr>
        <w:pStyle w:val="BookText"/>
        <w:rPr/>
      </w:pPr>
      <w:r>
        <w:rPr>
          <w:rFonts w:ascii="Amiri" w:hAnsi="Amiri" w:eastAsia="Amiri" w:cs="Amiri"/>
          <w:color w:val="111111"/>
          <w:sz w:val="28"/>
          <w:sz w:val="28"/>
          <w:szCs w:val="28"/>
          <w:rtl w:val="true"/>
          <w:lang w:bidi="ar-SA"/>
        </w:rPr>
        <w:t>الْمَدِینَةِ وَدُخُولِ الْحَرَمِ وَالزِّیَارَةِ وَلَیْلَةِ تِسْعَ عَشْرَةَ وَإِحْدَی وَعِشْرِینَ وَثَلَاثٍ وَعِشْرِینَ مِنْ شَهْرِ رَمَضَان</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در این روایت، غسل جمعه، غسل روزه عرفه، غسل احرام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غسل‌های میّت، جنابت و مسّ میّت که واجب‌اند، ذکر شده است؛ امّا استحباب آنها با توجّه به روایات دیگر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نیز چنین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یَوْمَ الْأَضْحَی وَالْفِطْرِ وَالْجُمُعَةِ وَإِذَا غَسَّلْتَ مَیِّتاً وَلَا تَغْتَسِلْ مِنْ مَسِّهِ إِذَا أَدْخَلْتَهُ الْقَبْرَ وَلَا إِذَا حَمَلْتَهُ</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در این روایت نیز صیغۀ امر، حمل بر وجوب می‌شود و در همۀ موارد ظهور در وجوب دارد؛ امّا از آن‌جا که بنا بر ادلّۀ دیگر، اجازۀ ترک غسل جمعه و غسل روز عید فطر و قربان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موارد، صیغۀ امر بر استحباب حمل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با توجّه به آنچه گفته شد، تنها راه حمل روایات مانعه بر کراهت، وجود روایات مجوّزه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وجه جمع، این است که روایات مانعه حمل بر تقیّه شود؛ چراکه بیشتر علمای مذاهب مختلف اهل‌سنّت، بیع عسیب الفحل را حرام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سخن در این است که این مسئله در بین اهل‌سنّت نیز اختلافی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آنها بیع عسیب الفحل را بر خلاف اجارۀ آن، حرام می‌دانند و برخی بیع و اجارۀ آن را حرام می‌دانند و برخی به جواز بیع و اجارۀ عسیب الفحل فتوا داده‌اند</w:t>
      </w:r>
      <w:r>
        <w:rPr>
          <w:rFonts w:eastAsia="IRNazanin" w:cs="IRNazanin"/>
          <w:color w:val="111111"/>
          <w:sz w:val="28"/>
          <w:szCs w:val="28"/>
          <w:rtl w:val="true"/>
          <w:lang w:bidi="fa-IR"/>
        </w:rPr>
        <w:t>.</w:t>
      </w:r>
      <w:r>
        <w:rPr>
          <w:rStyle w:val="FootnoteAnchor"/>
          <w:rtl w:val="true"/>
        </w:rPr>
        <w:footnoteReference w:id="439"/>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توجّه به اختلافی بودن مسئله نزد اهل‌سنّت، نمی‌توان روایات مانعه را بر تقیّه</w:t>
      </w:r>
    </w:p>
    <w:p>
      <w:pPr>
        <w:pStyle w:val="BookText"/>
        <w:rPr/>
      </w:pPr>
      <w:r>
        <w:rPr>
          <w:rFonts w:ascii="IRNazanin" w:hAnsi="IRNazanin" w:eastAsia="IRNazanin"/>
          <w:color w:val="111111"/>
          <w:sz w:val="28"/>
          <w:sz w:val="28"/>
          <w:szCs w:val="28"/>
          <w:rtl w:val="true"/>
          <w:lang w:bidi="fa-IR"/>
        </w:rPr>
        <w:t>حمل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در مورد این جمع باید به آن اشاره کرد، این است که اگر کسی این جمع را بپذیرد، از آن‌جا که دیگر به روایت مانعه اعتنایی نمی‌شود، دیگر حتّی فتوا دادن به کراهت بیع عسیب الفحل نیز ممکن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راه برای جمع، این است که روایات مانعه بر بیع عسیب الفحل و روایات مجوّزه بر اجارۀ آن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بیع عسیب الفحل را باطل و حرام و اجارۀ آن را جایز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مؤیّد این جمع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مانعه،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و در هر دو روایت مجوّزه، کرایه دادن و اجر وجود دارد که ظهور در اجاره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روایات مانعه بر بیع عسیب الفحل را می‌توان با این مطلب که وجود نطفه در این فرض، مشکوک است، توجیه نمود؛ امّا این مطلب به صحّت اجاره خللی وارد نمی‌کند؛ زیرا مقصود از اجاره با اجتماع حیوان نر و مادّه حاصل می‌شود و شکّی در این مورد، قابل تصوّر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قدس سره نیز در کتاب المبسوط مسئلۀ اجاره را مطرح می‌کند و آن‌را مکروه می‌داند</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ایشان همچنین در کتاب الخلاف اظهار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إجارة الفحل للضراب مکروه ولیس بمحظور وعقد الإجارة علیه غیر فاسد، وقال مالک یجوز ولم یکرهه، وقال أبو حنیفة والشافعی إنّ الإجارة فاسدة والأجرة محظورة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أنّ الأصل الإباحة، فمن ادّعی الحظر والمنع فعلیه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کراهیة ما قلناه فعلیه إجماع الفرقة وأخبارهم</w:t>
      </w:r>
      <w:r>
        <w:rPr>
          <w:rFonts w:eastAsia="IRNazanin" w:cs="IRNazanin"/>
          <w:color w:val="111111"/>
          <w:sz w:val="28"/>
          <w:szCs w:val="28"/>
          <w:rtl w:val="true"/>
          <w:lang w:bidi="fa-IR"/>
        </w:rPr>
        <w:t>.</w:t>
      </w:r>
      <w:r>
        <w:rPr>
          <w:rStyle w:val="FootnoteAnchor"/>
          <w:rtl w:val="true"/>
        </w:rPr>
        <w:footnoteReference w:id="441"/>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سخن شیخ طوسی قدس سره برداشت می‌شود که نه تنها ایشان اجارۀ فحل را مکروه می‌داند و حرمت و بطلان این عقد را رد می‌کند، بلکه معتقد است که بر کراهت عقد</w:t>
      </w:r>
    </w:p>
    <w:p>
      <w:pPr>
        <w:pStyle w:val="BookText"/>
        <w:rPr/>
      </w:pPr>
      <w:r>
        <w:rPr>
          <w:rFonts w:ascii="IRNazanin" w:hAnsi="IRNazanin" w:eastAsia="IRNazanin"/>
          <w:color w:val="111111"/>
          <w:sz w:val="28"/>
          <w:sz w:val="28"/>
          <w:szCs w:val="28"/>
          <w:rtl w:val="true"/>
          <w:lang w:bidi="fa-IR"/>
        </w:rPr>
        <w:t>اجارۀ فحل، اجماع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ایشان نظر علمای اهل سنّت را به این شکل نقل می‌کند که مالک، اجارۀ فحل را جایز و غیر مکروه می‌داند، ولی ابو حنیفه و شافعی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اجارۀ آن فاسد و اجرت دریافتی نیز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نکته ضروری است که اگر کسی اجارۀ فحل را فاسد بداند، باید قائل به فساد بیع نیز بشود؛ یعنی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اجارۀ فحل فاسد است، ولی بیعش فاسد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الفقه علی المذاهب الأربعة از ابوحنیفه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الحنیفة، امّا الأعیان التی لایصّح استیجارها باتّفاق، منها نزو الذکور من الحیوانات علی أناثها فلا یحلّ لأحد أن یؤجر ثوره لیحبل بقرة غیره ولا یؤجر حماره لیحبل حمارة غیره، لأن إحبال الحیوان غیر مقدور علیه فلا یصّح تأجیره</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به نظر ابوحنیفه اجارۀ حیوان نر برای ضراب صحیح نیست؛ زیرا حامله کردن حیوان، امری غیرمقدور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حنابله نیز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الحنابلة، من الأشیاء التی لا تصح اجارتها ذکور الحیوانات التی تستأجر لإحبال انثاها فلا یحلّ استیجار ثور لیحبل بقرة ولا جمل لیحبل ناقة</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اجارۀ حیوان نر برای حامله کردن حیوان مادّه،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حلّی قدس سره بیع عسیب الفحل را حرام و اجاره را مکروه دانسته است و اظهار می‌دارد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یحرم بیع عسیب الفحل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نطفته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غیر متقوّم ولا معلوم ولا مقدور علیه ولا نعلم فیه خلافاً لأنّ النبیّ صلی الله علیه و آله نهی عنه إمّا إجارة الفحل للضراب فعندنا مکروهة ولیست محرّمة وهو أضعف وجهی الشافعی وبه قال مالک لأنّها منفعة مقصودة یحتاج إلیها فی کلّ وقت فلو لم یجز الإجارة فیها تعذّر تحصیلها لعدم</w:t>
      </w:r>
    </w:p>
    <w:p>
      <w:pPr>
        <w:pStyle w:val="BookText"/>
        <w:rPr/>
      </w:pPr>
      <w:r>
        <w:rPr>
          <w:rFonts w:ascii="IRNazanin" w:hAnsi="IRNazanin" w:eastAsia="IRNazanin"/>
          <w:color w:val="111111"/>
          <w:sz w:val="28"/>
          <w:sz w:val="28"/>
          <w:szCs w:val="28"/>
          <w:rtl w:val="true"/>
          <w:lang w:bidi="fa-IR"/>
        </w:rPr>
        <w:t>وجوب البذل علی المالک وقال أبو حنیفة والشافعی فی أصحّ وجهیه وأحمد، أنّها محرّمة لأنّه نهی النّبی صلی الله علیه و آله عن عسیب الفحل ولأنّه لا یقدر علی تسلیمه، فأشبه إجارة الآبق</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ایشان بیع عسیب الفحل را به خاطر جهل، عدم قدرت بر تسلیم، غیر قابل تقویم بودن و نهی پیامبر اکرم صلی الله علیه و آله حرام می‌داند و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اجارۀ فحل نزد امامیّه مکروه است و قول به کراهت اجارۀ فحل، ضعیف‌ترین از دو قول شافعی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نیز این قول را پذیرفته است و نظر دیگر شافعی که صحیح‌تر است، و همچنین قول احمد بن حنبل و ابو حنیفه این است که اجارۀ فحل برای احبال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حامله کردن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زیرا پیامبر صلی الله علیه و آله از آن نهی کرده‌اند و این عقد اجاره، مشابه اجارۀ عبد فراری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مورد عبد فراری امکان استفاده از منافع وجود ندارد، این‌جا نیز به علّت عدم امکان استفاده از منافع باید قائل به حرمت اجاره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نکته در عبارت علاّمۀ حلّی قدس سره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 این‌که مطابق این نقل، مالک قائل به کراهت اجارۀ فحل است؛ امّا مطابق نقل شیخ طوسی قدس سره در کتاب الخلاف، مالک قائل به جواز و عدم کراهت اجاره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دوم این‌که شافعی دو قول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نخست که ضعیف‌تر است، کراهت اجارۀ فحل و قول دوم، عدم جواز اجارۀ فحل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در نقد این وجه می‌توان به دو مطلب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لفظ بیع در روایات، لزوماً بیع در مقابل اجاره نیست؛ بلکه در برخی از روایات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اجاره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روایتی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 را برای شیر آن می‌فروشد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این است که اجاره می‌دهد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گذشته آنچه بین مردم مرسوم بوده، اجارۀ فحل حیوان نر بوده است، نه بیع</w:t>
      </w:r>
    </w:p>
    <w:p>
      <w:pPr>
        <w:pStyle w:val="BookText"/>
        <w:rPr/>
      </w:pPr>
      <w:r>
        <w:rPr>
          <w:rFonts w:ascii="IRNazanin" w:hAnsi="IRNazanin" w:eastAsia="IRNazanin"/>
          <w:color w:val="111111"/>
          <w:sz w:val="28"/>
          <w:sz w:val="28"/>
          <w:szCs w:val="28"/>
          <w:rtl w:val="true"/>
          <w:lang w:bidi="fa-IR"/>
        </w:rPr>
        <w:t>آن؛ از این رو، حمل روایات مانعه بر بیع، حمل بر فرد نادر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دو مطلب، راه جمع سوم نیز پذیرفتنی نیست و همان گونه که گفته شد، با پذیرش راه نخست، باید روایات مانعه را بر کراهت 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بعید نیست ادّعای اجماع شیخ طوسی قدس سره علاوه بر اجاره، شامل بیع نیز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دربارۀ بقای عین مستأجره</w:t>
      </w:r>
    </w:p>
    <w:p>
      <w:pPr>
        <w:pStyle w:val="BookText"/>
        <w:rPr/>
      </w:pPr>
      <w:r>
        <w:rPr>
          <w:rFonts w:ascii="IRNazanin" w:hAnsi="IRNazanin" w:eastAsia="IRNazanin"/>
          <w:color w:val="111111"/>
          <w:sz w:val="28"/>
          <w:sz w:val="28"/>
          <w:szCs w:val="28"/>
          <w:rtl w:val="true"/>
          <w:lang w:bidi="fa-IR"/>
        </w:rPr>
        <w:t>آخرین نکته‌ای که پیرامون این بحث وجود دارد و باید به آن اشاره کرد، این است که در اجاره، مستأجر مالک منافع می‌شود و نسبت به عین مستأجره استحقاقی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متعلّق اجاره، تملیک منافع عین است نه خود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گفته می‌شود اجاره در اعیانی قابل تصوّر است که با استیفای منافع، عین از بین نرود و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مشهور فقها دربارۀ تفاوت میان بیع و اجاره معتقدند که بیع عبارت است از تملیک عین، ولی اجاره عبارت است از تملیک 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اجاره در جایی تصوّر می‌شود که بتوان از منافع یک عین خارجی بدون انتفای خود آن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مطلب، برخی از فقها در مورد اجارۀ درخت برای چیدن میوه، گوسفند برای استفاده از شیر، زن برای شیر دادن و در نهایت، اجارۀ حیوان نر برای ضراب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عین مستأجره مستهلک شده و باقی نمی‌ماند و تعریف اجاره بر آن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این موارد، استیفای منافع موجب انتفای عین می‌شود</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این اشکال، فقها را با این پرسش رو به رو می‌کند که در این موارد چگونه اجاره توجیه می‌شود؟ البتّه این بحث به کتاب اجاره مربوط می‌شود، لیکن به دلیل ارتباط آن با بحث عسیب الفحل، این اشکال و پاسخ آن را مطرح می‌کنیم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پاسخ به این اشکال، برخی از بزرگان همچون محقّق بروجردی قدس سره، تعریف</w:t>
      </w:r>
      <w:bookmarkStart w:id="597" w:name="pg13785_135107"/>
    </w:p>
    <w:p>
      <w:pPr>
        <w:pStyle w:val="BookText"/>
        <w:rPr/>
      </w:pPr>
      <w:bookmarkEnd w:id="597"/>
      <w:r>
        <w:rPr>
          <w:rFonts w:ascii="IRNazanin" w:hAnsi="IRNazanin" w:eastAsia="IRNazanin"/>
          <w:color w:val="111111"/>
          <w:sz w:val="28"/>
          <w:sz w:val="28"/>
          <w:szCs w:val="28"/>
          <w:rtl w:val="true"/>
          <w:lang w:bidi="fa-IR"/>
        </w:rPr>
        <w:t>مشهور اجاره را مورد انتقاد قرار داده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اجاره نیز همانند بیع، متعلّق تملیک، 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عنوان مؤیّد به این نکته اشاره می‌کند که در صیغۀ ایجاب اجاره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آجرتک هذه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آجرتک سکنی الدار</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ایشان در مورد تفاوت اجاره و بیع معتقدند که مفهوم اجاره نزد عقلا اقتضا می‌کند که در مدّت انتفاع، عین باقی باشد؛ امّا دلیلی نداریم که پس از انتفاع نیز عین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وی در ادامه به این قاعدۀ کلّی اشاره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انتفاع کلّ شیء بحسب ما یترقّب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انتفاع هر شیء به حسب آن چیزی است که از او انتظار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سخن در مسئلۀ عسیب الفحل و موارد مشابه آن، با اشکالی روبه‌رو نمی‌شویم؛ چراکه عین مستأجره، هنگام اجاره باقی است و بقای آن پس از اجاره نیز ضروری نیست</w:t>
      </w:r>
      <w:r>
        <w:rPr>
          <w:rFonts w:eastAsia="IRNazanin" w:cs="IRNazanin"/>
          <w:color w:val="111111"/>
          <w:sz w:val="28"/>
          <w:szCs w:val="28"/>
          <w:rtl w:val="true"/>
          <w:lang w:bidi="fa-IR"/>
        </w:rPr>
        <w:t>.</w:t>
      </w:r>
    </w:p>
    <w:p>
      <w:pPr>
        <w:pStyle w:val="Heading4"/>
        <w:numPr>
          <w:ilvl w:val="3"/>
          <w:numId w:val="1"/>
        </w:numPr>
        <w:rPr/>
      </w:pPr>
      <w:bookmarkStart w:id="598" w:name="__RefHeading___Toc2531151_1468164448"/>
      <w:bookmarkStart w:id="599" w:name="_Toc231"/>
      <w:bookmarkEnd w:id="598"/>
      <w:r>
        <w:rPr>
          <w:rtl w:val="true"/>
        </w:rPr>
        <w:t>گفتار دوم</w:t>
      </w:r>
      <w:r>
        <w:rPr>
          <w:rtl w:val="true"/>
        </w:rPr>
        <w:t xml:space="preserve">: </w:t>
      </w:r>
      <w:r>
        <w:rPr>
          <w:rtl w:val="true"/>
        </w:rPr>
        <w:t>تلقیح مصنوعی</w:t>
      </w:r>
      <w:bookmarkEnd w:id="599"/>
    </w:p>
    <w:p>
      <w:pPr>
        <w:pStyle w:val="Heading5"/>
        <w:numPr>
          <w:ilvl w:val="4"/>
          <w:numId w:val="1"/>
        </w:numPr>
        <w:rPr/>
      </w:pPr>
      <w:bookmarkStart w:id="600" w:name="__RefHeading___Toc2531153_1468164448"/>
      <w:bookmarkStart w:id="601" w:name="_Toc232"/>
      <w:bookmarkEnd w:id="600"/>
      <w:r>
        <w:rPr>
          <w:rtl w:val="true"/>
        </w:rPr>
        <w:t>اشارة</w:t>
      </w:r>
      <w:bookmarkEnd w:id="601"/>
    </w:p>
    <w:p>
      <w:pPr>
        <w:pStyle w:val="BookText"/>
        <w:rPr/>
      </w:pPr>
      <w:r>
        <w:rPr>
          <w:rFonts w:ascii="IRNazanin" w:hAnsi="IRNazanin" w:eastAsia="IRNazanin"/>
          <w:color w:val="111111"/>
          <w:sz w:val="28"/>
          <w:sz w:val="28"/>
          <w:szCs w:val="28"/>
          <w:rtl w:val="true"/>
          <w:lang w:bidi="fa-IR"/>
        </w:rPr>
        <w:t>به مناسبت بحث دربارۀ خرید و فروش منی، در ادامه به بررسی موضوع مهم و شایع تلقیح مصنوعی می‌پردازیم و تحقیقی پیرامون حکم صورت‌های گوناگون آن ارائه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عمل لقاح بین نطفۀ مرد و تخمک زن از راه آمیزش را تلقیح طبیعی گویند و در مقابل، تلقیح مصنوعی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صور گوناگونی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لقاح و ترکیب نطفۀ مرد با تخمک زن از راه‌هایی غیر از آمیزش طبیعی و از طریق ابزار پزشکی یا هر وسیلۀ دیگری اطلاق می‌شود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تقویت نطفۀ مرد یا تخمک زن از طریق تزریق داروهای</w:t>
      </w:r>
      <w:bookmarkStart w:id="602" w:name="pg13785_135108"/>
    </w:p>
    <w:p>
      <w:pPr>
        <w:pStyle w:val="BookText"/>
        <w:rPr/>
      </w:pPr>
      <w:bookmarkEnd w:id="602"/>
      <w:r>
        <w:rPr>
          <w:rFonts w:ascii="IRNazanin" w:hAnsi="IRNazanin" w:eastAsia="IRNazanin"/>
          <w:color w:val="111111"/>
          <w:sz w:val="28"/>
          <w:sz w:val="28"/>
          <w:szCs w:val="28"/>
          <w:rtl w:val="true"/>
          <w:lang w:bidi="fa-IR"/>
        </w:rPr>
        <w:t>شیمیایی یا نطفۀ افراد دیگر، لقاح مصنوعی محسوب نمی‌شود و در این مسئله بین فقها اختلاف نظری وجود ندارد؛ زیرا همۀ فقها آن را جایز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مسئله از محلّ بحث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مربوط به تلقیح مصنوعی را باید در دو محور کلّی مورد مطالعه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حکم تکلیفی اقسام مختلف تلقیح مصنوعی و دوم، بحث دربارۀ حکم وضعی و آثار حقوقی مترتّب بر تلقیح 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مطالب این مبحث را در دو گفتار ارائه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اوّل مباحث مربوط به حکم تکلیفی صور مختلف تلقیح مصنوعی را مطرح می‌کنیم و اشاره‌ای به بحث اهدای جنین یا اهدای رحم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اهدای رحم، نطفۀ مرد و تخمک همسر او را در خارج یا در رحم زن صاحب تخمک مورد لقاح قرار داده و بعد از تکوین جنین، از آن‌جا که رحم زن توانایی نگهداری از این جنین را ندارد، آن را در رحم زن دیگری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بحث با عنوان رحم اجاره‌ای نیز 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گفتار دوم نیز پیرامون آثار حقوقی تلقیح مصنوعی بحث خواهیم کرد؛ یعنی فارغ از این‌که قائل به حرمت یا جواز تلقیح در صور مختلف آن شویم، باید بررسی کنیم که پدر و مادر جنین متولّد شده از تلقیح مصنوعی، چه کسی است و از چه کسانی ارث می‌برد و</w:t>
      </w:r>
      <w:r>
        <w:rPr>
          <w:rFonts w:eastAsia="IRNazanin" w:cs="IRNazanin"/>
          <w:color w:val="111111"/>
          <w:sz w:val="28"/>
          <w:szCs w:val="28"/>
          <w:rtl w:val="true"/>
          <w:lang w:bidi="fa-IR"/>
        </w:rPr>
        <w:t>....</w:t>
      </w:r>
    </w:p>
    <w:p>
      <w:pPr>
        <w:pStyle w:val="Heading5"/>
        <w:numPr>
          <w:ilvl w:val="4"/>
          <w:numId w:val="1"/>
        </w:numPr>
        <w:rPr/>
      </w:pPr>
      <w:bookmarkStart w:id="603" w:name="__RefHeading___Toc2531155_1468164448"/>
      <w:bookmarkStart w:id="604" w:name="_Toc233"/>
      <w:bookmarkEnd w:id="603"/>
      <w:r>
        <w:rPr>
          <w:rtl w:val="true"/>
        </w:rPr>
        <w:t>بند اوّل</w:t>
      </w:r>
      <w:r>
        <w:rPr>
          <w:rtl w:val="true"/>
        </w:rPr>
        <w:t xml:space="preserve">: </w:t>
      </w:r>
      <w:r>
        <w:rPr>
          <w:rtl w:val="true"/>
        </w:rPr>
        <w:t>حکم تکلیفی اقسام مختلف تلقیح مصنوعی</w:t>
      </w:r>
      <w:bookmarkEnd w:id="604"/>
    </w:p>
    <w:p>
      <w:pPr>
        <w:pStyle w:val="Heading6"/>
        <w:numPr>
          <w:ilvl w:val="5"/>
          <w:numId w:val="1"/>
        </w:numPr>
        <w:rPr/>
      </w:pPr>
      <w:bookmarkStart w:id="605" w:name="__RefHeading___Toc2531157_1468164448"/>
      <w:bookmarkStart w:id="606" w:name="_Toc234"/>
      <w:bookmarkEnd w:id="605"/>
      <w:r>
        <w:rPr>
          <w:rtl w:val="true"/>
        </w:rPr>
        <w:t>اشارة</w:t>
      </w:r>
      <w:bookmarkEnd w:id="606"/>
    </w:p>
    <w:p>
      <w:pPr>
        <w:pStyle w:val="BookText"/>
        <w:rPr/>
      </w:pPr>
      <w:r>
        <w:rPr>
          <w:rFonts w:ascii="IRNazanin" w:hAnsi="IRNazanin" w:eastAsia="IRNazanin"/>
          <w:color w:val="111111"/>
          <w:sz w:val="28"/>
          <w:sz w:val="28"/>
          <w:szCs w:val="28"/>
          <w:rtl w:val="true"/>
          <w:lang w:bidi="fa-IR"/>
        </w:rPr>
        <w:t>بحث اصلی ما پیرامون تلقیح مصنوعی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باروری مصنوعی، صور متعدّدی دارد که در این‌جا به برخی از آنها به صورت اجمالی اشاره می‌شود و در ادامۀ مباحث به‌طور جداگانه حکم آنها مورد بررسی قرار می‌گیرد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برای باروری مصنوعی، نطفۀ مرد را با استفاده از ابزار جدید در رحم همسر خودش قرار می‌دهند، و گاهی نطفۀ مرد و تخمک همسرش را خارج از رحم زن تلقیح و سپس به رحم وی منتقل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فرض، ممکن است جنین به دلیل ناتوانی رحم زن در نگهداری جنین، به رحم زن دیگر یا دستگاه منتقل شود</w:t>
      </w:r>
      <w:r>
        <w:rPr>
          <w:rFonts w:eastAsia="IRNazanin" w:cs="IRNazanin"/>
          <w:color w:val="111111"/>
          <w:sz w:val="28"/>
          <w:szCs w:val="28"/>
          <w:rtl w:val="true"/>
          <w:lang w:bidi="fa-IR"/>
        </w:rPr>
        <w:t>.</w:t>
      </w:r>
      <w:bookmarkStart w:id="607" w:name="pg13785_135109"/>
    </w:p>
    <w:p>
      <w:pPr>
        <w:pStyle w:val="BookText"/>
        <w:rPr/>
      </w:pPr>
      <w:bookmarkEnd w:id="607"/>
      <w:r>
        <w:rPr>
          <w:rFonts w:ascii="IRNazanin" w:hAnsi="IRNazanin" w:eastAsia="IRNazanin"/>
          <w:color w:val="111111"/>
          <w:sz w:val="28"/>
          <w:sz w:val="28"/>
          <w:szCs w:val="28"/>
          <w:rtl w:val="true"/>
          <w:lang w:bidi="fa-IR"/>
        </w:rPr>
        <w:t>صورت دیگر تلقیح مصنوعی، در فرضی است که زن به علّت نازایی، قابلیت تولید تخمک را ندارد و به همین سبب، نطفۀ مرد را با تخمک زن بیگانه در خارج تلقیح کرده و سپس در رحم همسر وی قرار می‌دهند و یا در همین فرض، جنین را در دستگاه نگهداری می‌کنند و یا به رحم زنی دیگر یا زن صاحب نطفه منتقل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دیگر، این است که مرد توانایی تولید اسپرم و نطفه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اسپرم مردی اجنبی را با کمک ابزار پزشکی در رحم زن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شوهر این زن توانایی باروری همسرش را ندارد و به همین دلیل، اسپرم مردی دیگر را در رحم وی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 فرض، ممکن است صاحب نطفه و اسپرم مشخّص باشد و ممکن است هویّت وی نامشخّص باشد و اسپرم از بانک اسپرم و منی اخذ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بانک اسپرم، این فرض مطرح می‌شود که گاهی یک مرد نطفۀ خود را به بانک منی می‌سپارد و پس از آن از دنیا می‌رود؛ پس این پرسش مطرح می‌شود که آیا می‌توان اسپرم این مرد را در ایام عدّۀ همسرش در رحم وی قرار داد؟ این بحث مبتنی بر این فرع فقهی است که آیا با فوت شوهر، زوجیّت از بین می‌رود و یا زوجیّت تا پایان ایام عدّه، باقی می‌ماند؟</w:t>
      </w:r>
    </w:p>
    <w:p>
      <w:pPr>
        <w:pStyle w:val="BookText"/>
        <w:rPr/>
      </w:pPr>
      <w:r>
        <w:rPr>
          <w:rFonts w:ascii="IRNazanin" w:hAnsi="IRNazanin" w:eastAsia="IRNazanin"/>
          <w:color w:val="111111"/>
          <w:sz w:val="28"/>
          <w:sz w:val="28"/>
          <w:szCs w:val="28"/>
          <w:rtl w:val="true"/>
          <w:lang w:bidi="fa-IR"/>
        </w:rPr>
        <w:t>در فرض دیگر، ممکن است نطفه یا تخمک از غیر انسان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صورت امکان، نطفه یا تخمک از حیوانات یا گیاهان گرفته شده و با تخمک یا نطفۀ انسان تلقیح یابد و در رحم زن صاحب تخمک یا زن دیگر، قرار داده شود و یا در دستگاه نگهداری گردد</w:t>
      </w:r>
      <w:r>
        <w:rPr>
          <w:rFonts w:eastAsia="IRNazanin" w:cs="IRNazanin"/>
          <w:color w:val="111111"/>
          <w:sz w:val="28"/>
          <w:szCs w:val="28"/>
          <w:rtl w:val="true"/>
          <w:lang w:bidi="fa-IR"/>
        </w:rPr>
        <w:t>.</w:t>
      </w:r>
    </w:p>
    <w:p>
      <w:pPr>
        <w:pStyle w:val="Heading6"/>
        <w:numPr>
          <w:ilvl w:val="5"/>
          <w:numId w:val="1"/>
        </w:numPr>
        <w:rPr/>
      </w:pPr>
      <w:bookmarkStart w:id="608" w:name="__RefHeading___Toc2531159_1468164448"/>
      <w:bookmarkStart w:id="609" w:name="_Toc235"/>
      <w:bookmarkEnd w:id="608"/>
      <w:r>
        <w:rPr>
          <w:rtl w:val="true"/>
        </w:rPr>
        <w:t>مقدّمه‌ای دربارۀ اصل اوّلی</w:t>
      </w:r>
      <w:bookmarkEnd w:id="609"/>
    </w:p>
    <w:p>
      <w:pPr>
        <w:pStyle w:val="BookText"/>
        <w:rPr/>
      </w:pPr>
      <w:r>
        <w:rPr>
          <w:rFonts w:ascii="IRNazanin" w:hAnsi="IRNazanin" w:eastAsia="IRNazanin"/>
          <w:color w:val="111111"/>
          <w:sz w:val="28"/>
          <w:sz w:val="28"/>
          <w:szCs w:val="28"/>
          <w:rtl w:val="true"/>
          <w:lang w:bidi="fa-IR"/>
        </w:rPr>
        <w:t>پیش از بررسی صور مختلف این مسئله، باید دربارۀ اصل و قاعدۀ اوّلی در این بحث گفتگو کنیم تا اگر در مباحث بعدی دلیلی بر جواز یا عدم جواز نیافتیم، به آن اصل رجوع نماییم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اوّلی در تمام شبهات حکمی تحریمی، برائت عقلی و</w:t>
      </w:r>
      <w:bookmarkStart w:id="610" w:name="pg13785_135110"/>
    </w:p>
    <w:p>
      <w:pPr>
        <w:pStyle w:val="BookText"/>
        <w:rPr/>
      </w:pPr>
      <w:bookmarkEnd w:id="610"/>
      <w:r>
        <w:rPr>
          <w:rFonts w:ascii="IRNazanin" w:hAnsi="IRNazanin" w:eastAsia="IRNazanin"/>
          <w:color w:val="111111"/>
          <w:sz w:val="28"/>
          <w:sz w:val="28"/>
          <w:szCs w:val="28"/>
          <w:rtl w:val="true"/>
          <w:lang w:bidi="fa-IR"/>
        </w:rPr>
        <w:t>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اگر دلیلی بر منع تلقیح مصنوعی وجود نداشته باشد، باید اصل برائت را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سوی دیگر، ممکن است اصل احتیاط را حاکم بدانیم که در این صورت، دیگر مجالی برای جریان اصل برائت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ابتدا دلایل اثبات‌کنندۀ اصل احتیاط را مورد بررسی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دلایل پذیرفته شود، اصل احتیاط مقدّم است و در غیر این صورت، اصل اوّلی در این مقام، اصل برائت خواهد بود</w:t>
      </w:r>
      <w:r>
        <w:rPr>
          <w:rFonts w:eastAsia="IRNazanin" w:cs="IRNazanin"/>
          <w:color w:val="111111"/>
          <w:sz w:val="28"/>
          <w:szCs w:val="28"/>
          <w:rtl w:val="true"/>
          <w:lang w:bidi="fa-IR"/>
        </w:rPr>
        <w:t>.</w:t>
      </w:r>
    </w:p>
    <w:p>
      <w:pPr>
        <w:pStyle w:val="Heading6"/>
        <w:numPr>
          <w:ilvl w:val="5"/>
          <w:numId w:val="1"/>
        </w:numPr>
        <w:rPr/>
      </w:pPr>
      <w:bookmarkStart w:id="611" w:name="__RefHeading___Toc2531161_1468164448"/>
      <w:bookmarkStart w:id="612" w:name="_Toc236"/>
      <w:bookmarkEnd w:id="611"/>
      <w:r>
        <w:rPr/>
        <w:t>1</w:t>
      </w:r>
      <w:r>
        <w:rPr>
          <w:rtl w:val="true"/>
        </w:rPr>
        <w:t xml:space="preserve">- </w:t>
      </w:r>
      <w:r>
        <w:rPr>
          <w:rtl w:val="true"/>
        </w:rPr>
        <w:t>ادلّۀ اثبات اصل احتیاط‌</w:t>
      </w:r>
      <w:bookmarkEnd w:id="612"/>
    </w:p>
    <w:p>
      <w:pPr>
        <w:pStyle w:val="BookText"/>
        <w:rPr/>
      </w:pPr>
      <w:r>
        <w:rPr>
          <w:rFonts w:ascii="IRNazanin" w:hAnsi="IRNazanin" w:eastAsia="IRNazanin"/>
          <w:color w:val="111111"/>
          <w:sz w:val="28"/>
          <w:sz w:val="28"/>
          <w:szCs w:val="28"/>
          <w:rtl w:val="true"/>
          <w:lang w:bidi="fa-IR"/>
        </w:rPr>
        <w:t>برای اثبات اصل احتیاط دو دلیل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مذاق شریعت</w:t>
      </w:r>
    </w:p>
    <w:p>
      <w:pPr>
        <w:pStyle w:val="BookText"/>
        <w:rPr/>
      </w:pPr>
      <w:r>
        <w:rPr>
          <w:rFonts w:ascii="IRNazanin" w:hAnsi="IRNazanin" w:eastAsia="IRNazanin"/>
          <w:color w:val="111111"/>
          <w:sz w:val="28"/>
          <w:sz w:val="28"/>
          <w:szCs w:val="28"/>
          <w:rtl w:val="true"/>
          <w:lang w:bidi="fa-IR"/>
        </w:rPr>
        <w:t>گاهی در کلمات برخی از فقها چنین تعبیر می‌شود که در باب نکاح، انساب و فروج، مذاق شریعت بر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مسئلۀ تلقیح مصنوعی باید اصل احتیاط را مقدّم بدانیم</w:t>
      </w:r>
      <w:r>
        <w:rPr>
          <w:rFonts w:eastAsia="IRNazanin" w:cs="IRNazanin"/>
          <w:color w:val="111111"/>
          <w:sz w:val="28"/>
          <w:szCs w:val="28"/>
          <w:rtl w:val="true"/>
          <w:lang w:bidi="fa-IR"/>
        </w:rPr>
        <w:t>.</w:t>
      </w:r>
      <w:r>
        <w:rPr>
          <w:rStyle w:val="FootnoteAnchor"/>
          <w:rtl w:val="true"/>
        </w:rPr>
        <w:footnoteReference w:id="447"/>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در پاسخ به این دیدگاه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جای فقه، رعایت احتیاط رجحان دارد؛ لیکن در این ابواب، سفارش بیشتری به احتیاط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این دلیل اجمال دارد و نمی‌توان فهمید مقصود، لزوم احتیاط است یا رجحان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معلوم نیست که مذاق شریعت بر لزوم احتیاط است یا بر رجحان آن، که البتّه با جستجو در کلمات فقها می‌توان رجحان احتیاط را برداشت نمود</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علاوه، مذاق شریعت، مستند به نصوص است و دلیلی جداگانه به شمار نمی‌رود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دومین دلیل برای اثبات اصل احتیاط، روایاتی است که در این زمینه وارد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ثابت شود که شارع در این روایات، احتیاط را به وجوب مولوی واجب دانسته است، آن‌گاه اصل احتیاط در این مقام جاری خواهد شد؛ امّا اگر با استفاده از روایات به وجوب ارشادی و یا استحباب احتیاط برسیم، آن‌گاه اصل اوّلی، برائت عقلی و شرعی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معتبرۀ شعیب بن حدّاد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مَوَالِیکَ یُقْرِئُکَ السَّلَامَ وَقَدْ أَرَادَ أَنْ یَتَزَوَّجَ امْرَأَةً وَقَدْ وَافَقَتْهُ وَأَعْجَبَهُ بَعْضُ شَأْنِهَا وَقَدْ کَانَ لَهَا زَوْجٌ فَطَلَّقَهَا عَلَی غَیْرِ السُّنَّةِ وَقَدْ کَرِهَ أَنْ یُقْدِمَ عَلَی تَزْوِیجِهَا حَتَّی یَسْتَأْمِرَکَ فَتَکُونَ أَنْتَ تَأْمُرُهُ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الْفَرْجُ وَأَمْرُ الْفَرْجِ شَدِیدٌ وَمِنْهُ یَکُونُ الْوَلَدُ وَنَحْنُ نَحْتَاطُ فَلَا یَتَزَوَّجْهَا؛</w:t>
      </w:r>
      <w:r>
        <w:rPr>
          <w:rStyle w:val="FootnoteAnchor"/>
          <w:rtl w:val="true"/>
        </w:rPr>
        <w:footnoteReference w:id="449"/>
      </w:r>
      <w:r>
        <w:rPr>
          <w:rFonts w:ascii="IRNazanin" w:hAnsi="IRNazanin" w:eastAsia="IRNazanin"/>
          <w:color w:val="111111"/>
          <w:sz w:val="28"/>
          <w:sz w:val="28"/>
          <w:szCs w:val="28"/>
          <w:rtl w:val="true"/>
          <w:lang w:bidi="fa-IR"/>
        </w:rPr>
        <w:t>شعیب حدّاد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 مردی از دوستداران شما به شما سلام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با زنی ازدواج کند که با وی موافقت کرده است و او برخی از ویژگی‌های آن زن را دوست دارد، امّا آن زن قبلاً شوهر داشته و آن شوهر، او را به غیر سنّت طلاق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نیز کراهت دارد با آن زن ازدواج کند مگر این‌که از شما اجازه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مربوط به فرج است و حکم فرج شدید و مهم است و از آن فرزند پدید می‌آید و ما در آن احتیاط می‌کنیم، پس با او ازدواج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استدلال به این روایت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امام علیه السلام از احتیاط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الفرج شدیدٌ و منه یکون الولد و نحن نحتاط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احتیاط به وجوب شرعیِ مولوی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این سخن امام علیه السلام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اوّلی در همۀ شبهات این باب، اصل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نظر می‌رسد، چنین معنایی از روایت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سائل که از موالیان امام صادق علیه السلام است، از حکم این مسئله سؤال نمی‌کند و به نظر می‌رسد او از صحّت ازدواج با آن زن اطّلاع داشته است؛ امّا به خاطر ناراحتی ذهن خود و برای رهایی از شکّ خود، با امام علیه السلام مشورت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امروزه نیز رایج است؛ یعنی گاهی حکم یک مسئله از فقیه پرسیده می‌شود و گاهی نسبت به مسئله‌ای خاص با فقیه مشورت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این مطلب، باید به این مسئله اشاره کرد که به نظر فقهای شیعه، اگر مرد سنّی زن خود را بر طبق مذهب خود طلاق دهد، بنا بر قاعدۀ الزام این طلاق صحیح است و زن پس از انقضای عدّه، می‌تواند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هم با وجود دانستن این قاعده از آن‌جا که فردی محتاط بوده است، از امام علیه السلام مشورت می‌گیرد و ایشان در جواب او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فرج شدید است و ما احتیاط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همین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الفرج شدیدٌ و منه یکون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قرینۀ خوبی است که ثابت می‌کند حکم به احتیاط، ارشادی است، نه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نحتاط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 در مقام عمل احتیاط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نیز قرینۀ روشنی است بر ارشادی بودن حکم احتیاط؛ زیرا امام علیه السلام به صورت صریح دستور به احتیاط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باید به دو مطلب در مورد این روایت اشاره کنیم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که احتیاط برای امامان معصوم علیهم السلام معنا ندارد؛ زیرا احتیاط برای افراد جاهل است و ایشان به همۀ امور عالم و آگاه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سخن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ایشان می‌گویند ما احتیاط می‌کنیم، احتیاط در یک امر مجهول نیست؛ بلکه به معنای مطلوب بودن این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نیز قرینه‌ای</w:t>
      </w:r>
    </w:p>
    <w:p>
      <w:pPr>
        <w:pStyle w:val="BookText"/>
        <w:rPr/>
      </w:pPr>
      <w:r>
        <w:rPr>
          <w:rFonts w:ascii="IRNazanin" w:hAnsi="IRNazanin" w:eastAsia="IRNazanin"/>
          <w:color w:val="111111"/>
          <w:sz w:val="28"/>
          <w:sz w:val="28"/>
          <w:szCs w:val="28"/>
          <w:rtl w:val="true"/>
          <w:lang w:bidi="fa-IR"/>
        </w:rPr>
        <w:t>است بر ارشادی بودن حکم به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سؤال در مورد این بود که مردی همسرش را به شیوۀ اهل سنّت طلاق داده است، امام علیه السلام از روی تقیّه این پاسخ را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سخن صحیح نیست و در این روایت به هیچ وجه احتمال تقیّه وجود ندارد؛ زیرا تقیّه اقتضا می‌کند که امام علیه السلام بگویند این طلاق صحیح است و می‌توانی با آن زن ازدواج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اهل سنّت از قاعدۀ الزام مطّلع‌اند و امکان تقیّه در این‌جا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صحیحۀ علاء بن سیابه</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بِإِسْنَادِهِ عَنِ الْعَلَاءِ بْنِ سَیَابَةَ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امْرَأَةٍ وَکَّلَتْ رَجُلاً بِأَنْ یُزَوِّجَهَا مِنْ رَجُلٍ فَقَبِلَ الْوَکَالَةَ فَأَشْهَدَتْ لَهُ بِذَلِکَ فَذَهَبَ الْوَکِیلُ فَزَوَّجَهَا ثُمَّ أنّها أَنْکَرَتْ ذَلِکَ الْوَکِیلَ وَزَعَمَتْ أنّها عَزَلَتْهُ عَنِ الْوَکَالَةِ فَأَقَامَتْ شَاهِدَیْنِ أنّها عَزَلَتْهُ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یَقُولُ مَنْ قِبَلکُمْ فِی ذَلِکَ؟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یُنْظَرُ فِی ذَلِکَ فَإِنْ کَانَتْ عَزَلَتْهُ قَبْلَ أَنْ یُزَوِّجَ فَالْوَکَالَةُ بِاطِلَةٌ وَالتَّزْوِیجُ بَاطِلٌ وَإِنْ عَزَلَتْهُ وَقَدْ زَوَّجَهَا فَالتَّزْوِیجُ ثَابِتٌ عَلَی مَا زَوَّجَ الْوَکِیلُ وَعَلَی مَا اتَّفَقَ مَعَهَا مِنَ الْوَکَالَةِ إِذَا لَمْ یَتَعَدَّ شَیْئاً مِمَّا أَمَرَتْ بِهِ وَاشْتَرَطَتْ عَلَیْهِ فِی الْوَکَالَةِ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یَعْزِلُونَ الْوَکِیلَ عَنْ وَکَالَتِهَا وَلَمْ تُعْلِمْهُ بِالْعَزْلِ؟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یَزْعُمُونَ أنّها لَوْ وَکَّلَتْ رَجُلاً وَأَشْهَدَتْ فِی الْمَلَإِ وَقَالَتْ فِی الْخَلَإِ اشْهَدُوا أَنِّی قَدْ عَزَلْتُهُ أَبْطَلَتْ وَکَالَتَهُ بِلَا أَنْ یَعْلَمَ فِی الْعَزْلِ وَیَنْقُضُونَ جَمِیعَ مَا فَعَلَ الْوَکِیلُ فِی النِّکَاحِ خَاصَّةً وَفِی غَیْرِهِ لَا یُبْطِلُونَ الْوَکَالَةَ إِلاَّ أَنْ یَعْلَمَ الْوَکِیلُ بِالْعَزْلِ وَیَقُولُونَ الْمَالُ مِنْهُ عِوَضٌ لِصَاحِبِهِ وَالْفَرْجُ لَیْسَ مِنْهُ عِوَضٌ إِذَا وَقَعَ مِنْهُ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أَجْوَرَ هَذَا الْحُکْمَ وَأَفْسَدَهُ، إِنَّ النِّکَاحَ أَحْرَی وَأَحْرَی أَنْ یُحْتَاطَ فِیهِ وَهُوَ</w:t>
      </w:r>
    </w:p>
    <w:p>
      <w:pPr>
        <w:pStyle w:val="BookText"/>
        <w:rPr/>
      </w:pPr>
      <w:r>
        <w:rPr>
          <w:rFonts w:ascii="Amiri" w:hAnsi="Amiri" w:eastAsia="Amiri" w:cs="Amiri"/>
          <w:color w:val="111111"/>
          <w:sz w:val="28"/>
          <w:sz w:val="28"/>
          <w:szCs w:val="28"/>
          <w:rtl w:val="true"/>
          <w:lang w:bidi="ar-SA"/>
        </w:rPr>
        <w:t>فَرْجٌ وَمِنْهُ یَکُونُ الْوَلَد؛</w:t>
      </w:r>
      <w:r>
        <w:rPr>
          <w:rStyle w:val="FootnoteAnchor"/>
          <w:rtl w:val="true"/>
        </w:rPr>
        <w:footnoteReference w:id="450"/>
      </w:r>
      <w:r>
        <w:rPr>
          <w:rFonts w:ascii="IRNazanin" w:hAnsi="IRNazanin" w:eastAsia="IRNazanin"/>
          <w:color w:val="111111"/>
          <w:sz w:val="28"/>
          <w:sz w:val="28"/>
          <w:szCs w:val="28"/>
          <w:rtl w:val="true"/>
          <w:lang w:bidi="fa-IR"/>
        </w:rPr>
        <w:t>علاء بن سیابه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کردند، زنی به مردی وکالت می‌دهد که او را به ازدواج مردی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هم بر طبق مقتضای وکالت عمل کرده و این زن را تزویج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بعداً این وکیل را از وکالت عزل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هم در زمانی که وکیل را به وکالت گرفته و هم در زمانی که وی را عزل کرده، عدّه‌ای را شاهد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امام علیه السلام سؤال می‌کنند که آیا این ازدواج درست است؟ امام علیه السلام ابتدا از سائل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اهل سنّت در این مورد چه می‌گویند؟ سائل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 اگر وکیل را قبل از آن‌که تزویج کند از وکالت عزل کرده، وکالت و تزویج باطل است و اگر بعد از تزویج عزل کند، تزویج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دوباره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جایی که زن وکیل را از وکالت عزل کرده امّا خبر عزل به گوش وکیل نرسیده و تزویج هم کرده است چه می‌گویند؟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معتقدند اگر زن مردی را وکیل کرد و بر این وکالت شاهد گرفت و بعد وکیل را عزل کرد و بر این کار نیز شاهد گرفت، به مجرّد این‌که زن گفت من وکیل را عزل کردم، وکالتش باطل است، حتّی اگر خبر عزل به وکیل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وکیل بعد از عزل تزویج کرده باشد، تزویج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را تنها در باب نکاح می‌گویند و در غیر نکاح وکالت را باطل نمی‌دانند، مگر این‌که وکیل علم به عزل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دو در این است که گفته‌اند در بیع مسئلۀ مال است؛ یعنی اگر مالی از دست رفته در مقابل مالی به دست آورده است، ولی در باب فرج عوض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چه حکم ظالمانه و فاسدی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سزاوارتر است که در آن احتیاط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نکاح، بحث فرج مطرح است و از آن فرزند به وجود می‌آید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بیان شاهد استدلال در این روایت، به این نکته اشاره می‌کنیم که ائمّۀ</w:t>
      </w:r>
    </w:p>
    <w:p>
      <w:pPr>
        <w:pStyle w:val="BookText"/>
        <w:rPr/>
      </w:pPr>
      <w:r>
        <w:rPr>
          <w:rFonts w:ascii="IRNazanin" w:hAnsi="IRNazanin" w:eastAsia="IRNazanin"/>
          <w:color w:val="111111"/>
          <w:sz w:val="28"/>
          <w:sz w:val="28"/>
          <w:szCs w:val="28"/>
          <w:rtl w:val="true"/>
          <w:lang w:bidi="fa-IR"/>
        </w:rPr>
        <w:t>اطهار علیهم السلام در بسیاری از روایات، به صورت صریح نسبت به فتاوای فقهای اهل سنّت، موضع گرفته و آنها را به نفهمیدن قرآن و سنّت پیامبر صلی الله علیه و آله محکوم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امام علیه السلام در این روایت نیز فتوای آنها را ظالمانه و فاسد می‌داند؛ امّا برای استدلال به این روایت باید دید آیا از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النکاح أحری أن یحتاط فیه وهو فرجٌ منه یکون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استفاده کرد که احتیاط وجوب شرعیِ مولوی دارد؟</w:t>
      </w:r>
    </w:p>
    <w:p>
      <w:pPr>
        <w:pStyle w:val="BookText"/>
        <w:rPr/>
      </w:pPr>
      <w:r>
        <w:rPr>
          <w:rFonts w:ascii="IRNazanin" w:hAnsi="IRNazanin" w:eastAsia="IRNazanin"/>
          <w:color w:val="111111"/>
          <w:sz w:val="28"/>
          <w:sz w:val="28"/>
          <w:szCs w:val="28"/>
          <w:rtl w:val="true"/>
          <w:lang w:bidi="fa-IR"/>
        </w:rPr>
        <w:t xml:space="preserve">به نظر می‌رسد،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أحری أن یحتاط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به این حکم عقلی است که چون اثری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توالد و افزایش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نکاح مترتّب می‌شود، احتیاط در این‌جا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بیش از آن مقداری که در بحث معاملات احتیاط صورت می‌گیرد، باید در مسئلۀ نکاح احتیاط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بحث می‌توان به این موضوع اشاره کرد که اگر وکیلِ زن، قبل از اطّلاع از عزل خود از وکالت، تزویج را انجام دهد، دو حکم برای آن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واقع، تزویج صحیح بوده و زن بدون توجّه به آن با مرد دیگری ازدواج کند، ازدواج دوم مصداق ازدواج ذات البعل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مسئلۀ فرج و فرزند است، احتیاط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وکالت باطل شده است، آن ازدواج، صحیح نیست و دیگر بحث ازدواج ذات البعل مطرح نمی‌شود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دیگر، این است که در نکاح امر دایر مدار وجوب و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فرض مذکور در روایت، این زن همسر آن مرد شمرده شود، نفقه بر او واجب است و اگر همسر او نباشد، وطی زن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توضیحات، احتیاط در این مسئله بدین صورت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وکیل، عزل شده باشد و عقد نکاح در واقع باطل باشد، آن را به حسب ظاهر صحیح بدانیم و این نکاح را عقدی فضولی به شمار آوریم که نیاز به اجازه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با اجازۀ زن مشکلی پیش نمی‌آید و عقد به صورت صحیح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کار صورت نگیرد و بنا به گفتۀ علمای اهل‌سنّت به دلیل عزل وکیل، عقد را به حسب ظاهر باطل بدانیم، آن‌گاه اگر عقد در</w:t>
      </w:r>
    </w:p>
    <w:p>
      <w:pPr>
        <w:pStyle w:val="BookText"/>
        <w:rPr/>
      </w:pPr>
      <w:r>
        <w:rPr>
          <w:rFonts w:ascii="IRNazanin" w:hAnsi="IRNazanin" w:eastAsia="IRNazanin"/>
          <w:color w:val="111111"/>
          <w:sz w:val="28"/>
          <w:sz w:val="28"/>
          <w:szCs w:val="28"/>
          <w:rtl w:val="true"/>
          <w:lang w:bidi="fa-IR"/>
        </w:rPr>
        <w:t>عالم واقع به‌طور صحیح واقع شده باشد، مفاسد بسیاری بر آن مترتّب خواهد بود و در صورت ازدواج مجدّد زن، مرد جدید در واقع شوهر آن زن محسوب نمی‌شود و زن هنوز بر عقد مرد اوّل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نیز ما را به این حکم عقلی ارشاد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روایت نیز وجوب شرعی و مولویِ احتیاط را ثابت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معتبرۀ أبی بصیر</w:t>
      </w:r>
    </w:p>
    <w:p>
      <w:pPr>
        <w:pStyle w:val="BookText"/>
        <w:rPr/>
      </w:pP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رَجُلٍ تَزَوَّجَ امْرَأَةً فَقَالَتْ أَنَا حُبْلَی وَأَنَا أُخْتُکَ مِنَ الرَّضَاعَةِ وَأَنَا عَلَی غَیْرِ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دَخَلَ بِهَا وَوَاقَعَهَا فَلَا یُصَدِّقْهَا وَإِنْ کَانَ لَمْ یَدْخُلْ بِهَا وَلَمْ یُوَاقِعْهَا فَلْیَخْتَبِرْ</w:t>
      </w:r>
      <w:r>
        <w:rPr>
          <w:rStyle w:val="FootnoteAnchor"/>
          <w:rtl w:val="true"/>
        </w:rPr>
        <w:footnoteReference w:id="451"/>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لْیَسْأَلْ إِذَا لَمْ یَکُنْ عَرَفَهَا قَبْلَ ذَلِکَ؛</w:t>
      </w:r>
      <w:r>
        <w:rPr>
          <w:rStyle w:val="FootnoteAnchor"/>
          <w:rtl w:val="true"/>
        </w:rPr>
        <w:footnoteReference w:id="452"/>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مردی پرسیدم که با زنی ازدواج می‌کند، ولی زن به مرد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باردار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هنوز در عدّه شوهر سابقش است و تا وضع حمل نکند از عدّه خارج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ادّعا می‌کند که من خواهر رضاعی تو و یا در عدّۀ دیگری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ازدواج صحیح است؟ حضرت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او نزدیکی و مجامعت کرده و زن پس از مواقعه چنین ادّعایی نمود، او را تصدیق نکند و اگر با او نزدیکی نکرده، باید تحقیق کند و اگر او را در گذشته نمی‌شناخته، در موردش سؤال نماید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این است که آیا با توجّه به این روایت،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مربوط به نکاح، احتیاط واجب است؟ آیا اگر انسان شک کند زنی که به همسری برگزیده، خواهر رضاعی او و یا در عدّۀ مرد دیگری است، مکلّف به احتیاط است؟ آیا با توجّه به این‌که استصحاب نزد ما از جملۀ ادلّۀ معتبر است و در موارد مذکور که شک در</w:t>
      </w:r>
    </w:p>
    <w:p>
      <w:pPr>
        <w:pStyle w:val="BookText"/>
        <w:rPr/>
      </w:pPr>
      <w:r>
        <w:rPr>
          <w:rFonts w:ascii="IRNazanin" w:hAnsi="IRNazanin" w:eastAsia="IRNazanin"/>
          <w:color w:val="111111"/>
          <w:sz w:val="28"/>
          <w:sz w:val="28"/>
          <w:szCs w:val="28"/>
          <w:rtl w:val="true"/>
          <w:lang w:bidi="fa-IR"/>
        </w:rPr>
        <w:t>موضوع وجود دارد و استصحاب عدم آن جاری می‌شود،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دلالت بر وجوب احتیاط دارد و امام علیه السلام بر خلاف حکمی که از استصحاب استفاده می‌شود، دستور به احتیاط داده‌اند؟ به این بیان که وقتی زن می‌گوید من حامله‌ام، با توجّه به قواعد، می‌توانیم استصحاب عدم را جاری و حکم به حامله نبودن زن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جایی که زن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خواهر رضاعی تو هستم، استصحاب عدم، حکم می‌کند که خواهر رضاعی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آن‌که در چنین مواردی استصحاب، دلیلی معتبر است، امام علیه السلام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باید احتیاط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تذکّر چند نکته الزامی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ادّعاهای زن از جمله اموری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یعرف إلّامن 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اموری هستند که فقط خود زن می‌تواند آنها را تشخیص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تشخیص این‌که زن، خواهر رضاعی مرد باشد، یا در عدّه دیگری و یا حامله باشد، در وهلۀ نخست با خود زن است؛ امّا در این گونه موارد امام علیه السلام در یک صورت، حکم به عدم تصدیق زن و در صورت دیگر حکم به احتیاط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ادّعای زن، یک حکم ظاهری محقّق می‌شود و بنا بر اصل استصحاب، لازم می‌آید که از این ظاهر دست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موارد تعارض ظاهر و اصل است؟</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تنها شامل مواردی می‌شود که زن چنینی ادّعایی بکند و مواردی که خود مرد شک می‌کند و زن چنین ادّعایی ندارد را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روایت، تنها شامل مواردی می‌شود که منشأ شک، ادّعای زن باشد و مواردی که مرد شک کرده است را شامل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تفاوتی میان قبل و بعد از دخول وجود دارد که اگر زن قبل از دخول چنین ادّعایی کند، احتیاط لازم است و اگر ادّعای وی بعد از دخول باشد، احتیاط لازم نیست؟ آیا پس از دخول، عنوان خواهر رضاعی بودن منتفی می‌شود؟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بیان این نکات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این روایت با اشکال مواجه است و این روایت دلالت بر وجوب ابتدایی احتیاط ندارد؛ یعنی مقصود روایت این نیست که در موارد شکّ بدوی، احتیاط واجب است؛ بلکه تنها مواردی را شامل می‌شود که منشأ شک، ادّعای زن باشد، در حالی که ادّعای شما وجوب شرعی احتیاط در موارد شکّ بدوی است، نه جایی که منشأ شک، چیز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چنین استفاده می‌شود که زن ادّعایی را مطرح کرده است که فرد دیگری از آن آگاهی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این ادّعا محلّ جریان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العقلاء علی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شیئاً ملک الإقرار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ادّعای زن نیز ادّعایی است که از نظر عقلایی در یک فرض بر آن ترتیب اثر داده می‌شود و در یک فرض، ترتیب اثر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دخول صورت گرفته است، ترتیب اثر ندهید و در جایی که دخول نشده است، احتیاط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نیز وجوب شرعی و مولوی احتیاط را به نحو ابتدایی ثابت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مسعدة بن زیاد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مَسْعَدَةَ بْنِ زِیَادٍ عَنْ جَعْفَرٍ عَنْ آبَائِهِ علیهم السلام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لَاتُجَامِعُوا فِی النِّکَاحِ عَلَی الشُّبْهَةِ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قِفُوا عِنْدَ الشُّبْهَةِ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یَقُولُ إِذَا بَلَغَکَ أَنَّکَ قَدْ رَضَعْتَ مِنْ لَبَنِهَا وَأنّها لَکَ مَحْرَمٌ وَمَا أَشْبَهَ ذَلِکَ فَإِنَّ الْوُقُوفَ عِنْدَ الشُّبْهَةِ خَیْرٌ مِنَ الِاقْتِحَامِ فِی الْهَلَکَةِ؛</w:t>
      </w:r>
      <w:r>
        <w:rPr>
          <w:rStyle w:val="FootnoteAnchor"/>
          <w:rtl w:val="true"/>
        </w:rPr>
        <w:footnoteReference w:id="453"/>
      </w:r>
      <w:r>
        <w:rPr>
          <w:rFonts w:ascii="IRNazanin" w:hAnsi="IRNazanin" w:eastAsia="IRNazanin"/>
          <w:color w:val="111111"/>
          <w:sz w:val="28"/>
          <w:sz w:val="28"/>
          <w:szCs w:val="28"/>
          <w:rtl w:val="true"/>
          <w:lang w:bidi="fa-IR"/>
        </w:rPr>
        <w:t>مسعدة بن زیاد از امام صادق علیه السلام روایت می‌کند که ایشان از پدرانشان از پیامبر اکرم صلی الله علیه و آله روایت می‌کنند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نکاحی که شبهه دارد نروید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نکاح بر شبهه، مجامعت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شبهات توقّف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زمان که به تو خبر بدهند که تو از شیر او خورده‌ای و او بر تو حرام است و مانند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توقّف هنگام وجود شبهه از</w:t>
      </w:r>
      <w:bookmarkStart w:id="613" w:name="pg13785_135119"/>
    </w:p>
    <w:p>
      <w:pPr>
        <w:pStyle w:val="BookText"/>
        <w:rPr/>
      </w:pPr>
      <w:bookmarkEnd w:id="613"/>
      <w:r>
        <w:rPr>
          <w:rFonts w:ascii="IRNazanin" w:hAnsi="IRNazanin" w:eastAsia="IRNazanin"/>
          <w:color w:val="111111"/>
          <w:sz w:val="28"/>
          <w:sz w:val="28"/>
          <w:szCs w:val="28"/>
          <w:rtl w:val="true"/>
          <w:lang w:bidi="fa-IR"/>
        </w:rPr>
        <w:t>افتادن در هلاکت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روایت نیز وجوب احتیاط به نحو ابتدایی برداشت نمی‌شود؛ زیرا هرچند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قفوا عند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دارد و شامل هرگونه شبهه‌ای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 شکّ بدوی و هم شکّی که ناشی از خبر و ادّعای دیگران است را در بر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ادامه مراد از شبهه مشخّص شده و این عبارت از اطلاق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شما خبر داد که فرزند رضاعی این زن هستی، آن‌گاه باید احتیاط شود و اگر خود مرد بدون وجود چنین خبری شک کند، این فرض مشمول حکم روایت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روایت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قفوا عند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می‌رسید، با توجّه به اطلاق شبهه، وجوب احتیاط ثابت می‌شد؛ امّا با توجّه به ادامۀ روایت که شبهه را معنا کرده است، نمی‌توان مدّعا را ثابت نمود</w:t>
      </w:r>
      <w:r>
        <w:rPr>
          <w:rFonts w:eastAsia="IRNazanin" w:cs="IRNazanin"/>
          <w:color w:val="111111"/>
          <w:sz w:val="28"/>
          <w:szCs w:val="28"/>
          <w:rtl w:val="true"/>
          <w:lang w:bidi="fa-IR"/>
        </w:rPr>
        <w:t>.</w:t>
      </w:r>
    </w:p>
    <w:p>
      <w:pPr>
        <w:pStyle w:val="Heading6"/>
        <w:numPr>
          <w:ilvl w:val="5"/>
          <w:numId w:val="1"/>
        </w:numPr>
        <w:rPr/>
      </w:pPr>
      <w:bookmarkStart w:id="614" w:name="__RefHeading___Toc2531163_1468164448"/>
      <w:bookmarkStart w:id="615" w:name="_Toc237"/>
      <w:bookmarkEnd w:id="614"/>
      <w:r>
        <w:rPr/>
        <w:t>2</w:t>
      </w:r>
      <w:r>
        <w:rPr>
          <w:rtl w:val="true"/>
        </w:rPr>
        <w:t xml:space="preserve">- </w:t>
      </w:r>
      <w:r>
        <w:rPr>
          <w:rtl w:val="true"/>
        </w:rPr>
        <w:t>نتیجه‌گیری و دیدگاه برگزیده</w:t>
      </w:r>
      <w:bookmarkEnd w:id="615"/>
    </w:p>
    <w:p>
      <w:pPr>
        <w:pStyle w:val="BookText"/>
        <w:rPr/>
      </w:pPr>
      <w:r>
        <w:rPr>
          <w:rFonts w:ascii="IRNazanin" w:hAnsi="IRNazanin" w:eastAsia="IRNazanin"/>
          <w:color w:val="111111"/>
          <w:sz w:val="28"/>
          <w:sz w:val="28"/>
          <w:szCs w:val="28"/>
          <w:rtl w:val="true"/>
          <w:lang w:bidi="fa-IR"/>
        </w:rPr>
        <w:t>با توجّه به مطالب بیان شده، می‌توان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احتیاط عقلاً و شرعاً مناسب است، امّا دلیلی بر وجوب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اصل اوّلی در این مسئله، اصل برائت عقلی و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فروض و صورت‌های گوناگون مسئلۀ تلقیح مصنوعی، اگر دلیلی بر حرمت یافت نشود، اصل برائت جاری خواهد شد</w:t>
      </w:r>
      <w:r>
        <w:rPr>
          <w:rFonts w:eastAsia="IRNazanin" w:cs="IRNazanin"/>
          <w:color w:val="111111"/>
          <w:sz w:val="28"/>
          <w:szCs w:val="28"/>
          <w:rtl w:val="true"/>
          <w:lang w:bidi="fa-IR"/>
        </w:rPr>
        <w:t>.</w:t>
      </w:r>
    </w:p>
    <w:p>
      <w:pPr>
        <w:pStyle w:val="Heading6"/>
        <w:numPr>
          <w:ilvl w:val="5"/>
          <w:numId w:val="1"/>
        </w:numPr>
        <w:rPr/>
      </w:pPr>
      <w:bookmarkStart w:id="616" w:name="__RefHeading___Toc2531165_1468164448"/>
      <w:bookmarkStart w:id="617" w:name="_Toc238"/>
      <w:bookmarkEnd w:id="616"/>
      <w:r>
        <w:rPr>
          <w:rtl w:val="true"/>
        </w:rPr>
        <w:t>الف</w:t>
      </w:r>
      <w:r>
        <w:rPr>
          <w:rtl w:val="true"/>
        </w:rPr>
        <w:t xml:space="preserve">) </w:t>
      </w:r>
      <w:r>
        <w:rPr>
          <w:rtl w:val="true"/>
        </w:rPr>
        <w:t>صورت اوّل تلقیح مصنوعی</w:t>
      </w:r>
      <w:bookmarkEnd w:id="617"/>
    </w:p>
    <w:p>
      <w:pPr>
        <w:pStyle w:val="BookText"/>
        <w:rPr/>
      </w:pPr>
      <w:r>
        <w:rPr>
          <w:rFonts w:ascii="IRNazanin" w:hAnsi="IRNazanin" w:eastAsia="IRNazanin"/>
          <w:color w:val="111111"/>
          <w:sz w:val="28"/>
          <w:sz w:val="28"/>
          <w:szCs w:val="28"/>
          <w:rtl w:val="true"/>
          <w:lang w:bidi="fa-IR"/>
        </w:rPr>
        <w:t>اوّلین فرضی که مورد بررسی قرار می‌دهیم، این است که نطفۀ مرد با کمک ابزار پزشکی پیشرفته در رحم همسرش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این فرض در صورتی است که به دلیل مشکلات نازایی زن یا مرد، امکان تلقیح از راه طبیعی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سؤال این است که آیا از نظر شرع، این شکل از تلقیح جایز است یا خیر؟</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فرض، با توجّه به این‌که بین زن و مرد رابطۀ زوجیّت برقرار است، دلیلی بر حرمت وجود ندارد؛ زیرا در هیچ یک از آیات و روایات گفته نشده است که بارور</w:t>
      </w:r>
    </w:p>
    <w:p>
      <w:pPr>
        <w:pStyle w:val="BookText"/>
        <w:rPr/>
      </w:pPr>
      <w:r>
        <w:rPr>
          <w:rFonts w:ascii="IRNazanin" w:hAnsi="IRNazanin" w:eastAsia="IRNazanin"/>
          <w:color w:val="111111"/>
          <w:sz w:val="28"/>
          <w:sz w:val="28"/>
          <w:szCs w:val="28"/>
          <w:rtl w:val="true"/>
          <w:lang w:bidi="fa-IR"/>
        </w:rPr>
        <w:t>ساختن زن باید تنها از راه طبیعی شکل گیرد و تلقیح در غیر این فرض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می‌توان اصل برائت را جاری ساخت و در مورد این صورت از تلقیح مصنوعی، حکم به جواز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عمل به خودی خود جایز است و منع شرعی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اشکالی که مطرح می‌شود این است که این عمل مستلزم نظر و لمس است؛ یعنی پزشک ناچار است برای قرار دادن نطفۀ مرد در رحم همسرش، زن را لمس کرده و به او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آیا با توجّه به این اشکال، تلقیح مصنوعی در فرض یاد شده جایز است یا خیر؟</w:t>
      </w:r>
    </w:p>
    <w:p>
      <w:pPr>
        <w:pStyle w:val="BookText"/>
        <w:rPr/>
      </w:pPr>
      <w:r>
        <w:rPr>
          <w:rFonts w:ascii="IRNazanin" w:hAnsi="IRNazanin" w:eastAsia="IRNazanin"/>
          <w:color w:val="111111"/>
          <w:sz w:val="28"/>
          <w:sz w:val="28"/>
          <w:szCs w:val="28"/>
          <w:rtl w:val="true"/>
          <w:lang w:bidi="fa-IR"/>
        </w:rPr>
        <w:t>پیش از پاسخ به این پرسش، طرح این نکته ضروری است که آیا ادلّۀ حرمت نظر و لمس اجنبیّه، فقط نگاه کردن به ظاهر جسم زن مانند مو و بدن را در بر می‌گیرد، یا این‌که باطن جسم او را نیز شامل می‌شود؟ فرض کنید پزشک مردی بخواهد شکم زنی را جراحی کند و به هیچ وجه به ظاهر بدن او تماس یا نگاه نداشته باشد، بلکه زنی دیگر شکم او را شکافته و سپس پزشک مرد مثلاً روده یا قلب او را جرّاحی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آیا باز هم نگاه کردن به درون بدن زن، یا احیاناً لمس قلب یا روده آن زن، حرام است؟</w:t>
      </w:r>
    </w:p>
    <w:p>
      <w:pPr>
        <w:pStyle w:val="BookText"/>
        <w:rPr/>
      </w:pPr>
      <w:r>
        <w:rPr>
          <w:rFonts w:ascii="Amiri" w:hAnsi="Amiri" w:eastAsia="Amiri" w:cs="Amiri"/>
          <w:color w:val="111111"/>
          <w:sz w:val="28"/>
          <w:sz w:val="28"/>
          <w:szCs w:val="28"/>
          <w:rtl w:val="true"/>
          <w:lang w:bidi="ar-SA"/>
        </w:rPr>
        <w:t>جواب این سؤال به بررسی ادلّۀ حرمت نظر و لمس، مانند آیۀ شریفۀ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لِلْمُؤْمِنِینَ یَغُضُّوا مِنْ أَبْصارِهِمْ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نیاز دارد؛ بدین منظور که آیا از این ادلّه، تنها حرمت نظر به ظاهر را می‌توان استفاده کرد یا خیر؟</w:t>
      </w:r>
    </w:p>
    <w:p>
      <w:pPr>
        <w:pStyle w:val="BookText"/>
        <w:rPr/>
      </w:pPr>
      <w:r>
        <w:rPr>
          <w:rFonts w:ascii="IRNazanin" w:hAnsi="IRNazanin" w:eastAsia="IRNazanin"/>
          <w:color w:val="111111"/>
          <w:sz w:val="28"/>
          <w:sz w:val="28"/>
          <w:szCs w:val="28"/>
          <w:rtl w:val="true"/>
          <w:lang w:bidi="fa-IR"/>
        </w:rPr>
        <w:t>تفصیل این بحث باید در کتاب نکاح مطرح شود؛ امّا به‌طور اجمال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آیۀ شریفه فقط در مورد نظر به ظاهر فرج است؛ یعنی خداوند متعال در این آیۀ شریفه نگاه کردن مؤمن به فرج زن مؤمنه و بالعکس را حرام می‌داند و دلالتی بر نگاه به دیگر اجزای بدن و یا باطن آن ندارد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دانستن این مطلب و با این فرض که نگاه و لمس، حتّی نسبت به باطن بدن اجنبیّه نیز حرام است، اگر زن و شوهری که اقدام به عمل تلقیح نموده‌اند در اضطرار بوده‌اند</w:t>
      </w:r>
    </w:p>
    <w:p>
      <w:pPr>
        <w:pStyle w:val="BookText"/>
        <w:rPr/>
      </w:pPr>
      <w:r>
        <w:rPr>
          <w:rFonts w:ascii="IRNazanin" w:hAnsi="IRNazanin" w:eastAsia="IRNazanin"/>
          <w:color w:val="111111"/>
          <w:sz w:val="28"/>
          <w:sz w:val="28"/>
          <w:szCs w:val="28"/>
          <w:rtl w:val="true"/>
          <w:lang w:bidi="fa-IR"/>
        </w:rPr>
        <w:t xml:space="preserve">و نداشتن فرزند، آنها را با مشکلاتی روبه‌رو می‌سازد و حتّی ممکن است موجب جدایی آنها شود، آن‌گاه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حرمت نظر و لمس پزشک را بر می‌دارد و اصل برائت در جواز اصل عمل،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تلقیح در فرض یاد شده با وجود اضطرار زوجین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اضطرار و حرجی وجود نداشته باشد و زن و شوهر زندگی خوبی داشته باشند و تنها به داشتن فرزند علاقمند باشند، بحث معالجه مطرح می‌شود و باید دید آیا می‌توان به ملاک معالجه، حرمت نظر و لمس را برداشت و عمل تلقیح را که مستلزم نظر و لمس پزشک است، جایز دانست؟</w:t>
      </w:r>
    </w:p>
    <w:p>
      <w:pPr>
        <w:pStyle w:val="BookText"/>
        <w:rPr/>
      </w:pPr>
      <w:r>
        <w:rPr>
          <w:rFonts w:ascii="IRNazanin" w:hAnsi="IRNazanin" w:eastAsia="IRNazanin"/>
          <w:color w:val="111111"/>
          <w:sz w:val="28"/>
          <w:sz w:val="28"/>
          <w:szCs w:val="28"/>
          <w:rtl w:val="true"/>
          <w:lang w:bidi="fa-IR"/>
        </w:rPr>
        <w:t>در این فرض، میل باطنی زن و مرد آن است که فرزند داشته باشند؛ امّا در صورت نداشتن فرزند نیز زندگی آنها خوب است و می‌توانند مانند دیگر افراد با هم بدون مشکل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آیا از نظر شرعی این زن و شوهر می‌توانند به ملاک معالجه و نه به ملاک اضطرار و حرج، تلقیح مصنوعی انجام دهند، حتّی اگر منجر به تماس و نگاه نامحرم شود؟</w:t>
      </w:r>
    </w:p>
    <w:p>
      <w:pPr>
        <w:pStyle w:val="BookText"/>
        <w:rPr/>
      </w:pPr>
      <w:r>
        <w:rPr>
          <w:rFonts w:ascii="IRNazanin" w:hAnsi="IRNazanin" w:eastAsia="IRNazanin"/>
          <w:color w:val="111111"/>
          <w:sz w:val="28"/>
          <w:sz w:val="28"/>
          <w:szCs w:val="28"/>
          <w:rtl w:val="true"/>
          <w:lang w:bidi="fa-IR"/>
        </w:rPr>
        <w:t>این، مانند جایی است که زنی بینی بزرگی دارد و قصد کوچک کردن آن را دارد، اضطرار هم در کار نیست و این کار را صرفاً جهت زیبایی خود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می‌تواند در جایی که اضطراری وجود ندارد، خود را در اختیار پزشک مرد قرار دهد؟</w:t>
      </w:r>
    </w:p>
    <w:p>
      <w:pPr>
        <w:pStyle w:val="BookText"/>
        <w:rPr/>
      </w:pPr>
      <w:r>
        <w:rPr>
          <w:rFonts w:ascii="IRNazanin" w:hAnsi="IRNazanin" w:eastAsia="IRNazanin"/>
          <w:color w:val="111111"/>
          <w:sz w:val="28"/>
          <w:sz w:val="28"/>
          <w:szCs w:val="28"/>
          <w:rtl w:val="true"/>
          <w:lang w:bidi="fa-IR"/>
        </w:rPr>
        <w:t>در برخی موارد، زن می‌تواند حتّی در صورت وجود پزشک زن، به پزشک مرد مراجعه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مراجعه به پزشک مرد برای زنی که بیماری قلبی دارد، در صورتی که اعتماد او به دکتر مرد بیش از دکتر زن باشد، جایز است؛ امّا در جایی که اضطراری نیست و ملاک، مجرّد معالجه است، آیا می‌توان از ادلّه استفاده کرد که این زن می‌تواند خود را در اختیار پزشک اجنبی قرار دهد تا نطفۀ شوهرش را در رحم او قرار دهد و مستلزم لمس و نظر نیز باشد؟</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پاسخ به این پرسش، باید ادلّۀ معالجۀ زن توسّط پزشک مرد را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تنها یک روایت در مورد معالجه در فقه وجود دارد و آن روایت معتبر</w:t>
      </w:r>
    </w:p>
    <w:p>
      <w:pPr>
        <w:pStyle w:val="BookText"/>
        <w:rPr/>
      </w:pPr>
      <w:r>
        <w:rPr>
          <w:rFonts w:ascii="IRNazanin" w:hAnsi="IRNazanin" w:eastAsia="IRNazanin"/>
          <w:color w:val="111111"/>
          <w:sz w:val="28"/>
          <w:sz w:val="28"/>
          <w:szCs w:val="28"/>
          <w:rtl w:val="true"/>
          <w:lang w:bidi="fa-IR"/>
        </w:rPr>
        <w:t>ابوحمزۀ ثمالی از امام باقر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حَمْزَةَ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الْمُسْلِمَةِ یُصِیبُهَا الْبَلَاءُ فِی جَسَدِهَا امّا کَسْرٌ وَأمّا جُرْحٌ فِی مَکَانٍ لَایَصْلُحُ النَّظَرُ إِلَیْهِ یَکُونُ الرَّجُلُ أَرْفَقَ بِعِلَاجِهِ مِنَ النِّسَاءِ أَ یَصْلُحُ لَهُ النَّظَرُ إِلَیْهَا؟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اضْطُرَّتْ إِلَیْهِ فَلْیُعَالِجْهَا إِنْ شَاءَتْ؛</w:t>
      </w:r>
      <w:r>
        <w:rPr>
          <w:rStyle w:val="FootnoteAnchor"/>
          <w:rtl w:val="true"/>
        </w:rPr>
        <w:footnoteReference w:id="454"/>
      </w:r>
      <w:r>
        <w:rPr>
          <w:rFonts w:ascii="IRNazanin" w:hAnsi="IRNazanin" w:eastAsia="IRNazanin"/>
          <w:color w:val="111111"/>
          <w:sz w:val="28"/>
          <w:sz w:val="28"/>
          <w:szCs w:val="28"/>
          <w:rtl w:val="true"/>
          <w:lang w:bidi="fa-IR"/>
        </w:rPr>
        <w:t>ابو 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دربارۀ زن مسلمانی پرسیدم که در بدنش بلایی وارد شده، که یا شکستگی است و یا جراحت و این شکستگی یا جراحت در قسمتی از بدن اوست که نظر به آن جایز نیست، و مرد بهتر می‌تواند او را علاج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نظر به این زن برای طبیب جایز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مضطر باشد، با درخواست وی، مرد می‌تواند معالجه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حکمی که امام باقر علیه السلام بیان می‌کنند در قالب جملۀ شرطیه و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اضطرّت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آن است که اگر زن در مقام معالجه به پزشک مرد نیاز پیدا کند و جز مراجعه به آن مرد، راه دیگری برای معالجه وی نباشد،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مشهور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شرطیه از مفهوم برخوردار است، پس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از روایت این است که زن تنها در حال اضطرار اجازه دارد برای درمان به پزشک مرد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فرضِ یاد شده با توجّه به این‌که اضطراری وجود ندارد، ادلّۀ حرمت نظر به زن نامحرم و لمس او بر اطلاق خود باقی می‌ماند 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باروری مصنوعی در این صورت، جایز نیست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توجّه به این‌که ادلّۀ حرمت نگاه به اجنبیّه اطلاق دارد و هر وضعیتی را که حرج و سختی در میان نباشد، شامل می‌شود، در مواردی که شخص دو بچه دارد و فرزند</w:t>
      </w:r>
      <w:bookmarkStart w:id="618" w:name="pg13785_135123"/>
    </w:p>
    <w:p>
      <w:pPr>
        <w:pStyle w:val="BookText"/>
        <w:rPr/>
      </w:pPr>
      <w:bookmarkEnd w:id="618"/>
      <w:r>
        <w:rPr>
          <w:rFonts w:ascii="IRNazanin" w:hAnsi="IRNazanin" w:eastAsia="IRNazanin"/>
          <w:color w:val="111111"/>
          <w:sz w:val="28"/>
          <w:sz w:val="28"/>
          <w:szCs w:val="28"/>
          <w:rtl w:val="true"/>
          <w:lang w:bidi="fa-IR"/>
        </w:rPr>
        <w:t>سومی می‌خواهد و این امر مستلزم تلقیح مصنوعی و نگاه مرد اجنبی به زن است، اطلاق ادلّۀ حرمت نگاه و لمس، آن را شامل می‌شود و حکم به عدم جواز می‌کند</w:t>
      </w:r>
      <w:r>
        <w:rPr>
          <w:rFonts w:eastAsia="IRNazanin" w:cs="IRNazanin"/>
          <w:color w:val="111111"/>
          <w:sz w:val="28"/>
          <w:szCs w:val="28"/>
          <w:rtl w:val="true"/>
          <w:lang w:bidi="fa-IR"/>
        </w:rPr>
        <w:t>.</w:t>
      </w:r>
    </w:p>
    <w:p>
      <w:pPr>
        <w:pStyle w:val="Heading6"/>
        <w:numPr>
          <w:ilvl w:val="5"/>
          <w:numId w:val="1"/>
        </w:numPr>
        <w:rPr/>
      </w:pPr>
      <w:bookmarkStart w:id="619" w:name="__RefHeading___Toc2531167_1468164448"/>
      <w:bookmarkStart w:id="620" w:name="_Toc239"/>
      <w:bookmarkEnd w:id="619"/>
      <w:r>
        <w:rPr>
          <w:rtl w:val="true"/>
        </w:rPr>
        <w:t>ب</w:t>
      </w:r>
      <w:r>
        <w:rPr>
          <w:rtl w:val="true"/>
        </w:rPr>
        <w:t xml:space="preserve">) </w:t>
      </w:r>
      <w:r>
        <w:rPr>
          <w:rtl w:val="true"/>
        </w:rPr>
        <w:t>صورت دوم تلقیح مصنوعی</w:t>
      </w:r>
      <w:bookmarkEnd w:id="620"/>
    </w:p>
    <w:p>
      <w:pPr>
        <w:pStyle w:val="BookText"/>
        <w:rPr/>
      </w:pPr>
      <w:r>
        <w:rPr>
          <w:rFonts w:ascii="IRNazanin" w:hAnsi="IRNazanin" w:eastAsia="IRNazanin"/>
          <w:color w:val="111111"/>
          <w:sz w:val="28"/>
          <w:sz w:val="28"/>
          <w:szCs w:val="28"/>
          <w:rtl w:val="true"/>
          <w:lang w:bidi="fa-IR"/>
        </w:rPr>
        <w:t>دومین فرض از فروض مختلف تلقیح مصنوعی، این است که نطفۀ مرد در رحم زنی که همسر او نیست،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فرض، خود در بردارندۀ صور مختلفی است؛ زیرا ممکن است زنِ دریافت‌کنندۀ نطفه و اسپرم، همسر قانونی مرد دیگری باشد و یا شوهر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قرابت نسبی میان این زن و مرد وجود داشته باشد، یا هیچ نسبت خویشاوندی بین آن دو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آنچه مهم است و این صورت از تلقیح مصنوعی را از صورت نخست جدا می‌کند، وجود و عدم وجود رابطۀ زوجیت میان زن و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فرض نطفۀ مرد اجنبی را در رحم زن اجنبیّه قرار می‌دهند و حتّی اگر میان این زن و مرد قرابت نسبتی برقرار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خواهر و برادر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هم اجنبی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در این‌جا فرض‌های گوناگونی وجود دارد که غالباً حکمی یکسان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بسیار روشنی که می‌توان برای این صورت از تلقیح مصنوعی به آن اشاره کرد، این است که نطفۀ یک مرد را در رحم همسر مردی قرار دهند که به علّت ناتوانی در امور جنسی، قابلیّت باروری همسر خود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رایج است که زن و شوهرهایی که بچه‌دار نمی‌شوند به مراکزی که در آنها نطفه‌های منجمد شده نگهداری می‌شود، مراجعه کرده و زن با استفاده از نطفۀ متعلّق به فردی ناشناس، بارور می‌شود</w:t>
      </w:r>
      <w:r>
        <w:rPr>
          <w:rFonts w:eastAsia="IRNazanin" w:cs="IRNazanin"/>
          <w:color w:val="111111"/>
          <w:sz w:val="28"/>
          <w:szCs w:val="28"/>
          <w:rtl w:val="true"/>
          <w:lang w:bidi="fa-IR"/>
        </w:rPr>
        <w:t>.</w:t>
      </w:r>
    </w:p>
    <w:p>
      <w:pPr>
        <w:pStyle w:val="Heading6"/>
        <w:numPr>
          <w:ilvl w:val="5"/>
          <w:numId w:val="1"/>
        </w:numPr>
        <w:rPr/>
      </w:pPr>
      <w:bookmarkStart w:id="621" w:name="__RefHeading___Toc2531169_1468164448"/>
      <w:bookmarkStart w:id="622" w:name="_Toc240"/>
      <w:bookmarkEnd w:id="621"/>
      <w:r>
        <w:rPr/>
        <w:t>1</w:t>
      </w:r>
      <w:r>
        <w:rPr>
          <w:rtl w:val="true"/>
        </w:rPr>
        <w:t xml:space="preserve">- </w:t>
      </w:r>
      <w:r>
        <w:rPr>
          <w:rtl w:val="true"/>
        </w:rPr>
        <w:t>ادلّۀ حرمت صورت دوم</w:t>
      </w:r>
      <w:bookmarkEnd w:id="622"/>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این صورت، برخلاف فرض اوّل، آیات و روایاتی وجود دارد که در مقابل اصل اوّلی برائت، دلالت بر حرمت تلقیح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بررسی این ادلّه می‌پردازیم</w:t>
      </w:r>
      <w:r>
        <w:rPr>
          <w:rFonts w:eastAsia="IRNazanin" w:cs="IRNazanin"/>
          <w:color w:val="111111"/>
          <w:sz w:val="28"/>
          <w:szCs w:val="28"/>
          <w:rtl w:val="true"/>
          <w:lang w:bidi="fa-IR"/>
        </w:rPr>
        <w:t>.</w:t>
      </w:r>
      <w:bookmarkStart w:id="623" w:name="pg13785_135124"/>
    </w:p>
    <w:p>
      <w:pPr>
        <w:pStyle w:val="Heading6"/>
        <w:numPr>
          <w:ilvl w:val="5"/>
          <w:numId w:val="1"/>
        </w:numPr>
        <w:rPr/>
      </w:pPr>
      <w:bookmarkStart w:id="624" w:name="__RefHeading___Toc2531171_1468164448"/>
      <w:bookmarkStart w:id="625" w:name="_Toc241"/>
      <w:bookmarkEnd w:id="623"/>
      <w:bookmarkEnd w:id="624"/>
      <w:r>
        <w:rPr/>
        <w:t>1-1</w:t>
      </w:r>
      <w:r>
        <w:rPr>
          <w:rtl w:val="true"/>
        </w:rPr>
        <w:t xml:space="preserve">- </w:t>
      </w:r>
      <w:r>
        <w:rPr>
          <w:rtl w:val="true"/>
        </w:rPr>
        <w:t>روایات</w:t>
      </w:r>
      <w:bookmarkEnd w:id="625"/>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عُثْمَانَ بْنِ عِیسَی عَنْ عَلِیِّ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أَشَدَّ النَّاسِ عَذَاباً یَوْمَ الْقِیَامَةِ رَجُلٌ أَقَرَّ نُطْفَتَهُ فِی رَحِمٍ یَحْرُمُ عَلَیْهِ؛</w:t>
      </w:r>
      <w:r>
        <w:rPr>
          <w:rStyle w:val="FootnoteAnchor"/>
          <w:rtl w:val="true"/>
        </w:rPr>
        <w:footnoteReference w:id="455"/>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شدیدترین عذاب‌ها در روز قیامت برای مردی است که نطفۀ خود را در رحم زنی قرار بدهد که آن رحم بر او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این روایت، به جهت وجود علی بن سالم که مردّد بین دو نفر است، اشکال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راویان دو نفر به نام علی بن سالم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علی بن سالم بطائنی که واقفی بوده است</w:t>
      </w:r>
      <w:r>
        <w:rPr>
          <w:rStyle w:val="FootnoteAnchor"/>
          <w:rtl w:val="true"/>
        </w:rPr>
        <w:footnoteReference w:id="456"/>
      </w:r>
      <w:r>
        <w:rPr>
          <w:rFonts w:ascii="IRNazanin" w:hAnsi="IRNazanin" w:eastAsia="IRNazanin"/>
          <w:color w:val="111111"/>
          <w:sz w:val="28"/>
          <w:sz w:val="28"/>
          <w:szCs w:val="28"/>
          <w:rtl w:val="true"/>
          <w:lang w:bidi="fa-IR"/>
        </w:rPr>
        <w:t>و دیگری علی بن سالم که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برخی از بزرگان معتقدند که به جهت مجهول بودن علی بن سالم، این روایت از درجۀ اعتبار ساقط می‌شود</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امّا این سخن به دو جهت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توثیق عام را معتبر بدانیم، با توجّه به این‌که شیخ مفید قدس سره در کتاب ارشاد همۀ اصحاب امام صادق علیه السلام که از ایشان روایت نقل کرده‌اند را توثیق کرده است، علی بن سالم از این راه توثیق خواهد شد، زیرا وی یکی از این اصحاب است</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و توثیق شیخ مفید قدس سره برای ما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با این‌که علی بن سالم مجهول است، امّا بر اساس توثیق عامّ شیخ مفید قدس سره، ثقه خواهد بود و روایت او نیز معتبر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خویی قدس سره ابتدا توثیقات عام را حجّت می‌دانست، امّا در اواخر عمرشان از این مبنا عدول کرد و برخی از این توثیق‌ها، همچون توثیق شیخ مفید قدس سره را نامعتبر</w:t>
      </w:r>
    </w:p>
    <w:p>
      <w:pPr>
        <w:pStyle w:val="BookText"/>
        <w:rPr/>
      </w:pP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از این رو، بنا بر نظر ایشان سند این روایت با مشکل مواجه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علی بن سالم، علی بن سالم کوفی باشد، ثقه خواهد بود؛ زیرا علی بن سالم کوفی کسی است که بزرگانی همچون ابن أبی عمیر و صفوان از او روایت نقل کرده‌اند و این نشان‌دهندۀ وثوق اوست؛ زیرا یکی از راه‌های تشخیص اعتبار راوی این است که اجلّای روات از وی روایت نقل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شد که به نظر ما این روایت، معتبر است و نمی‌توان در سند آن خدشه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باید مدلول روایت را مورد بررسی قرار داد و دربارۀ این مطلب بحث کرد که آیا روایت بر حرمت تلقیح مصنوعی در فرضِ یاد شده دلالت دارد یا خیر؟</w:t>
      </w:r>
    </w:p>
    <w:p>
      <w:pPr>
        <w:pStyle w:val="BookText"/>
        <w:rPr/>
      </w:pPr>
      <w:r>
        <w:rPr>
          <w:rFonts w:ascii="IRNazanin" w:hAnsi="IRNazanin" w:eastAsia="IRNazanin"/>
          <w:color w:val="111111"/>
          <w:sz w:val="28"/>
          <w:sz w:val="28"/>
          <w:szCs w:val="28"/>
          <w:rtl w:val="true"/>
          <w:lang w:bidi="fa-IR"/>
        </w:rPr>
        <w:t>امام صادق علیه السلام در این روایت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شدیدترین عذاب در روز قیامت برای مردی است که نطفۀ خود را در رحم زنی که بر او حرام است،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حرام بودن رحم به این معناست که بین این مرد و زن، ارتباط ملک یمین و زوجیّت شرعی وجود ندارد؛ زیرا رحمِ جایز، آن است که از راه زوجیت یا ملک یمین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مدلول روایت باید بدانیم منظور از نطفه و استقرار نطفه در رحم بیگانه چیست؟</w:t>
      </w:r>
    </w:p>
    <w:p>
      <w:pPr>
        <w:pStyle w:val="BookText"/>
        <w:rPr/>
      </w:pPr>
      <w:r>
        <w:rPr>
          <w:rFonts w:ascii="IRNazanin" w:hAnsi="IRNazanin" w:eastAsia="IRNazanin"/>
          <w:color w:val="111111"/>
          <w:sz w:val="28"/>
          <w:sz w:val="28"/>
          <w:szCs w:val="28"/>
          <w:rtl w:val="true"/>
          <w:lang w:bidi="fa-IR"/>
        </w:rPr>
        <w:t xml:space="preserve">در عرف، به ترکیب اسپرم مرد و تخمک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 و در کلام برخی نیز چنین تعبیری دیده می‌شود؛ امّا با مراجعه به لغت می‌توان دریافت که این معنا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نطفه به منی مرد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کتاب مفردات راغب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نطفة، الماء الصّافی ویعبر بها عن ماء الرجل؛</w:t>
      </w:r>
      <w:r>
        <w:rPr>
          <w:rStyle w:val="FootnoteAnchor"/>
          <w:rtl w:val="true"/>
        </w:rPr>
        <w:footnoteReference w:id="460"/>
      </w:r>
      <w:r>
        <w:rPr>
          <w:rFonts w:ascii="IRNazanin" w:hAnsi="IRNazanin" w:eastAsia="IRNazanin"/>
          <w:color w:val="111111"/>
          <w:sz w:val="28"/>
          <w:sz w:val="28"/>
          <w:szCs w:val="28"/>
          <w:rtl w:val="true"/>
          <w:lang w:bidi="fa-IR"/>
        </w:rPr>
        <w:t>نطفه آب زلالی است و به منی مرد نطفه گفته می‌شود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استقرار نطفه در رحم حرام، مشمول شدیدترین عذاب‌ها شده است و به نظر می‌رسد که روایت در صدد بیان حکم مقاربت از راه زنا و حرمت و گناه آن نیست؛ بلکه روایت حکمی دیگر را بیان می‌کند که عبارت است از قرار دادن نطفه در رحم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زنا حرام است و معصیتی بزرگ به شمار می‌رود، شکّی نیست، امّا آنچه روایت بر آن دلالت دارد، آن است که شدیدترین عذاب‌ها به کسی تعلّق می‌گیرد که نطفۀ خود را در رحم حرام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پرسش مطرح می‌شود آیا در قرار دادن نطفه در رحم حرام، مقاربت و نزدیکی موضوعیّت دارد یا خیر؟ یعنی آیا این روایت، تنها شامل فرضی می‌شود که زانی در عین ارتکاب عمل زنا نطفۀ خود را در رحم زن بیگانه قرار می‌دهد، یا شامل این فرض نیز می‌شود که نطفۀ مرد از راهی غیر از مقاربت و نزدیکی در رحم زن بیگانه قرار گیرد؟</w:t>
      </w:r>
    </w:p>
    <w:p>
      <w:pPr>
        <w:pStyle w:val="BookText"/>
        <w:rPr/>
      </w:pPr>
      <w:r>
        <w:rPr>
          <w:rFonts w:ascii="IRNazanin" w:hAnsi="IRNazanin" w:eastAsia="IRNazanin"/>
          <w:color w:val="111111"/>
          <w:sz w:val="28"/>
          <w:sz w:val="28"/>
          <w:szCs w:val="28"/>
          <w:rtl w:val="true"/>
          <w:lang w:bidi="fa-IR"/>
        </w:rPr>
        <w:t>اگر بتوان از این روایت، الغای خصوصیت نمود و ملاک حرمت را قرار دادن نطفه در رحم اجنبیّه دانست و برای زنا و مقاربت موضوعیّتی در نظر نگرفت، آن‌گاه قرار گرفتن نطفۀ مرد اجنبی در رحم زن، جهت باروری در فروضِ یاد شده، مشمول حکم روایت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این‌که روایت بر حرمت تلقیح مصنوعی در فرضِ یاد شده دلالت داشته باشد،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 نطفته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 هم مواردی را شامل می‌شود که نطفه از راه مقاربت در رحم زن قرار گیرد، و هم مواردی را در بر می‌گیرد که نطفۀ مرد با استفاده از ابزار و بدون مقاربت، در رحم زن بیگانه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اگر بگوییم روایت برای زنا و مقاربت خصوصیت و موضوعیتی قائل نیست؛ بلکه ملاک، قرار دادن نطفه در رحم اجنبیّه است، در این صورت، هنگامی که بین نطفۀ مرد و زن بیگانه تلقیح مصنوعی صورت گیرد نیز استقرار نطفۀ حرام صدق می‌کند و حرمت وجود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با تأمّل بیشتر می‌توان سه نکته را از روایت برداشت نمود که با توجّه به آن نکات، چنین نظری قابل پذیرش نخواهد بود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در این روایت، عمل مقاربت برای قرار دادن</w:t>
      </w:r>
    </w:p>
    <w:p>
      <w:pPr>
        <w:pStyle w:val="BookText"/>
        <w:rPr/>
      </w:pPr>
      <w:r>
        <w:rPr>
          <w:rFonts w:ascii="IRNazanin" w:hAnsi="IRNazanin" w:eastAsia="IRNazanin"/>
          <w:color w:val="111111"/>
          <w:sz w:val="28"/>
          <w:sz w:val="28"/>
          <w:szCs w:val="28"/>
          <w:rtl w:val="true"/>
          <w:lang w:bidi="fa-IR"/>
        </w:rPr>
        <w:t>نطفه در رحم زن موضوعیّت داشته باشد و یا دست‌کم می‌توان احتمال داد که مسئلۀ مقاربت در این روایت، موضوعیّت دارد و منشأ این سخن نیز یک امر عقلایی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اگر نطفۀ مردی از راه ابزار پزشکی در رحم زن بیگانه قرار بگیرد و این عمل موجب باروری زن و در نهایت تولّد فرزندی شود، نمی‌توان فرزند تولّد یافته را ولد الزنا نامید؛ زیرا این طفل از راه زنا متولد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نطفه در رحم یک زن اجنبیّه، بدون این‌که صاحب نطفه در آن دخالتی داشته باشد و یا مقاربتی شکل گیرد، با حکم روایت تناسبی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نمی‌توان برای این مرد، شدیدترین عذاب را در نظر گرفت؛ بلکه این عذاب در مورد مردی که به سبب زنا نطفۀ خود را در رحم زنی قرار دهد، مناسب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قرینۀ تناسب حکم و موضوع، اقتضا می‌کند که مقاربت در این روایت موضوعیّت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نمی‌توان گفت که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النّاس عذاباً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این گونه موارد می‌شود که نطفۀ مردی را با استفاده از ابزار پزشکی در رحم زن بیگانه قرار دهند، در حالی که این دو تا به حال یک‌دیگر را ندیده‌اند و حتّی مرد نمی‌داند که نطفه‌اش در رحم چه کسی قرار گرفته است و زن نیز نمی‌داند نطفۀ چه کسی در رحمش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الحدود، آمده است که مردی با زن خود نزدیکی می‌کند و سپس این زن با زن دیگری مساحقه کرده و نطفۀ آن مرد در رحم زن دیگر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با این‌که در نتیجه، نطفۀ آن مرد در رحم زن اجنبیّه قرار گرفته است، ولی نمی‌توان گفت شوهر این زن به حکم این روایت،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الناس عذاباً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برداشت می‌شود که مرد از راه مقاربت و به شکل طبیعی نطفۀ خود را در رحم زن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این روایت، فرض مسئلۀ مورد بحث ما را شامل نمی‌شود؛ یعنی با توجّه به عرف و لغت، نمی‌توان گفت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قرار دادن نطفۀ مرد در رحم زن با کمک ابزار پزشکی صدق می‌کند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بیان شده،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دلالتی بر مدّعا ندارد و</w:t>
      </w:r>
    </w:p>
    <w:p>
      <w:pPr>
        <w:pStyle w:val="BookText"/>
        <w:rPr/>
      </w:pPr>
      <w:r>
        <w:rPr>
          <w:rFonts w:ascii="IRNazanin" w:hAnsi="IRNazanin" w:eastAsia="IRNazanin"/>
          <w:color w:val="111111"/>
          <w:sz w:val="28"/>
          <w:sz w:val="28"/>
          <w:szCs w:val="28"/>
          <w:rtl w:val="true"/>
          <w:lang w:bidi="fa-IR"/>
        </w:rPr>
        <w:t>نمی‌توان برای حرمت تلقیح مصنوعی در صورت دوم، به آن استناد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 روایتی است که شیخ صدوق قدس سره در کتاب من لا یحضره الفقیه و نیز در کتاب خصال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آن مطابق نقل خصال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القاسم بن محمّد عن سلیمان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غیر واحد من أصحابنا یروی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یَعْمَلَ ابْنُ آدَمَ عَمَلاً أَعْظَمَ عِنْدَ اللّهِ عَزَّ وَجَلَّ مِنْ رَجُلٍ قَتَلَ نَبِیّاً أَوْ إِمَاماً أَوْ هَدَمَ الْکَعْبَةَ الَّتِی جَعَلَهَا اللّهُ قِبْلَةً لِعِبَادِهِ أَوْ أَفْرَغَ مَاءَهُ فِی امْرَأَةٍ حَرَاماً؛</w:t>
      </w:r>
      <w:r>
        <w:rPr>
          <w:rStyle w:val="FootnoteAnchor"/>
          <w:rtl w:val="true"/>
        </w:rPr>
        <w:footnoteReference w:id="461"/>
      </w:r>
      <w:r>
        <w:rPr>
          <w:rFonts w:ascii="IRNazanin" w:hAnsi="IRNazanin" w:eastAsia="IRNazanin"/>
          <w:color w:val="111111"/>
          <w:sz w:val="28"/>
          <w:sz w:val="28"/>
          <w:szCs w:val="28"/>
          <w:rtl w:val="true"/>
          <w:lang w:bidi="fa-IR"/>
        </w:rPr>
        <w:t>امام صادق علیه السلام به نقل از پیامبر اکرم صلی الله علیه و آله چهار عمل را نام بردند که بدترین اعمال نزد پروردگار است و بنی‌آدم بدتر از آن را مرتکب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شخصی پیامبری را به قتل برساند، دوم این‌که کسی امام معصوم را به قتل برساند، سوم عمل کسی است که کعبه را ویران کند و چهارم عمل کسی که نطفۀ خود را به صورت حرام در رحم زن دیگری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حرّ عاملی قدس سره نیز در کتاب وسائل الشیعة این روایت را با سند کتاب خصال نقل می‌کند</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در سندی که در خصال آمده است، دو اشکال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نخست، وجود شخصی به نام قاسم بن محمّد اصفهانی است، که معروف به کاسام</w:t>
      </w:r>
      <w:r>
        <w:rPr>
          <w:rStyle w:val="FootnoteAnchor"/>
          <w:rtl w:val="true"/>
        </w:rPr>
        <w:footnoteReference w:id="463"/>
      </w:r>
      <w:r>
        <w:rPr>
          <w:rFonts w:ascii="IRNazanin" w:hAnsi="IRNazanin" w:eastAsia="IRNazanin"/>
          <w:color w:val="111111"/>
          <w:sz w:val="28"/>
          <w:sz w:val="28"/>
          <w:szCs w:val="28"/>
          <w:rtl w:val="true"/>
          <w:lang w:bidi="fa-IR"/>
        </w:rPr>
        <w:t>یا کاسولا</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قدس سره در مورد وی می‌گوید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القاسم بن محمّد القمّی یعرف بکاسولا، لم یکن بالمرضی؛</w:t>
      </w:r>
      <w:r>
        <w:rPr>
          <w:rStyle w:val="FootnoteAnchor"/>
          <w:rtl w:val="true"/>
        </w:rPr>
        <w:footnoteReference w:id="465"/>
      </w:r>
      <w:r>
        <w:rPr>
          <w:rFonts w:ascii="IRNazanin" w:hAnsi="IRNazanin" w:eastAsia="IRNazanin"/>
          <w:color w:val="111111"/>
          <w:sz w:val="28"/>
          <w:sz w:val="28"/>
          <w:szCs w:val="28"/>
          <w:rtl w:val="true"/>
          <w:lang w:bidi="fa-IR"/>
        </w:rPr>
        <w:t>قاسم بن محمّد قمی</w:t>
      </w:r>
    </w:p>
    <w:p>
      <w:pPr>
        <w:pStyle w:val="BookText"/>
        <w:rPr/>
      </w:pPr>
      <w:r>
        <w:rPr>
          <w:rFonts w:ascii="IRNazanin" w:hAnsi="IRNazanin" w:eastAsia="IRNazanin"/>
          <w:color w:val="111111"/>
          <w:sz w:val="28"/>
          <w:sz w:val="28"/>
          <w:szCs w:val="28"/>
          <w:rtl w:val="true"/>
          <w:lang w:bidi="fa-IR"/>
        </w:rPr>
        <w:t>که معروف به کاسولاست، مورد رضایت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غضائری قدس سره نیز دربارۀ او اظهار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حدیثه یعرف تارةً وینکر أخری ویجوز أن یخرج شاهداً؛</w:t>
      </w:r>
      <w:r>
        <w:rPr>
          <w:rStyle w:val="FootnoteAnchor"/>
          <w:rtl w:val="true"/>
        </w:rPr>
        <w:footnoteReference w:id="466"/>
      </w:r>
      <w:r>
        <w:rPr>
          <w:rFonts w:ascii="IRNazanin" w:hAnsi="IRNazanin" w:eastAsia="IRNazanin"/>
          <w:color w:val="111111"/>
          <w:sz w:val="28"/>
          <w:sz w:val="28"/>
          <w:szCs w:val="28"/>
          <w:rtl w:val="true"/>
          <w:lang w:bidi="fa-IR"/>
        </w:rPr>
        <w:t>احادیث قاسم بن محمّد گاهی توسّط بزرگان قبول شده و گاهی مورد پذیرش قرار نگرفته است و احادیثی که وی در سندش وجود دارد را می‌توان به عنوان شاهد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قاسم بن محمّد، توثیق روشنی ندارد و تنها مزیّت وی این است که اجلاّی روات از آو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در سند این روایت این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غیر واحدٍ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این عدّه از راویان که معیّن نشده‌اند، موثّق باشند و این امکان نیز وجود دارد که برخی از آنها ثقه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سند روایت دارای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قدس سره در کتاب من لایحضره الفقیه، این روایت را بدون ذکر سند و با اسناد قطعی به پیامبر اکرم صلی الله علیه و آله نقل کرده است</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ایشان در ابتدای کتاب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خود و خدایم عهد بسته‌ام که تنها روایات معتبر و مسلّم را نقل کنم</w:t>
      </w:r>
      <w:r>
        <w:rPr>
          <w:rFonts w:eastAsia="IRNazanin" w:cs="IRNazanin"/>
          <w:color w:val="111111"/>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با توجّه به این مطلب در علم درایه بحثی وجود دارد که آیا مراسیل شیخ صدوق قدس سره اعتبار دارند</w:t>
      </w:r>
      <w:r>
        <w:rPr>
          <w:rStyle w:val="FootnoteAnchor"/>
          <w:rtl w:val="true"/>
        </w:rPr>
        <w:footnoteReference w:id="469"/>
      </w:r>
      <w:r>
        <w:rPr>
          <w:rFonts w:ascii="IRNazanin" w:hAnsi="IRNazanin" w:eastAsia="IRNazanin"/>
          <w:color w:val="111111"/>
          <w:sz w:val="28"/>
          <w:sz w:val="28"/>
          <w:szCs w:val="28"/>
          <w:rtl w:val="true"/>
          <w:lang w:bidi="fa-IR"/>
        </w:rPr>
        <w:t>یا خیر؟ این بحث در مورد ابن ابی عمیر و شیخ طوسی قدس سرهما نیز مطرح شده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مرسل نزد فقهای امامیّه اعتباری ندارند؛ امّا برخی معتقدند که مراسیل این بزرگواران نه تنها معتبر است، بلکه نسبت به مسانید آنها از اعتبار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عقیدۀ این دسته از فقها وقتی شیخ صدوق قدس سره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روشن می‌شود که ایشان نسبت به حدیث و سند آن اعتماد کامل داشته</w:t>
      </w:r>
    </w:p>
    <w:p>
      <w:pPr>
        <w:pStyle w:val="BookText"/>
        <w:rPr/>
      </w:pPr>
      <w:r>
        <w:rPr>
          <w:rFonts w:ascii="IRNazanin" w:hAnsi="IRNazanin" w:eastAsia="IRNazanin"/>
          <w:color w:val="111111"/>
          <w:sz w:val="28"/>
          <w:sz w:val="28"/>
          <w:szCs w:val="28"/>
          <w:rtl w:val="true"/>
          <w:lang w:bidi="fa-IR"/>
        </w:rPr>
        <w:t>است؛ امّا جایی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عن فلانٍ و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 در این مطلب دارد که شیخ صدوق قدس سره اعتماد کامل به سند روایت ندارد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این حدیث را برایم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بهایی رحمه الله از کسانی است که مراسیل شیخ صدوق قدس سره را معتبر می‌داند</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وی همچنین از جماعتی از اصولیان نقل کرده که مراسیل صدوق بر مسانیدش ترجیح دارد</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در میان متأخّران، بزرگانی همچون امام خمینی قدس سره</w:t>
      </w:r>
      <w:r>
        <w:rPr>
          <w:rStyle w:val="FootnoteAnchor"/>
          <w:rtl w:val="true"/>
        </w:rPr>
        <w:footnoteReference w:id="472"/>
      </w:r>
      <w:r>
        <w:rPr>
          <w:rFonts w:ascii="IRNazanin" w:hAnsi="IRNazanin" w:eastAsia="IRNazanin"/>
          <w:color w:val="111111"/>
          <w:sz w:val="28"/>
          <w:sz w:val="28"/>
          <w:szCs w:val="28"/>
          <w:rtl w:val="true"/>
          <w:lang w:bidi="fa-IR"/>
        </w:rPr>
        <w:t xml:space="preserve">و والد معظّم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العالی </w:t>
      </w:r>
      <w:r>
        <w:rPr>
          <w:rFonts w:eastAsia="IRNazanin" w:cs="IRNazanin"/>
          <w:color w:val="111111"/>
          <w:sz w:val="28"/>
          <w:szCs w:val="28"/>
          <w:rtl w:val="true"/>
          <w:lang w:bidi="fa-IR"/>
        </w:rPr>
        <w:t xml:space="preserve">- </w:t>
      </w:r>
      <w:r>
        <w:rPr>
          <w:rStyle w:val="FootnoteAnchor"/>
          <w:rtl w:val="true"/>
        </w:rPr>
        <w:footnoteReference w:id="473"/>
      </w:r>
      <w:r>
        <w:rPr>
          <w:rFonts w:ascii="IRNazanin" w:hAnsi="IRNazanin" w:eastAsia="IRNazanin"/>
          <w:color w:val="111111"/>
          <w:sz w:val="28"/>
          <w:sz w:val="28"/>
          <w:szCs w:val="28"/>
          <w:rtl w:val="true"/>
          <w:lang w:bidi="fa-IR"/>
        </w:rPr>
        <w:t>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مراسیل صدوق که ایشان به‌طور قطعی نقل کرده‌اند و صدور حدیث نزد شیخ صدوق مسلّم است، معتبرند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مسلّم بودن حدیث نزد صدوق قدس سره نیز این است که وی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نیز این دسته از مراسیل شیخ صدوق اعتبار دارند و اگر بخواهیم همۀ مراسیل او را کنار بگذاریم، حدود دو هزار روایت از اعتبار ساقط می‌شود؛ زیرا در کتاب من لا یحضره الفقیه، حدود شش هزار روایت وجود دارد و تقریباً یک سوم مرسل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روایت با توجّه به سند کتاب من لا یحضره الفقیه، قابل اعتماد است؛ زیرا شیخ صدوق در آن‌جا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هرچند نسبت به سند کتاب خصال اشکالاتی وارد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فقها این روایت را دلیل حرمت شکل دومِ تلقیح مصنوعی برشمرده‌اند و در مقام استدلال، قسمت اخیر این روایت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أفرغ مائه فی المرأة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مستند خود قرار داده‌اند</w:t>
      </w:r>
      <w:r>
        <w:rPr>
          <w:rFonts w:eastAsia="IRNazanin" w:cs="IRNazanin"/>
          <w:color w:val="111111"/>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 xml:space="preserve">برای معنا کردن روایت باید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صفت برای مصدر مقدّر گرفت و از نظر ادبی نمی‌توان آن را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یعنی روایت این گونه معنا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أفرغ مائه فی المرأة إفراغاً حراماً؛ مردی نطفۀ خود را در رحم</w:t>
      </w:r>
    </w:p>
    <w:p>
      <w:pPr>
        <w:pStyle w:val="BookText"/>
        <w:rPr/>
      </w:pPr>
      <w:r>
        <w:rPr>
          <w:rFonts w:ascii="IRNazanin" w:hAnsi="IRNazanin" w:eastAsia="IRNazanin"/>
          <w:color w:val="111111"/>
          <w:sz w:val="28"/>
          <w:sz w:val="28"/>
          <w:szCs w:val="28"/>
          <w:rtl w:val="true"/>
          <w:lang w:bidi="fa-IR"/>
        </w:rPr>
        <w:t>زنی قرار دهد که این قرار دادن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افراغ مطلق است و وارد شدن منی به داخل رحم زن اجنبیّه را به هر شکل که باشد، شامل می‌شود، خواه با مقاربت باشد یا با دستگاه و تلقیح مصنوعی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استدلال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افراغ از راه زنا و مقاربت باشد، مسلّماً از مصادیق روایت محسوب می‌شود؛ امّا این‌که شامل انتقال نطفه توسّط ابزار پزشکی نیز بشود، برای ما مشکوک است؛ یعنی این‌که قرار دادن نطفه در رحم زن اجنبیّه از طریق ابزار پزشکی از مصادیق افراغ حرام باشد، خودش اوّل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آن‌جا که این شبهه، شبهۀ مصداقیّه است و تمسّک به عام در شبهۀ مصداقیّه بنا بر نظر مشهور اصولیان صحیح نیست، به این روایت نیز نمی‌توان برای حرمت تلقیح مصنوعی در فرض یاد شده، استدلال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أَحْمَدَ عَنْ أَبِی عَبْدِ اللّهِ الرَّازِیِّ عَنِ الْحَسَنِ بْنِ عَلِیِّ بْنِ أَبِی حَمْزَةَ عَنْ أَبِی عَبْدِ اللّهِ الْمُؤْمِنِ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الزِّنَا شَرٌّ أَوْ شُرْبُ الْخَمْرِ وَکَیْفَ صَارَ فِی الْخَمْرِ ثَمَانِینَ وَفِی الزِّنَا مِائَةً؟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إِسْحَاقُ الْحَدُّ وَاحِدٌ وَلَکِنْ زِیدَ هَذَا لِتَضْیِیعِهِ النُّطْفَةَ وَلِوَضْعِهِ إِیَّاهَا فِی غَیْرِ الْمَوْضِعِ الَّذِی أَمَرَ اللّهُ عَزَّ وَجَلَّ بِهِ؛</w:t>
      </w:r>
      <w:r>
        <w:rPr>
          <w:rStyle w:val="FootnoteAnchor"/>
          <w:rtl w:val="true"/>
        </w:rPr>
        <w:footnoteReference w:id="475"/>
      </w:r>
      <w:r>
        <w:rPr>
          <w:rFonts w:ascii="IRNazanin" w:hAnsi="IRNazanin" w:eastAsia="IRNazanin"/>
          <w:color w:val="111111"/>
          <w:sz w:val="28"/>
          <w:sz w:val="28"/>
          <w:szCs w:val="28"/>
          <w:rtl w:val="true"/>
          <w:lang w:bidi="fa-IR"/>
        </w:rPr>
        <w:t>اسحاق بن 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 که زنا بدتر است یا شرب خمر؟ و چرا در شرب خمر هشتاد تازیانه و در زنا یکصد تازیانه حد قرار داده شده است؟ حضرت فرمودند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 این دو یکسان است، امّا در زنا به خاطر تضییع نطفه بیست ضربه اضافه شده است؛ چراکه زانی نطفۀ خود را در غیر از آن محلّی که خداوند امر کرده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علی بن ابی حمزه، در سند روایت، کذّاب بوده و اعتبار ندارد</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دربارۀ دلالت این روایت نیز باید به دو مطلب توجّه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ذیل روایت در صدد بیان دو محرّم‌است، حرمت تضییع نطفه و حرمت قرار دادن نطفه در محلّ حرام؟ ظاهر روایت این است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 تفسیری است برای تضییع نطفه؛ یعنی تضییع حرام، آن است که نطفه را در غیر محلّ حلال و آنچه خداوند به آن امر کرده،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بحث این روایت نیز می‌دانیم که تضییع نطفه حرام نیست؛ یعنی تضییع نطفه بین زن و شوهر شرعی،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 توجّه به ذیل روایت، ظاهر این است که قرار دادن نطفه در غیر از محلّی که خدا امر کرده،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نطفه در غیر محلّ حلال، به چه معناست؟ آیا وضع نطفه، مطلق است و شامل موردی که نطفه از طریق ابزار پزشکی در رحم زن قرار گیرد نیز می‌شود؟</w:t>
      </w:r>
    </w:p>
    <w:p>
      <w:pPr>
        <w:pStyle w:val="BookText"/>
        <w:rPr/>
      </w:pPr>
      <w:r>
        <w:rPr>
          <w:rFonts w:ascii="IRNazanin" w:hAnsi="IRNazanin" w:eastAsia="IRNazanin"/>
          <w:color w:val="111111"/>
          <w:sz w:val="28"/>
          <w:sz w:val="28"/>
          <w:szCs w:val="28"/>
          <w:rtl w:val="true"/>
          <w:lang w:bidi="fa-IR"/>
        </w:rPr>
        <w:t>پاسخ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بر خلاف دو روایت قبلی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نشده و به جای آن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امّا این‌جا نیز همان بحثی که در روایات قبل گفته شد، مطرح می‌شود و نمی‌توان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الرجل مائه فی رحم امرأة 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جایی که نطفۀ مرد را با ابزار پزشکی در رحم اجنبیّه قرار می‌دهند، استعمال کرد؛ زیرا در این فرض، مرد نطفه‌اش را در رحم زن قرار نداده است؛ بلکه دیگران با کمک ابزار پزشکی این کار را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کمک دستگاه، نطفۀ مرد در رحم زن دیگری قرار گیرد، حکم روایت بر آن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حتّی در صورتی که اشکال سندی روایت نادیده گرفته شود، استناد به آن برای اثبات مدّعا موجّه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روایاتی که در این مقام به آنها استدلال شده است، سه روایتی است که بیان</w:t>
      </w:r>
    </w:p>
    <w:p>
      <w:pPr>
        <w:pStyle w:val="BookText"/>
        <w:rPr/>
      </w:pPr>
      <w:r>
        <w:rPr>
          <w:rFonts w:ascii="IRNazanin" w:hAnsi="IRNazanin" w:eastAsia="IRNazanin"/>
          <w:color w:val="111111"/>
          <w:sz w:val="28"/>
          <w:sz w:val="28"/>
          <w:szCs w:val="28"/>
          <w:rtl w:val="true"/>
          <w:lang w:bidi="fa-IR"/>
        </w:rPr>
        <w:t>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روایات، بر حرمت تلقیح مصنوعی در صورت دوم، دلالت ندارند؛ امّا روایات دیگری نیز برای اثبات حرمت این صورت از تلقیح مصنوعی، ذکر شده است، که در ادامه به مطالعۀ آنها می‌پردازیم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الْحُسَیْنُ بْنُ سَعِیدٍ فِی کِتَابِ الزُّهْدِ عَنْ صَفْوَانَ بْنِ یَحْیَی عَنْ أَبِی خَالِدٍ عَنْ حَمْزَةَ بْنِ حُمْرَانَ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النَّبِیَّ صلی الله علیه و آله أَعْرَابِیٌّ، فَقَالَ یَا رَسُولَ اللّهِ أَوْصِنِی،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مَا بَیْنَ رِجْلَیْکَ؛</w:t>
      </w:r>
      <w:r>
        <w:rPr>
          <w:rStyle w:val="FootnoteAnchor"/>
          <w:rtl w:val="true"/>
        </w:rPr>
        <w:footnoteReference w:id="477"/>
      </w:r>
      <w:r>
        <w:rPr>
          <w:rFonts w:ascii="IRNazanin" w:hAnsi="IRNazanin" w:eastAsia="IRNazanin"/>
          <w:color w:val="111111"/>
          <w:sz w:val="28"/>
          <w:sz w:val="28"/>
          <w:szCs w:val="28"/>
          <w:rtl w:val="true"/>
          <w:lang w:bidi="fa-IR"/>
        </w:rPr>
        <w:t>شخصی بادیه‌نشین نزد پیامبر اکرم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 و موعظه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پای خود را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این روایت گفته‌اند که دستور به حفظ بین دو پا، کنایه از آن است که مراقب باش از این راه مرتکب حرام نشوی و به زنا آلوده نگردی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با توجّه به این‌که دستور به حفظ میان دو پا اطلاق دارد، استدلال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نطفه‌اش را با کمک ابزار پزشکی در رحم زنی اجنبیّه وارد کند، حفظ بین الرِّجلین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این استظهار از روایت، تکلّف زیادی 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إحفظ ما بین رجلیک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مواظب باش مرتکب زنا نشوی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یَعْقُوبَ عَنْ مُحَمَّدِ بْنِ یَحْیَی عَنْ مُحَمَّدِ بْنِ أَحْمَدَ عَنْ أَحْمَدَ بْنِ الْحَسَنِ عَنْ عَمْرِو بْنِ سَعِیدٍ عَنْ مُصَدِّقِ بْنِ صَدَقَةَ عَنْ عَمَّارِ بْنِ مُوسَی عَنْ أَبِی عَبْدِ اللّهِ علیه السلام فِی الرَّجُلِ یَنْکِحُ بَهِیمَةً أَوْ یَدْلُکُ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أَنْزَلَ بِهِ الرَّجُلُ مَاءَهُ مِنْ هَذَا وَشِبْهِهِ فَهُوَ زِناً</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در این روایت که سند آن نیز معتبر است، عمّار بن موسی السّاباطی از امام صادق علیه السلام سؤال می‌کند که آیا استمنا و وطی حیوان توسّط مرد، جایز است یا خیر؟ امام علیه السلام در پاسخ وی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انزال مرد از طریق استمنا یا وطی حیوان و یا شبه آن، زناست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مطلبی که در مورد این روایت باید مورد توجّه قرار گیرد، این است که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استمنا و وطی حیوان، حرمتی برابر با حرمت عمل زنا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مردی که از طریق استمنا و یا وطی حیوانات، خود را انزال می‌کند، به اندازۀ عمل زنا معصیت انجام داده و با خداوند مخالفت کرده است؛ ولی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زانی بر فرد مرتکب این معاصی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دیگری که باید به آن اشاره کرد، پرسشی است که با توجّه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أنزل به الرّجل ماءُه من هذا و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 را که در آن نطفۀ مرد با استفاده از ابزار پزشکی در رحم زن قرار می‌گیرد، در بر می‌گیرد یا خیر؟ برای مثال، اگر مردی از طریق استمنا و یا احتلام، منی خود را خارج کند و بلافاصله در اختیار مراکز نگهداری منی قرار دهد و این مرکز نیز پس از انجماد منی و بنا بر اقتضا و با کمک ابزار پزشکی، آن را در رحم زن اجنبی قرار دهد، آیا می‌توان با توجّه به این روایت، فرض یاد شده را در حکم زنا و حرام دانست؟</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منفی است؛ زیرا چنین برداشتی از این روایت، مشکل و نادرست است؛ بلکه این عبارت در مقام بیان قاعده‌ای عمومی در باب انزال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مرد از روی اختیار، تنها می‌تواند با حلیله‌اش انزال ماء داشته باشد و حقّ استمنا نیز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اگر فردی استمنا کند و یا از طریق غیر شرعی انزال داشته باشد،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صدق می‌کند؛ امّا اگر نطفۀ حاصل از همین انزالِ غیر شرعی یا انزالِ اختیاری مشروع و یا انزال غیر اختیاری را در رحم زن اجنبیّه قرار دهند، دیگر روایت شامل این بحث نمی‌شود و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نیز در حکم زنا و حرام است؛ بلکه روایت، تنها در مقام بیان حرمت انزال بدون سبب شرعی است و فرض مورد بحث ما را در بر نمی‌گیرد</w:t>
      </w:r>
      <w:r>
        <w:rPr>
          <w:rFonts w:eastAsia="IRNazanin" w:cs="IRNazanin"/>
          <w:color w:val="111111"/>
          <w:sz w:val="28"/>
          <w:szCs w:val="28"/>
          <w:rtl w:val="true"/>
          <w:lang w:bidi="fa-IR"/>
        </w:rPr>
        <w:t>.</w:t>
      </w:r>
      <w:bookmarkStart w:id="626" w:name="pg13785_135135"/>
    </w:p>
    <w:p>
      <w:pPr>
        <w:pStyle w:val="BookText"/>
        <w:rPr/>
      </w:pPr>
      <w:bookmarkEnd w:id="626"/>
      <w:r>
        <w:rPr>
          <w:rFonts w:ascii="IRNazanin" w:hAnsi="IRNazanin" w:eastAsia="IRNazanin"/>
          <w:color w:val="111111"/>
          <w:sz w:val="28"/>
          <w:sz w:val="28"/>
          <w:szCs w:val="28"/>
          <w:rtl w:val="true"/>
          <w:lang w:bidi="fa-IR"/>
        </w:rPr>
        <w:t>نتیجۀ بررسی روایات، این شد که محلّ بحث ما در صورت دوم از تلقیح مصنوعی، این است که با کمک ابزار پزشکی، نطفه و اسپرم مردی در رحم زن اجنبیّه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در همۀ این روایات وجود دارد، عبارت است از عدم شمول حکم روایات نسبت به مسئلۀ مورد بحث؛ یعنی این روایات، یک ملاک کلّی را به دست نمی‌دهند که قرار دادن نطفه در رحم اجنبیّه به هر طریقی که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نمی‌توان در مقام استدلال، به این روایات استناد کرد و حکم به حرمت تلقیح در این فرض نمود</w:t>
      </w:r>
      <w:r>
        <w:rPr>
          <w:rFonts w:eastAsia="IRNazanin" w:cs="IRNazanin"/>
          <w:color w:val="111111"/>
          <w:sz w:val="28"/>
          <w:szCs w:val="28"/>
          <w:rtl w:val="true"/>
          <w:lang w:bidi="fa-IR"/>
        </w:rPr>
        <w:t>.</w:t>
      </w:r>
    </w:p>
    <w:p>
      <w:pPr>
        <w:pStyle w:val="Heading6"/>
        <w:numPr>
          <w:ilvl w:val="5"/>
          <w:numId w:val="1"/>
        </w:numPr>
        <w:rPr/>
      </w:pPr>
      <w:bookmarkStart w:id="627" w:name="__RefHeading___Toc2531173_1468164448"/>
      <w:bookmarkStart w:id="628" w:name="_Toc242"/>
      <w:bookmarkEnd w:id="627"/>
      <w:r>
        <w:rPr/>
        <w:t>1-2</w:t>
      </w:r>
      <w:r>
        <w:rPr>
          <w:rtl w:val="true"/>
        </w:rPr>
        <w:t xml:space="preserve">- </w:t>
      </w:r>
      <w:r>
        <w:rPr>
          <w:rtl w:val="true"/>
        </w:rPr>
        <w:t>آیات قرآن کریم</w:t>
      </w:r>
      <w:bookmarkEnd w:id="628"/>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آیۀ اوّل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لِلْمُؤْمِناتِ یَغْضُضْنَ مِنْ أَبْصارِهِنَّ وَ یَحْفَظْنَ فُرُوجَهُنَّ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مؤمن بگو نگاه‌های خود را بپوشانند و فرج‌های خود را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استدلال‌کنندگان به این آیۀ شریفه با توجّه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یحفظن فروجهنّ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زنان امر شده تا از فروج خود محافظت نمایند و با اضافه کردن این مطلب که در آیۀ شریفه،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یحفظن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است، معتقدند که حذف متعلّق، دلالت بر عموم می‌کند و در نتیجه، زن باید فرج خود را از هر امری حفظ کند، مثل نگاه، لمس، مقاربت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آیۀ شریفه فرض مسئلۀ ما را نیز در بر می‌گیرد و بر زن واجب است که فرج خود را از نطفۀ حرام حفظ کند، حتّی اگر این نطفه را با کمک ابزار پزشکی در رحم او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اشکال به این استدلال، وارد است که در ادامۀ بحث به آن اشاره می‌شود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به این آیه، متوقّف است بر این‌که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المتعلّق یدلّ علی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بپذیریم؛ در حالی که هیچ اصل و دلیلی از این قاعده پشیبانی</w:t>
      </w:r>
    </w:p>
    <w:p>
      <w:pPr>
        <w:pStyle w:val="BookText"/>
        <w:rPr/>
      </w:pPr>
      <w:r>
        <w:rPr>
          <w:rFonts w:ascii="IRNazanin" w:hAnsi="IRNazanin" w:eastAsia="IRNazanin"/>
          <w:color w:val="111111"/>
          <w:sz w:val="28"/>
          <w:sz w:val="28"/>
          <w:szCs w:val="28"/>
          <w:rtl w:val="true"/>
          <w:lang w:bidi="fa-IR"/>
        </w:rPr>
        <w:t>نمی‌کند و به نظر می‌رسد که این قاعده از مشهوراتی است که پایه و اساس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متعلّق حذف شود، دلالت بر عموم می‌کند؛ بلکه در این موارد باید با توجّه به قرائن و مناسبات کلامی، مانند مناسبت حکم و موضوع، متعلّق محذوف را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آیۀ شریفۀ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الْمَیْتَةُ وَ الدَّمُ وَ لَحْمُ الْخِنْزِیرِ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اقتضای قرائن، اکل و شرب در تقدیر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نیز با توجّه به قرائن، زن باید فرج خود را از نگاه و لمس نامحرم و وطی با غیر شوهر حفظ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سیاق آیه، مقصود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یحفظن فروجهنّ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زن باید در رابطه با غیر، فرج خود را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مقصود آیه این است که زن نسبت به نگاه، لمس و مقاربت نامشروع،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حفظ فرج، نسبت به نگاه و مقاربت نامشروع با غیر، عمومیت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حکم در جایی است که زن خود را در معرض نظر و لمس دیگران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فرضی که خودِ زن اقدام به قرار دادن نطفه در رحم بکند و عمل قرار گرفتن نطفه توسّط پزشک یا شخص دیگری انجام نشود، حکم آیه شامل آن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اشکال، روایاتی است که در تفسیر این آیۀ شریفه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روایات، تصریح شده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زناست، مگر در آیۀ یاد شده که مقصود از فرج در آن، نگاه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بهتر این اشکال، روایات وارد شده در تفسیر این آیۀ شریفه را مورد مطالعه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مرسله را شیخ صدوق قدس سره به اسناد قطعی از امام صادق علیه السلام نقل می‌کند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سُئِلَ الصَّادقُ علیه السلام 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لِلْمُؤْمِنِینَ یَغُضُّوا مِنْ</w:t>
      </w:r>
    </w:p>
    <w:p>
      <w:pPr>
        <w:pStyle w:val="BookText"/>
        <w:rPr/>
      </w:pPr>
      <w:r>
        <w:rPr>
          <w:rFonts w:ascii="Amiri" w:hAnsi="Amiri" w:eastAsia="Amiri" w:cs="Amiri"/>
          <w:color w:val="111111"/>
          <w:sz w:val="28"/>
          <w:sz w:val="28"/>
          <w:szCs w:val="28"/>
          <w:rtl w:val="true"/>
          <w:lang w:bidi="ar-SA"/>
        </w:rPr>
        <w:t>أَبْصارِهِمْ وَ یَحْفَظُوا فُرُوجَهُمْ ذلِکَ أَزْکی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کَانَ فِی کِتَابِ اللّهِ تَعَالَی مِنْ ذِکْرِ حِفْظِ الْفَرْجِ فَهُوَ مِنَ الزِّنَا إِلاَّ فِی هَذَا الْمَوْضِعِ فَإِنَّهُ لِلْحِفْظِ مِنْ أَنْ یُنْظَرَ إِلَیْهِ؛</w:t>
      </w:r>
      <w:r>
        <w:rPr>
          <w:rStyle w:val="FootnoteAnchor"/>
          <w:rtl w:val="true"/>
        </w:rPr>
        <w:footnoteReference w:id="479"/>
      </w:r>
      <w:r>
        <w:rPr>
          <w:rFonts w:ascii="IRNazanin" w:hAnsi="IRNazanin" w:eastAsia="IRNazanin"/>
          <w:color w:val="111111"/>
          <w:sz w:val="28"/>
          <w:sz w:val="28"/>
          <w:szCs w:val="28"/>
          <w:rtl w:val="true"/>
          <w:lang w:bidi="fa-IR"/>
        </w:rPr>
        <w:t>از حضرت امام صادق علیه السلام دربارۀ این آیۀ قرآن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مومنین بگو چشم‌های خود را بپوشانند و فرج‌های خود را حفظ کنند که این برای آنها پاکیزه‌تر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آنچه در کتاب خدا دربارۀ حفظ فرج آمده است، حفظ فرج از زناست، مگر در این آیه که مراد از آن، حفظ از نگریستن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امام صادق علیه السلام مراد از حفظ فرج در همۀ آیات قرآن را حفظ فرج از وطی نامشروع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حفظ فرج از نگاه دیگران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سند این روایت نیز همان‌گونه که پیش‌تر بیان کردیم، آن دسته از مرسلات صدوق قدس سره که اسناد آنها قطعی است، حجّت‌اند، مانند همین روایت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شیخ کلینی قدس سره در کتاب کافی به اسناد خویش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إِبْرَاهِیمَ عَنْ أَبِیهِ عَنْ بَکْرِ بْنِ صَالِحٍ عَنِ الْقَاسِمِ بْنِ بُرَیْدٍ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عَمْرٍو الزُّبَیْرِیُّ عَنْ أَبِی عَبْدِ اللّهِ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وَتَعَالَی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لِلْمُؤْمِنِینَ یَغُضُّوا مِنْ أَبْصارِهِمْ وَ یَحْفَظُوا فُرُوجَهُمْ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فَنَهَاهُمْ أَنْ یَنْظُرُوا إِلَی عَوْرَاتِهِمْ وَأَنْ یَنْظُرَ الْمَرْءُ إِلَی فَرْجِ أَخِیهِ وَیَحْفَظَ فَرْجَهُ أَنْ یُنْظَرَ إِلَیْهِ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لِلْمُؤْمِناتِ یَغْضُضْنَ مِنْ أَبْصارِهِنَّ وَ یَحْفَظْنَ فُرُوجَهُنَّ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أَنْ تَنْظُرَ إِحْدَاهُنَّ إِلَی فَرْجِ أُخْتِهَا وَتَحْفَظَ فَرْجَهَا مِنْ أَنْ یُنْظَرَ إِلَیْهَا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w:t>
      </w:r>
    </w:p>
    <w:p>
      <w:pPr>
        <w:pStyle w:val="BookText"/>
        <w:rPr/>
      </w:pPr>
      <w:r>
        <w:rPr>
          <w:rFonts w:ascii="Amiri" w:hAnsi="Amiri" w:eastAsia="Amiri" w:cs="Amiri"/>
          <w:color w:val="111111"/>
          <w:sz w:val="28"/>
          <w:sz w:val="28"/>
          <w:szCs w:val="28"/>
          <w:rtl w:val="true"/>
          <w:lang w:bidi="ar-SA"/>
        </w:rPr>
        <w:t>فِی الْقُرْآنِ مِنْ حِفْظِ الْفَرْجِ فَهُوَ مِنْ الزِّنَا إِلاَّ هَذِهِ الْآیَةَ فَإِنَّهَا مِنَ النَّظَرِ</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این روایت نیز بیان می‌کند که مراد از حفظ فرج در این آیه، جلوگیری از نگاه و در دیگر آیات قرآن، جلوگیری از زنا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کرد که بکر بن صالح در سند این روایت، ضعیف است</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 معتبرۀ ابوبصیر است که در تفسیر علی بن ابراهیم قمّی در ذیل آیۀ شریفۀ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لِلْمُؤْمِناتِ یَغْضُضْنَ مِنْ أَبْصارِهِنَّ وَ یَحْفَظْنَ فُرُوجَهُنَّ</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حَدَّثنِی أَبِی عَنْ مُحَمَّد بن أَبِی عُمَیْرِ عَنْ أَبِی بَصِیرِ عَن أَبِی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 آیَةٍ فِی الْقُرْآنِ فِی ذِکْرِ الْفُرُوجِ فَهِیَ مِنَ الزِّنَا إِلَّا هَذِهِ الآیَةِ، فَإِنَّهَا مِنَ النَّظَرِ فَلَا یَحِلُّ لِرَجُلٍ مُؤْمِنٍ أَنْ یَنْظُرَ إِلَی فَرْجِ أَخِیهِ وَلَا یَحِلُّ لِلْمَرْأَةِ أَن تَنْظُرَ إِلَی فَرْجِ أُخْتِهَا</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این روایت نیز همانند دو روایت قبلی، مقصود آیه را نگاه کردن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تفسیر علی بن ابراهیم قمی اختلاف نظر وجود دارد و این اشکال مطرح شده است که خود علی بن ابراهیم قمی این تفسیر را جمع نکرده؛ بلکه برخی از شاگردانش آن را جمع‌آوری کرده‌اند که در کتب رجالی، اسمی از آنها نیست</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در نهایت، حتّی اگر به‌خاطر مناقشه در تفسیر علی بن ابراهیم قمّی، روایت سوم رد شود و به خاطر وجود بکر بن صالح رازی در سند روایت کافی، تردید شود، با این حال، روایت صدوق قدس سره قابل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مراد از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یَحْفَظْنَ فُرُوجَهُنَّ</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آیۀ شریفه، نگاه کردن است که به اولویت قطعی زنا را نیز شامل می‌شود؛ امّا</w:t>
      </w:r>
    </w:p>
    <w:p>
      <w:pPr>
        <w:pStyle w:val="BookText"/>
        <w:rPr/>
      </w:pPr>
      <w:r>
        <w:rPr>
          <w:rFonts w:ascii="IRNazanin" w:hAnsi="IRNazanin" w:eastAsia="IRNazanin"/>
          <w:color w:val="111111"/>
          <w:sz w:val="28"/>
          <w:sz w:val="28"/>
          <w:szCs w:val="28"/>
          <w:rtl w:val="true"/>
          <w:lang w:bidi="fa-IR"/>
        </w:rPr>
        <w:t>دیگر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به اولویّت قطعی، شامل مورد بحث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دادن نطفۀ اجنبی در رحم زن اجنبیّه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دلیلی بر پذیرش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المتعلّق یدلّ علی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و با توجّه به روایات مفسّر این آیه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محذوف در این آیه، نگاه و نظر است و با قیاس اولویّت، لمس و مقاربت را نیز در برمی‌گیرد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الَّذِینَ هُمْ لِفُرُوجِهِمْ حافِظُونَ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عَلی أَزْواجِهِمْ أَوْ ما مَلَکَتْ أَیْمانُهُمْ فَإِنَّهُمْ غَیْرُ مَلُومِینَ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ابْتَغی وَراءَ ذلِکَ فَأُولئِکَ هُمُ العادُونَ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که حفظکنندۀ فرج‌های خود هستند، مگر در برابر زنان و کنیزانشان که در ملک آنانند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بر مباشرت با این زنان ملامت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غیر از آن را اراده کند، ستمکار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مورد حکم تلقیح مصنوعی در فرضی است که نطفۀ مردی را با کمک ابزار پزشکی در رحم زن دیگری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برای اثبات حرمت تلقیح مصنوعی در این فرض، به این آیۀ شریفه استناد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حرمت شکل دوم تلقیح مصنوعی، می‌توان به صدر و ذیل این آیات شریفه استناد کرد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به صدر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استدلال به صدر این آیات می‌توان گفت که متعلّق حفظ فرج در آیۀ شریفۀ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هُمْ لِفُرُوجِهِمْ 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و معنای آیه این است که مردان مؤمن، کسانی هستند که فروج خود را حفظ می‌کنند از این‌که زن اجنبیّه به آن نگاه کند، یا آن را لمس نماید، و یا این مرد با زن اجنبیّه مقاربت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حذف متعلّق، افادۀ عموم می‌کند، بر مرد واجب است</w:t>
      </w:r>
    </w:p>
    <w:p>
      <w:pPr>
        <w:pStyle w:val="BookText"/>
        <w:rPr/>
      </w:pPr>
      <w:r>
        <w:rPr>
          <w:rFonts w:ascii="IRNazanin" w:hAnsi="IRNazanin" w:eastAsia="IRNazanin"/>
          <w:color w:val="111111"/>
          <w:sz w:val="28"/>
          <w:sz w:val="28"/>
          <w:szCs w:val="28"/>
          <w:rtl w:val="true"/>
          <w:lang w:bidi="fa-IR"/>
        </w:rPr>
        <w:t>که از همه چیز، حتّی قرار گرفتن نطفه‌اش در رحم زن اجنبیّه توسّط دستگاه نیز خودداری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آنچه در نقد استدلال به آیۀ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نور گفته شد، نسبت به این آیه نیز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گونه که استدلال به آیۀ قبلی را صحیح ندانستیم، این استدلال را نیز رد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ذیل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پایانی این آیات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ابْتَغی وَراءَ ذلِکَ فَأُولئِکَ هُمُ العادُونَ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این بخش از آیه، این است که مردانی که غیر از ازدواج و ملک یمین را اراده کنند، از ستمکاران‌اند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قسمت از آیه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در قبال همسر و کنیز خود مسئولیّتی برای حفظ فرج ندارند؛ امّا با توجّه به اطلاق و عموم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 باید در مقابل زنان دیگر، فرج خود را حفظ کند و اگر برخلاف آن عمل کند، از حدود و مقرّرات الهی تجاوز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مطلب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ابْتَغی وَراءَ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نطفۀ مرد در رحم زن اجنبیّه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استدلال به این قسمت از آیه، نیازی به انضمام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از این حیث اشکالی براستدلال وارد نمی‌شود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مطلبی که باید مورد بررسی قرار گیرد، این است که آیا می‌توان با ضمیمه کردن قاعدۀ اشتراک تکالیف بین زن و مرد به این آیه، به یک قاعدۀ کلّی در مورد فروج رسید؟ اگر بتوان چنین قاعده‌ای را برداشت کرد، معنایش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مرد، تنها برای همسر و کنیزش حلال است و غیر از آن هرچه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فرج زن، تنها برای شوهرش حلال است و جواز هر امری غیر از این موارد، نیازمند تصریح و اجازۀ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 طبق این آیه زنا، لواط،</w:t>
      </w:r>
    </w:p>
    <w:p>
      <w:pPr>
        <w:pStyle w:val="BookText"/>
        <w:rPr/>
      </w:pPr>
      <w:r>
        <w:rPr>
          <w:rFonts w:ascii="IRNazanin" w:hAnsi="IRNazanin" w:eastAsia="IRNazanin"/>
          <w:color w:val="111111"/>
          <w:sz w:val="28"/>
          <w:sz w:val="28"/>
          <w:szCs w:val="28"/>
          <w:rtl w:val="true"/>
          <w:lang w:bidi="fa-IR"/>
        </w:rPr>
        <w:t>مساحقه، تفخیذ و استمنا حرام است و از جمله کارهایی که مشمول حکم آیه می‌شود، قرار دادن نطفۀ مرد در رحم زن اجنبیّه است که از دایرۀ حلّیت و جواز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اگر بپذیریم که آیه این قاعده و قانون کلّی را بیان می‌کند، آن‌گاه اصل اوّلی در مورد فروج تحریم است، مگر در مورد ازدواج و ملک 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دیگری که باید به آن اشاره نمود، این است که با پذیرش قاعدۀ اشتراک تکالیف بین زن و مرد، حکم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حفظ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مردان، زنان را نیز در برمی‌گیرد؛ لیکن پرسش دیگری که مطرح می‌شود این است که در فرض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نطفۀ مرد در رحم اجنبیّه قرار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کدام یک مرتکب حرام شده‌اند؟ زن، مرد یا هر دو؟ به عبارت روشن‌تر، آیا مردی که منی او از راهی غیر از مقاربت در رحم دیگری قرار گرفته، عملی حرام را مرتکب شده است؟ و از سوی دیگر، آیا زنی که حفظ فرج نکرده و اجازه داده است که نطفۀ اجنبی در رحمش قرار گیرد، مرتکب حرام دیگری شده است؟</w:t>
      </w:r>
    </w:p>
    <w:p>
      <w:pPr>
        <w:pStyle w:val="BookText"/>
        <w:rPr/>
      </w:pPr>
      <w:r>
        <w:rPr>
          <w:rFonts w:ascii="IRNazanin" w:hAnsi="IRNazanin" w:eastAsia="IRNazanin"/>
          <w:color w:val="111111"/>
          <w:sz w:val="28"/>
          <w:sz w:val="28"/>
          <w:szCs w:val="28"/>
          <w:rtl w:val="true"/>
          <w:lang w:bidi="fa-IR"/>
        </w:rPr>
        <w:t>اگر کسی قاعدۀ اشتراک تکالیف را بپذیرد و تلقیح مصنوعی در این فرض را حرام بداند، طبق این بیان، باید به دو حرمت ملتزم شود؛ ولی اگر این قاعده پذیرفته نشود و آیه مختص مردان باشد، استدلال تنها از سوی مرد، صحیح خواهد بود؛ یعنی از این جهت که مرد اجازه داده است، منی و نطفه‌اش در رحم اجنبیّه قرار گیرد و این عمل از مصادیق نهی شده در آیه است، باید عمل تلقیح را حرام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ذیل این آیات نیز اشکالاتی دارد که در ادامه به آنها اشاره می‌کنیم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نطفه‌اش با کمک ابزار پزشکی در رحم زن دیگری قرار داده شده، مرتکب عمل خلافی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منی مرد در اختیار یکی از مراکز پزشکی قرار گیرد و این مرکز اقدام به باروری مصنوعی نماید، نمی‌توان گفت که مرد حفظ فرج نکرده است و با توجّه به آیه مرتکب فعل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صورتی مرتکب حرام می‌شود که نطفه‌اش از طریق مقاربت نامشروع در رحم زن</w:t>
      </w:r>
    </w:p>
    <w:p>
      <w:pPr>
        <w:pStyle w:val="BookText"/>
        <w:rPr/>
      </w:pP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قرار دادن منی مرد در رحم اجنبیّه، مصداق حفظ نکردن فرج توسّط مرد شمرده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آیه را مختصّ مردان بدانیم و قاعدۀ اشتراک تکالیف را نپذیریم، استدلال مخدوش خواهد شد؛ امّا اگر قاعدۀ اشتراک پذیرفته شود، می‌توان گفت که زن مرتکب حرام شده وفرج خود را حفظ نکرده است؛ یعنی به حکم آیه، زنی که اجازه داده است که نطفۀ مرد اجنبی در رحم‌اش قرار گیرد، فعلی حرام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باید گفت که بدون پذیرش قاعدۀ اشتراک تکالیف، استدلال به آیه مخدوش است و با پذیرش آن، استدلال تنها از طرف زن قابل قبول است و مرد، مرتکب فعل حرام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قرینه می‌توان گفت که مراد از حفظ فرج در این آیه، حفظ فرج از زناست و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وَراءَ 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مقاربت جنسی نامشروع با غیر از همسر و کنیز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روایاتی که پیش از این، بررسی شد، منظور از حفظ فرج در آیات قرآن، حفظ آن از زناست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آیۀ شریفه نیز حفظ فرج، به معنای مراقبت از وطی نامشروع و زناست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قرائن موجود در آیۀ شریفه نیز این مطلب را تأیید می‌کند، بدین بیان که در ابتدای آیه، سخن از ارتباط مرد با همسر و کنیزش به میان آمده است که این ارتباط، تنها از راه لمس و مقاربت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در مورد مقاربت است و ذیل آیه نیز اشاره به مقاربت غیر مشروع دارد؛ یعنی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ابْتَغی وَراءَ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صدر آیه، به زنا اشاره دارد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با توجّه به این اشکالات نمی‌توان آن قاعدۀ کلّی را در مورد فروج ثابت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مرد، تنها برای همسر و کنیزش و فرج زن، تنها برای شوهرش حلال است و هر امر راجع به فرج غیر از موارد نامبرده، حرام است و نیاز به مجوّز</w:t>
      </w:r>
    </w:p>
    <w:p>
      <w:pPr>
        <w:pStyle w:val="BookText"/>
        <w:rPr/>
      </w:pPr>
      <w:r>
        <w:rPr>
          <w:rFonts w:ascii="IRNazanin" w:hAnsi="IRNazanin" w:eastAsia="IRNazanin"/>
          <w:color w:val="111111"/>
          <w:sz w:val="28"/>
          <w:sz w:val="28"/>
          <w:szCs w:val="28"/>
          <w:rtl w:val="true"/>
          <w:lang w:bidi="fa-IR"/>
        </w:rPr>
        <w:t>شرعی دارد؛ بلکه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مورد مقاربت نامشروع است و نمی‌توان حکم آن را به موارد دیگر گسترش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نکتۀ مهم در این آیه، آن است که روایتی در زمینۀ حرمت استمنا از این آیه شریفه وجود دارد که با استفاده از آن می‌توان ثابت کرد که آیه اطلاق دارد و باید با توجّه به اطلاق آن، باروری مصنوعی در فرض یاد شده را حرام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حرمت استمنا شکّی نیست و در بحث قبلی به روایتی که بر حرمت آن دلالت دارد، اشاره شد؛ امّا در روایتی دیگر، یکی از اصحاب امام صادق علیه السلام از ایشان در مورد دلیل حرمت استمنا می‌پرسد که ایشان در پاسخ به او، به ذیل همین آیه تمسّک کرده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ابْتَغی وَراءَ ذلِکَ فَأُولئِکَ هُمُ العادُونَ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حرمت استمنا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مُحَمَّدِ بْنِ عِیسَی فِی نَوَادِرِهِ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عَنِ الْخَضْخَضَةِ؟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إِثْمٌ عَظِیمٌ قَدْ نَهَی اللّهُ عَنْهُ فِی کِتَابِهِ وَفَاعِلُهُ کَنَاکِحِ نَفْسِهِ وَلَوْ عَلِمْتَ بِمَا یَفْعَلُهُ مَا أَکَلْتَ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فَبَیِّنْ لِی یَا ابْنَ رَسُولِ اللّهِ مِنْ کِتَابِ اللّهِ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ابْتَغی وَراءَ ذلِکَ فَأُولئِکَ هُمُ العادُونَ</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مِمَّا وَرَاءَ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أَکْبَرُ الزِّنَا أَوْ هِیَ؟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ذَنْبٌ عَظِیمٌ، قَدْ قَالَ الْقَائِلُ بَعْضُ الذَّنْبِ أَهْوَنُ مِنْ بَعْضٍ وَالذُّنُوبُ کُلُّهَا عَظِیمٌ عِنْدَ اللّهِ لِأَنَّهَا مَعَاصِیَ وَأَنَّ اللّهَ لَایُحِبُّ مِنَ الْعِبَادِ الْعِصْیَان؛</w:t>
      </w:r>
      <w:r>
        <w:rPr>
          <w:rStyle w:val="FootnoteAnchor"/>
          <w:rtl w:val="true"/>
        </w:rPr>
        <w:footnoteReference w:id="485"/>
      </w:r>
      <w:r>
        <w:rPr>
          <w:rFonts w:ascii="IRNazanin" w:hAnsi="IRNazanin" w:eastAsia="IRNazanin"/>
          <w:color w:val="111111"/>
          <w:sz w:val="28"/>
          <w:sz w:val="28"/>
          <w:szCs w:val="28"/>
          <w:rtl w:val="true"/>
          <w:lang w:bidi="fa-IR"/>
        </w:rPr>
        <w:t xml:space="preserve">از حضرت امام صادق علیه السلام دربارۀ خضخضة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گناهی بزرگ است که خداوند در کتابش از آن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فعل را انجام می‌دهد گویا با خودش نکاح و مقاربت کرده است و اگر تو حقیقت آنچه را این شخص انجام می‌دهد می‌دانستی، هرگز با او هم غذا نمی‌شدی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اللّه، خداوند در کدام آیه از</w:t>
      </w:r>
    </w:p>
    <w:p>
      <w:pPr>
        <w:pStyle w:val="BookText"/>
        <w:rPr/>
      </w:pPr>
      <w:r>
        <w:rPr>
          <w:rFonts w:ascii="IRNazanin" w:hAnsi="IRNazanin" w:eastAsia="IRNazanin"/>
          <w:color w:val="111111"/>
          <w:sz w:val="28"/>
          <w:sz w:val="28"/>
          <w:szCs w:val="28"/>
          <w:rtl w:val="true"/>
          <w:lang w:bidi="fa-IR"/>
        </w:rPr>
        <w:t>آیات قرآن به این مطلب اشاره کرده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خداوند متعال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ابْتَغی وَراءَ ذلِکَ فَأُولئِکَ هُمُ العادُونَ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ادامه سائل از امام علیه السلام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زنا بدتر است یا استمنا؟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استمنا گناهی بزرگ است،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از گناه دیگر کوچک‌تر است، در حالی که همۀ گناهان نزد پروردگار عظیم‌اند و خداوند متعال عصیان و گناه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روایت که امام صادق علیه السلام برای حرمت استمنا به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ابْتَغی وَراءَ ذلِکَ فَأُولئِکَ هُمُ العادُونَ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نموده‌اند،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آیات قرآن مقصود از فرج، زناست و قسمت اوّل آیه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هُمْ لِفُرُوجِهِمْ 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زنا نازل شده است، امّا قسمت اخیر آیه اطلاق دارد و زنا، لواط، استمنا و بر اساس قاعدۀ اشتراک، مساحقه و هر امری در مورد فروج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فروض شرعی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فرض مسئله که در آن نطفۀ مرد در رحم زن اجنبیّه قرار داده می‌شود، مشمول حکم آیه می‌گردد و مورد نهی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روشن‌تر، با توجّه به استدلال و استناد امام صادق علیه السلام به آیه، می‌توان فهمید که این قسمت از آیه، اطلاق دارد و مقصودش این است که تنها ارتباط مرد با همسر و کنیزش جایز است و هر مصداقی غیر از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فرض مسئله نیز داخل در این اطلاق قرار می‌گیرد و می‌توان به حرمت آن فتوا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باید به آن اشاره شود، این است که مطالب گفته شده، در صورتی صحیح است که سند روایت یاد شده را معتبر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بررسی سند این روایت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روایت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 بن عیسی الأشعری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الصادق علیه السلام</w:t>
      </w:r>
      <w:r>
        <w:rPr>
          <w:rFonts w:eastAsia="IRNazanin" w:cs="IRNazanin"/>
          <w:color w:val="111111"/>
          <w:sz w:val="28"/>
          <w:szCs w:val="28"/>
          <w:rtl w:val="true"/>
          <w:lang w:bidi="fa-IR"/>
        </w:rPr>
        <w:t>...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احمد بن محمّد و پدرش محمّد بن عیسی بحثی نیست؛ امّا مشکل این</w:t>
      </w:r>
    </w:p>
    <w:p>
      <w:pPr>
        <w:pStyle w:val="BookText"/>
        <w:rPr/>
      </w:pPr>
      <w:r>
        <w:rPr>
          <w:rFonts w:ascii="IRNazanin" w:hAnsi="IRNazanin" w:eastAsia="IRNazanin"/>
          <w:color w:val="111111"/>
          <w:sz w:val="28"/>
          <w:sz w:val="28"/>
          <w:szCs w:val="28"/>
          <w:rtl w:val="true"/>
          <w:lang w:bidi="fa-IR"/>
        </w:rPr>
        <w:t>است که محمّد بن عیسی از اصحاب امام هشتم و امام نهم علیهما السلام بوده است؛</w:t>
      </w:r>
      <w:r>
        <w:rPr>
          <w:rStyle w:val="FootnoteAnchor"/>
          <w:rtl w:val="true"/>
        </w:rPr>
        <w:footnoteReference w:id="486"/>
      </w:r>
      <w:r>
        <w:rPr>
          <w:rFonts w:ascii="IRNazanin" w:hAnsi="IRNazanin" w:eastAsia="IRNazanin"/>
          <w:color w:val="111111"/>
          <w:sz w:val="28"/>
          <w:sz w:val="28"/>
          <w:szCs w:val="28"/>
          <w:rtl w:val="true"/>
          <w:lang w:bidi="fa-IR"/>
        </w:rPr>
        <w:t>ولی در این‌جا بدون واسطه از امام صادق علیه السلام نقل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موضوع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مرفوعه</w:t>
      </w:r>
      <w:r>
        <w:rPr>
          <w:rStyle w:val="FootnoteAnchor"/>
          <w:rtl w:val="true"/>
        </w:rPr>
        <w:footnoteReference w:id="487"/>
      </w:r>
      <w:r>
        <w:rPr>
          <w:rFonts w:ascii="IRNazanin" w:hAnsi="IRNazanin" w:eastAsia="IRNazanin"/>
          <w:color w:val="111111"/>
          <w:sz w:val="28"/>
          <w:sz w:val="28"/>
          <w:szCs w:val="28"/>
          <w:rtl w:val="true"/>
          <w:lang w:bidi="fa-IR"/>
        </w:rPr>
        <w:t>است و هرچه در مورد احادیث مرسل گفته می‌شود، در مورد احادیث مرفوعه نیز جاری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 توجّه به این‌که به روایات مرسل اعتنا نمی‌شود، پس سند این روایت مرفوعه نیز فاقد اعتبار است و نمی‌توان به آن استدلال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دید مقصود امام علیه السلام از تمسّک به اطلاق این آیه چیست؟ آیا تمسّک ایشان به آیه، تعبّدی است یا کاشف از اطلاق آیه است؟</w:t>
      </w:r>
    </w:p>
    <w:p>
      <w:pPr>
        <w:pStyle w:val="BookText"/>
        <w:rPr/>
      </w:pPr>
      <w:r>
        <w:rPr>
          <w:rFonts w:ascii="IRNazanin" w:hAnsi="IRNazanin" w:eastAsia="IRNazanin"/>
          <w:color w:val="111111"/>
          <w:sz w:val="28"/>
          <w:sz w:val="28"/>
          <w:szCs w:val="28"/>
          <w:rtl w:val="true"/>
          <w:lang w:bidi="fa-IR"/>
        </w:rPr>
        <w:t>اگر سخن امام علیه السلام در روایت مرفوعه، عنوان تعبّدی نداشته باشد، استدلال به اطلاق آیه صحیح است 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نیاز به بررسی صحّت سند روایت است که امام علیه السلام مطلبی را به‌طور تعبّدی بیان کرده باشند؛ ولی در غیر این صورت، اگر موضوع مورد بحث امام علیه السلام، موافق قواعد باشد و بتوان آن را بدون توجّه به سخن ایشان نیز تشخیص داد، صحّت سند، موضوعیّت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نیز آیه اطلاق دارد و استدلال امام علیه السلام به آن، از جهت تعبّد نیست؛ بلکه قواعد موجود در مباحث الفاظ و ظهور این آیۀ شریفه، اقتضای اطلاق را دارد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روشن‌تر، اگر سخن امام علیه السلام جنبۀ تعبّدی نداشته باشد، به این معناست که امام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هم چنین چیزی را نمی‌گفتم، شما با دقّت در آیه</w:t>
      </w:r>
    </w:p>
    <w:p>
      <w:pPr>
        <w:pStyle w:val="BookText"/>
        <w:rPr/>
      </w:pPr>
      <w:r>
        <w:rPr>
          <w:rFonts w:ascii="IRNazanin" w:hAnsi="IRNazanin" w:eastAsia="IRNazanin"/>
          <w:color w:val="111111"/>
          <w:sz w:val="28"/>
          <w:sz w:val="28"/>
          <w:szCs w:val="28"/>
          <w:rtl w:val="true"/>
          <w:lang w:bidi="fa-IR"/>
        </w:rPr>
        <w:t>می‌توانستید از این اطلاق به حرمت استمنا دست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مرفوعه بودن روایت، این آیه اطلاق دارد و با توجّه به اطلاق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مصادیق اصالة الظهور و حجّیت آن عقلایی است و شارع نیز در محاورات خود، بنایی غیر از بنای عقلا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به حرمت صورت دوم تلقیح مصنوعی فتوا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عَلَیْکُمْ أُمَّهاتُکُمْ وَ بَناتُکُمْ وَ أَخَواتُکُمْ وَ عَمّاتُکُمْ وَ خالاتُکُمْ وَ بَناتُ الْأَخِ وَ بَناتُ الْأُخْتِ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شما حرام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ازدواج 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مادرانتان و دخترانتان و خواهرانتان و عمّه‌هایتان و خاله‌هایتان و دختران برادر و دختران خواهر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استدلال به این آیه، بدین صورت است که در این آیه، متعلّق حرمت ذکر نشده و معنا ندارد که خود این افراد حرام باشند؛ چراکه تکلیف به ذات تعلّق نمی‌گیرد؛ بلکه همیشه به فعلی از افعال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فعلی را در تقدیر گرفت؛ ولی از آن‌جا که در این آیه فعل معیّنی آورده نشده است، باید به اقتضای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المتعلّق یدلّ علی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فعلی را نسبت به این افراد حرام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فرض مسئله که عبارت است از قرار دادن نطفۀ مرد اجنبی در رحم زن اجنبیّه، مشمول حکم آیه می‌شود؛ چراکه مقصود از زن اجنبیّه، زنی غیر از زوجۀ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مادر، عمّه، خاله و دیگر افرادی که در این آیه از آنها نام برده شده است نیز عنوان اجنبیّه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وارد کردن نطفۀ مرد در رحم زنی غیر از همسر شرعی‌اش، مانند مادر، دختر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کسانی که قائل به جواز عمل تلقیح در این فرض شده‌اند، در مورد ویژگی‌های زن اجنبیّه تفاوتی نگذاشته‌اند؛ یعنی هر زنی که غیر همسر این مرد باشد،</w:t>
      </w:r>
    </w:p>
    <w:p>
      <w:pPr>
        <w:pStyle w:val="BookText"/>
        <w:rPr/>
      </w:pPr>
      <w:r>
        <w:rPr>
          <w:rFonts w:ascii="IRNazanin" w:hAnsi="IRNazanin" w:eastAsia="IRNazanin"/>
          <w:color w:val="111111"/>
          <w:sz w:val="28"/>
          <w:sz w:val="28"/>
          <w:szCs w:val="28"/>
          <w:rtl w:val="true"/>
          <w:lang w:bidi="fa-IR"/>
        </w:rPr>
        <w:t>می‌تواند از او قبول نطفه کند، شوهردار باشد یا نباشد، از محارم نسبی وی باشد یا نباشد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کسانی که به عدم جواز حکم می‌کنند معتقدند که اگر بخواهیم تلقیح مصنوعی در این فرض را جایز بدانیم، باید بگوییم قرار دادن نطفه در رحم مادر و خواهر نیز جایز است، در حالی که با توجّه به اطلاق این آیه، چنین فعلی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استدلال به این آیه نیز با اشکالاتی رو به روست؛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المتعلّق یدّل علی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نپذیرفتیم؛ بلکه به نظر ما به قرینۀ تناسب حکم و موضوع می‌توان فهمید که متعلّق حرمت در این آیه نکاح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قبل و بعد از این آیۀ شریفه نیز قرینۀ مناسبی هستند بر این‌که متعلّق حرمت در آیۀ مورد بحث، نکاح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چهارم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الْمُسْلِمِینَ وَ الْمُسْلِماتِ وَ الْمُؤْمِنِینَ وَ الْمُؤْمِناتِ وَ الْقانِتِینَ وَ الْقانِتاتِ وَ الصّادِقِینَ وَ الصّادِقاتِ وَ الصّابِرِینَ وَ الصّابِراتِ وَ الْخاشِعِینَ وَ الْخاشِعاتِ وَ الْمُتَصَدِّقِینَ وَ الْمُتَصَدِّقاتِ وَ الصّائِمِینَ وَ الصّائِماتِ وَ الْحافِظِینَ فُرُوجَهُمْ وَ الْحافِظاتِ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اگر اطلاق این آیه را بپذیریم، مدلولش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باید فروج خود را از هر چیزی حفظ کنند، مگر در مورد آنچه بر آنها حلال شده است، که البتّه حلال در مورد مرد، همسر و کنیز او و در مورد زن، شوهر او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همچون شیخ طوسی در تبیان</w:t>
      </w:r>
      <w:r>
        <w:rPr>
          <w:rStyle w:val="FootnoteAnchor"/>
          <w:rtl w:val="true"/>
        </w:rPr>
        <w:footnoteReference w:id="488"/>
      </w:r>
      <w:r>
        <w:rPr>
          <w:rFonts w:ascii="IRNazanin" w:hAnsi="IRNazanin" w:eastAsia="IRNazanin"/>
          <w:color w:val="111111"/>
          <w:sz w:val="28"/>
          <w:sz w:val="28"/>
          <w:szCs w:val="28"/>
          <w:rtl w:val="true"/>
          <w:lang w:bidi="fa-IR"/>
        </w:rPr>
        <w:t>و جصّاص در احکام القرآن،</w:t>
      </w:r>
      <w:r>
        <w:rPr>
          <w:rStyle w:val="FootnoteAnchor"/>
          <w:rtl w:val="true"/>
        </w:rPr>
        <w:footnoteReference w:id="489"/>
      </w:r>
      <w:r>
        <w:rPr>
          <w:rFonts w:ascii="IRNazanin" w:hAnsi="IRNazanin" w:eastAsia="IRNazanin"/>
          <w:color w:val="111111"/>
          <w:sz w:val="28"/>
          <w:sz w:val="28"/>
          <w:szCs w:val="28"/>
          <w:rtl w:val="true"/>
          <w:lang w:bidi="fa-IR"/>
        </w:rPr>
        <w:t>که در بحث آیات الاحکام صاحب نظرند، آیه را مطلق دانسته و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باید فرج خود را از هر امری حفظ نمایند، مگر آن مواردی که بر آنان حلال و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اطلاق</w:t>
      </w:r>
      <w:bookmarkStart w:id="629" w:name="pg13785_135148"/>
    </w:p>
    <w:p>
      <w:pPr>
        <w:pStyle w:val="BookText"/>
        <w:rPr/>
      </w:pPr>
      <w:bookmarkEnd w:id="629"/>
      <w:r>
        <w:rPr>
          <w:rFonts w:ascii="IRNazanin" w:hAnsi="IRNazanin" w:eastAsia="IRNazanin"/>
          <w:color w:val="111111"/>
          <w:sz w:val="28"/>
          <w:sz w:val="28"/>
          <w:szCs w:val="28"/>
          <w:rtl w:val="true"/>
          <w:lang w:bidi="fa-IR"/>
        </w:rPr>
        <w:t>آیه، قرار گرفتن نطفۀ مرد در رحم زنی غیر از همسرش را نیز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به نظر می‌رسد که این آیه نیز قابلیت استدلال را ندارد؛ زیرا روایاتی وجود دارد که در آنها منظور از حفظ فرج در قرآن، حفظ فرج از زنا دانسته شده است که با توجّه به این روایات، نمی‌توان این اطلاق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بدین‌وسیله دانسته شد که از میان آیاتی که در مورد آن بحث صورت گرفت، تنها آیۀ شریفۀ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ابْتَغی وَراءَ ذلِکَ فَأُولئِکَ هُمُ العادُونَ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استدلال است که بر حرمت صورت دوم تلقیح مصنوعی دلالت دارد</w:t>
      </w:r>
      <w:r>
        <w:rPr>
          <w:rFonts w:eastAsia="IRNazanin" w:cs="IRNazanin"/>
          <w:color w:val="111111"/>
          <w:sz w:val="28"/>
          <w:szCs w:val="28"/>
          <w:rtl w:val="true"/>
          <w:lang w:bidi="fa-IR"/>
        </w:rPr>
        <w:t>.</w:t>
      </w:r>
    </w:p>
    <w:p>
      <w:pPr>
        <w:pStyle w:val="Heading6"/>
        <w:numPr>
          <w:ilvl w:val="5"/>
          <w:numId w:val="1"/>
        </w:numPr>
        <w:rPr/>
      </w:pPr>
      <w:bookmarkStart w:id="630" w:name="__RefHeading___Toc2531175_1468164448"/>
      <w:bookmarkStart w:id="631" w:name="_Toc243"/>
      <w:bookmarkEnd w:id="630"/>
      <w:r>
        <w:rPr/>
        <w:t>1-3</w:t>
      </w:r>
      <w:r>
        <w:rPr>
          <w:rtl w:val="true"/>
        </w:rPr>
        <w:t xml:space="preserve">- </w:t>
      </w:r>
      <w:r>
        <w:rPr>
          <w:rtl w:val="true"/>
        </w:rPr>
        <w:t>تعلیل موجود در برخی از روایات</w:t>
      </w:r>
      <w:bookmarkEnd w:id="631"/>
    </w:p>
    <w:p>
      <w:pPr>
        <w:pStyle w:val="BookText"/>
        <w:rPr/>
      </w:pPr>
      <w:r>
        <w:rPr>
          <w:rFonts w:ascii="IRNazanin" w:hAnsi="IRNazanin" w:eastAsia="IRNazanin"/>
          <w:color w:val="111111"/>
          <w:sz w:val="28"/>
          <w:sz w:val="28"/>
          <w:szCs w:val="28"/>
          <w:rtl w:val="true"/>
          <w:lang w:bidi="fa-IR"/>
        </w:rPr>
        <w:t>ملاک توانمندی فقیه، این است که تا آن‌جا که می‌تواند برای نفی یا اثبات یک موضوع دلیل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ما در مورد هر مسئله‌ای همۀ ادلّۀ محتمل را مورد بررسی قرار می‌دادند، هرچند ممکن است برخی از این دلائل پذیرفته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نیز چه بسا برای اثبات حرمت صورت دوم تلقیح مصنوعی، به روایتی که در آن‌حرمت زنا شرح داده شده است، استناد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بِإِسْنَادِهِ عَنْ مُحَمَّدِ بْنِ سِنَان عَنِ الرِّضا علیه السلام فِیمَا کَتَبَ إِلَیْهِ مِنْ جَوَابِ مَسَائِلِهِ وَحَرَّمَ اللّهُ الزِّنَا لِمَا فِیهِ مِنَ الْفَسَادِ مِنْ قَتْلِ النَّفْسِ وَذَهَابِ الأَنْسَابِ وَ تَرْکِ التَّرْبِیَةِ لِلْأَطْفَالِ وَفَسَادِ الْمَوَارِیثِ وَمَا أَشْبَهَ ذَلِکَ مِنْ وُجُوهِ الْفَسَادِ؛</w:t>
      </w:r>
      <w:r>
        <w:rPr>
          <w:rStyle w:val="FootnoteAnchor"/>
          <w:rtl w:val="true"/>
        </w:rPr>
        <w:footnoteReference w:id="490"/>
      </w:r>
      <w:r>
        <w:rPr>
          <w:rFonts w:ascii="IRNazanin" w:hAnsi="IRNazanin" w:eastAsia="IRNazanin"/>
          <w:color w:val="111111"/>
          <w:sz w:val="28"/>
          <w:sz w:val="28"/>
          <w:szCs w:val="28"/>
          <w:rtl w:val="true"/>
          <w:lang w:bidi="fa-IR"/>
        </w:rPr>
        <w:t>امام رضا علیه السلام در پاسخ به پرسش‌های محمّد بن سنان چنین نوشته‌اند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زنا را به خاطر مفاسدی که در آن است حرام نمود، این مفاسد عبارت است از قتل نفس،</w:t>
      </w:r>
      <w:r>
        <w:rPr>
          <w:rStyle w:val="FootnoteAnchor"/>
          <w:rtl w:val="true"/>
        </w:rPr>
        <w:footnoteReference w:id="491"/>
      </w:r>
      <w:r>
        <w:rPr>
          <w:rFonts w:ascii="IRNazanin" w:hAnsi="IRNazanin" w:eastAsia="IRNazanin"/>
          <w:color w:val="111111"/>
          <w:sz w:val="28"/>
          <w:sz w:val="28"/>
          <w:szCs w:val="28"/>
          <w:rtl w:val="true"/>
          <w:lang w:bidi="fa-IR"/>
        </w:rPr>
        <w:t>به هم ریختگی نسب‌ها، ترک تربیت فرزندان، فاسد شدن</w:t>
      </w:r>
    </w:p>
    <w:p>
      <w:pPr>
        <w:pStyle w:val="BookText"/>
        <w:rPr/>
      </w:pPr>
      <w:r>
        <w:rPr>
          <w:rFonts w:ascii="IRNazanin" w:hAnsi="IRNazanin" w:eastAsia="IRNazanin"/>
          <w:color w:val="111111"/>
          <w:sz w:val="28"/>
          <w:sz w:val="28"/>
          <w:szCs w:val="28"/>
          <w:rtl w:val="true"/>
          <w:lang w:bidi="fa-IR"/>
        </w:rPr>
        <w:t>مواریث و مفاسدی شبیه موارد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روایت از شیخ صدوق قدس سره تا محمّد بن سنان صحیح است؛ امّا در مورد توثیق محمّد بن سنان دیدگاه‌های گوناگونی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افرادی است که هم جرح شده و هم تعدیل، برای نمونه نجاشی قدس سره در مورد 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مسائل عنه معروفة وهو رجلٌ ضعیفٌ جدّاً لا یعوّل علیه ولا یلتفت إلی ما تفرّد به؛</w:t>
      </w:r>
      <w:r>
        <w:rPr>
          <w:rStyle w:val="FootnoteAnchor"/>
          <w:rtl w:val="true"/>
        </w:rPr>
        <w:footnoteReference w:id="492"/>
      </w:r>
      <w:r>
        <w:rPr>
          <w:rFonts w:ascii="IRNazanin" w:hAnsi="IRNazanin" w:eastAsia="IRNazanin"/>
          <w:color w:val="111111"/>
          <w:sz w:val="28"/>
          <w:sz w:val="28"/>
          <w:szCs w:val="28"/>
          <w:rtl w:val="true"/>
          <w:lang w:bidi="fa-IR"/>
        </w:rPr>
        <w:t>مسائل معروفی از او نقل شده است، و او مردی است که جدّاً ضعیف است و قابل اعتماد نیست و به چیزهایی که او به تنهایی نقل کرده است توجهی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قدس سره در این باره اظهار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طعن علیه وضعف</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کشّی قدس سره از ابن حمودیّه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استحل أن أروی أحادیث محمّد بن سنان</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همچنین کشّی از فضل بن شاذان نقل می‌کند که در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الکشّی عن الفضل بن شاذان، إنّ من الکذّابین المشهورین محمّد بن سنان؛</w:t>
      </w:r>
      <w:r>
        <w:rPr>
          <w:rStyle w:val="FootnoteAnchor"/>
          <w:rtl w:val="true"/>
        </w:rPr>
        <w:footnoteReference w:id="495"/>
      </w:r>
      <w:r>
        <w:rPr>
          <w:rFonts w:ascii="IRNazanin" w:hAnsi="IRNazanin" w:eastAsia="IRNazanin"/>
          <w:color w:val="111111"/>
          <w:sz w:val="28"/>
          <w:sz w:val="28"/>
          <w:szCs w:val="28"/>
          <w:rtl w:val="true"/>
          <w:lang w:bidi="fa-IR"/>
        </w:rPr>
        <w:t>کشّی از فضل بن شاذان نقل کرده است که یکی از دروغگویان مشهور، محمّد بن سنان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مدح او را نیز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می‌توان به روایتی با سند صحیح از امام باقر علیه السلام اشاره کرد که می‌فرماید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جَزَی اللّهُ صَفْوَانَ بْنَ یَحْیَی وَمُحَمَّدَ بْنَ سِنَانٍ وَزَکَرِیَّا بْنَ آدَمَ وَسَعْدَ بْنَ</w:t>
      </w:r>
    </w:p>
    <w:p>
      <w:pPr>
        <w:pStyle w:val="BookText"/>
        <w:rPr/>
      </w:pPr>
      <w:r>
        <w:rPr>
          <w:rFonts w:ascii="Amiri" w:hAnsi="Amiri" w:eastAsia="Amiri" w:cs="Amiri"/>
          <w:color w:val="111111"/>
          <w:sz w:val="28"/>
          <w:sz w:val="28"/>
          <w:szCs w:val="28"/>
          <w:rtl w:val="true"/>
          <w:lang w:bidi="ar-SA"/>
        </w:rPr>
        <w:t>سَعْدٍ عَنِّی خَیْراً فَقَدْ وَفَوْا لِی؛</w:t>
      </w:r>
      <w:r>
        <w:rPr>
          <w:rStyle w:val="FootnoteAnchor"/>
          <w:rtl w:val="true"/>
        </w:rPr>
        <w:footnoteReference w:id="496"/>
      </w:r>
      <w:r>
        <w:rPr>
          <w:rFonts w:ascii="IRNazanin" w:hAnsi="IRNazanin" w:eastAsia="IRNazanin"/>
          <w:color w:val="111111"/>
          <w:sz w:val="28"/>
          <w:sz w:val="28"/>
          <w:szCs w:val="28"/>
          <w:rtl w:val="true"/>
          <w:lang w:bidi="fa-IR"/>
        </w:rPr>
        <w:t>خداوند متعال به صفوان بن یحیی و محمّد بن سنان و زکرّیا بن آدم و سعد بن سعد، جزای خیر دهد که به من وفا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شیخ مفید قدس سره در کتاب الارشاد در مورد محمّد بن سنان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أهل الورع والعلم والفقه؛</w:t>
      </w:r>
      <w:r>
        <w:rPr>
          <w:rStyle w:val="FootnoteAnchor"/>
          <w:rtl w:val="true"/>
        </w:rPr>
        <w:footnoteReference w:id="497"/>
      </w:r>
      <w:r>
        <w:rPr>
          <w:rFonts w:ascii="IRNazanin" w:hAnsi="IRNazanin" w:eastAsia="IRNazanin"/>
          <w:color w:val="111111"/>
          <w:sz w:val="28"/>
          <w:sz w:val="28"/>
          <w:szCs w:val="28"/>
          <w:rtl w:val="true"/>
          <w:lang w:bidi="fa-IR"/>
        </w:rPr>
        <w:t>او اهل ورع و علم و فقه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قولویه قدس سره در کامل الزیارات از او روایت نقل می‌کند</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صاحب وسائل و ابن طاووس قدس سرهما</w:t>
      </w:r>
      <w:r>
        <w:rPr>
          <w:rStyle w:val="FootnoteAnchor"/>
          <w:rtl w:val="true"/>
        </w:rPr>
        <w:footnoteReference w:id="499"/>
      </w:r>
      <w:r>
        <w:rPr>
          <w:rFonts w:ascii="IRNazanin" w:hAnsi="IRNazanin" w:eastAsia="IRNazanin"/>
          <w:color w:val="111111"/>
          <w:sz w:val="28"/>
          <w:sz w:val="28"/>
          <w:szCs w:val="28"/>
          <w:rtl w:val="true"/>
          <w:lang w:bidi="fa-IR"/>
        </w:rPr>
        <w:t>نیز او را توثیق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عیسی اشعری قدس سره نیز که فردی مقیّد بوده و احمد بن خالد برقی را به دلیل نقل احادیث ضعیف از شهر قم بیرون کرد، از محمّد بن سنان روایت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عبارات بالا، مشخّص شد که از یک سو بزرگان علم رجال همچون شیخ طوسی، نجاشی و کشّی قدس سرهم او را تضعیف کرده‌اند و از سوی دیگر، برخی بزرگان، او را توثیق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روایتی در باب مدح وی نیز وارده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مسئلۀ تعارض جرح و تعدیل، در میان بزرگان علم درایه و رجال، پنج دیدگاه مطرح شده است؛ لیکن تحقیق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هیچ یک از جرح یا تعدیل را مقدّم دانست؛ بلکه به سبب تعارض، هر دو از اعتبار خارج و ساقط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می‌توان عدم توثیق را ثابت نمود و نه می‌توان او را موثّق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سند روایت یاد شده، از ناحیۀ محمّد بن سنان دارای اشکال است</w:t>
      </w:r>
      <w:r>
        <w:rPr>
          <w:rFonts w:eastAsia="IRNazanin" w:cs="IRNazanin"/>
          <w:color w:val="111111"/>
          <w:sz w:val="28"/>
          <w:szCs w:val="28"/>
          <w:rtl w:val="true"/>
          <w:lang w:bidi="fa-IR"/>
        </w:rPr>
        <w:t>.</w:t>
      </w:r>
      <w:r>
        <w:rPr>
          <w:rStyle w:val="FootnoteAnchor"/>
          <w:rtl w:val="true"/>
        </w:rPr>
        <w:footnoteReference w:id="500"/>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بحث از سند روایت، این پرسش مطرح می‌شود که آیا می‌توان بحث تسامح در ادلّۀ سنن را در مورد چنین روایاتی که علل احکام را بیان می‌کنند نیز مطرح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سند ادلّۀ سنن، چندان مورد توجّه قرار نمی‌گیرند، به سند روایات</w:t>
      </w:r>
    </w:p>
    <w:p>
      <w:pPr>
        <w:pStyle w:val="BookText"/>
        <w:rPr/>
      </w:pPr>
      <w:r>
        <w:rPr>
          <w:rFonts w:ascii="IRNazanin" w:hAnsi="IRNazanin" w:eastAsia="IRNazanin"/>
          <w:color w:val="111111"/>
          <w:sz w:val="28"/>
          <w:sz w:val="28"/>
          <w:szCs w:val="28"/>
          <w:rtl w:val="true"/>
          <w:lang w:bidi="fa-IR"/>
        </w:rPr>
        <w:t>علل نیز توجّه نمی‌شود؛ چراکه این روایات به بیان حکم نپرداخته‌اند و تنها علّت احکام را بررسی می‌کنند؟</w:t>
      </w:r>
    </w:p>
    <w:p>
      <w:pPr>
        <w:pStyle w:val="BookText"/>
        <w:rPr/>
      </w:pPr>
      <w:r>
        <w:rPr>
          <w:rFonts w:ascii="IRNazanin" w:hAnsi="IRNazanin" w:eastAsia="IRNazanin"/>
          <w:color w:val="111111"/>
          <w:sz w:val="28"/>
          <w:sz w:val="28"/>
          <w:szCs w:val="28"/>
          <w:rtl w:val="true"/>
          <w:lang w:bidi="fa-IR"/>
        </w:rPr>
        <w:t>پاسخ منفی است؛ زیرا چه بسا بخواهیم حکمی کلّی را از این روایات، استخراج کنیم که این امر با تسامح سازگار نیست؛ چنان‌که در این روایت نیز به دنبال اثبات حکمی در باب تلقیح مصنوعی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ضعیف است و به جهت ضعف سند نمی‌توان به آن عمل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باید دید آیا می‌توان با فرض صحّت سند روایت، از آن برای اثبات حرمت تلقیح مصنوعی استفاده نمود؟</w:t>
      </w:r>
    </w:p>
    <w:p>
      <w:pPr>
        <w:pStyle w:val="BookText"/>
        <w:rPr/>
      </w:pPr>
      <w:r>
        <w:rPr>
          <w:rFonts w:ascii="IRNazanin" w:hAnsi="IRNazanin" w:eastAsia="IRNazanin"/>
          <w:color w:val="111111"/>
          <w:sz w:val="28"/>
          <w:sz w:val="28"/>
          <w:szCs w:val="28"/>
          <w:rtl w:val="true"/>
          <w:lang w:bidi="fa-IR"/>
        </w:rPr>
        <w:t>برای استدلال به این روایت برای اثبات تلقیح مصنوعی در فرض مسئله،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ذکر شده در باب زنا در مورد تلقیح مصنوعی نیز وجود دارد؛ زیرا هنگامی که اسپرم و نطفۀ مردی در رحم زن اجنبیّه قرار می‌گیرد و فرزندی متولّد می‌شود،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این فرزند چه کسی است، از چه کسی ارث می‌برد و چه کسی از او ارث می‌برد؟ پس با توجّه به این‌که این عناوین، موجب حرمت زنا شده است، باید تلقیح مصنوعی را نیز حرام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مفاسد و مشکلاتی که روایت یاد شده، برای زنا برشمرده است، در فرض مورد بحث ما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بویژه آن‌که با استفاده از بانک‌های اسپرم که امروزه در برخی از کشورها تأسیس شده، هرگز مشخّص نمی‌شود که پدر این طفل چه کسی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اشکال بر این استدلال، وارد شده است که باید مورد بررسی قرار گیرد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گفته شود که آنچه در این روایت آمده است، حکمت حرمت زناست نه علّت آن؛ زیرا علّت، آن چیزی است که وجود یا عدم وجود حکم متوقّف بر وجود و عدم وجود آن باشد؛ یعنی اگر علّت باشد، حکم ثابت است و اگر نباشد، حکم نیز منتفی خواهد بود؛ لیکن این سخن در مورد حکمت، صادق نیست و وجود و عدم حکم، مبتنی بر وجود یا عدم وجود حکمت نیست؛ بلکه حکمت در صورت وجود فقط بر شأنیّت و اقتضای حکم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عناوینی که در روایت آمده‌اند، فقط مقتضی حرمت‌اند و مجرّد مقتضی، برای اثبات حکم کافی نیست؛ بلکه برای اثبات حکم باید ویژگی‌های دیگری هم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عدم وجود حکمت دلالت بر عدم حکم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چیزی که عنوان علّت را داشت می‌تواند در صورت وجود، حکم را ثابت کند؛ ولی حکمت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روایات باب ربا چنین آمده است که چون ربا عنوان ظلم را داراست، خداوند آن را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بسیاری از فقها ظلم را علّت حرمت ربا نمی‌دانند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حکمت حرمت رباست نه علّت آن؛ یعنی حتّی اگر شخصی ربا بگیرد و عرف عمل او را ظلم نداند، ربا حرام است؛ زیرا ظلم علّت ربا نیست و اثبات حرمت یا عدم آن، بر وجود یا عدم وجود ظلم، توقّف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تفاوت علّت و حکمت این است که علّت در موضوع حکم اخذ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شارع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حرام لأنّه 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اسکار که علّت حرمت خمر است، به عنوان جزء موضوع لحاظ می‌شود، در حالی که حکمت هیچ گاه در موضوع اخذ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وقتی در باب صلوة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واجبةٌ لأنّها تنهی عن الفحشاء والمنکر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نمازی که انسان را از فحشا و منکر دور نمی‌کند، واجب نیست؛ زیرا نهی از فحشا و منکر، جزئی از موضوع وجوب نماز نیست، بلکه فقط یکی از حکمت‌های آن است؛ یعنی موضوع وجوب، تنها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نمازی که ناهی از فحشا و منکر باشد</w:t>
      </w:r>
      <w:r>
        <w:rPr>
          <w:rFonts w:eastAsia="IRNazanin" w:cs="IRNazanin"/>
          <w:color w:val="111111"/>
          <w:sz w:val="28"/>
          <w:szCs w:val="28"/>
          <w:rtl w:val="true"/>
          <w:lang w:bidi="fa-IR"/>
        </w:rPr>
        <w:t>.</w:t>
      </w:r>
      <w:r>
        <w:rPr>
          <w:rStyle w:val="FootnoteAnchor"/>
          <w:rtl w:val="true"/>
        </w:rPr>
        <w:footnoteReference w:id="501"/>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عناوین گوناگون ذکر شده است و از این رو نمی‌توان آنها را علّت حکم دانست؛ چراکه تعدّد علل بر معلول واحد محال است و معلول واحد، هرگز نمی‌تواند چندین علّت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تمام این عناوین را حکمت حکم دانست</w:t>
      </w:r>
      <w:r>
        <w:rPr>
          <w:rFonts w:eastAsia="IRNazanin" w:cs="IRNazanin"/>
          <w:color w:val="111111"/>
          <w:sz w:val="28"/>
          <w:szCs w:val="28"/>
          <w:rtl w:val="true"/>
          <w:lang w:bidi="fa-IR"/>
        </w:rPr>
        <w:t>.</w:t>
      </w:r>
      <w:bookmarkStart w:id="632" w:name="pg13785_135153"/>
    </w:p>
    <w:p>
      <w:pPr>
        <w:pStyle w:val="BookText"/>
        <w:rPr/>
      </w:pPr>
      <w:bookmarkEnd w:id="632"/>
      <w:r>
        <w:rPr>
          <w:rFonts w:ascii="IRNazanin" w:hAnsi="IRNazanin" w:eastAsia="IRNazanin"/>
          <w:color w:val="111111"/>
          <w:sz w:val="28"/>
          <w:sz w:val="28"/>
          <w:szCs w:val="28"/>
          <w:rtl w:val="true"/>
          <w:lang w:bidi="fa-IR"/>
        </w:rPr>
        <w:t>به عبارت دیگر، علّت همیشه باید امر واحدی باشد، وگرنه دیگر عنوان علّت تامّه را ندارد، بر خلاف حکمت که امور متعدّد می‌توانند حکمت برای حکمی باشند</w:t>
      </w:r>
      <w:r>
        <w:rPr>
          <w:rFonts w:eastAsia="IRNazanin" w:cs="IRNazanin"/>
          <w:color w:val="111111"/>
          <w:sz w:val="28"/>
          <w:szCs w:val="28"/>
          <w:rtl w:val="true"/>
          <w:lang w:bidi="fa-IR"/>
        </w:rPr>
        <w:t>.</w:t>
      </w:r>
    </w:p>
    <w:p>
      <w:pPr>
        <w:pStyle w:val="Heading6"/>
        <w:numPr>
          <w:ilvl w:val="5"/>
          <w:numId w:val="1"/>
        </w:numPr>
        <w:rPr/>
      </w:pPr>
      <w:bookmarkStart w:id="633" w:name="__RefHeading___Toc2531177_1468164448"/>
      <w:bookmarkStart w:id="634" w:name="_Toc244"/>
      <w:bookmarkEnd w:id="633"/>
      <w:r>
        <w:rPr>
          <w:rtl w:val="true"/>
        </w:rPr>
        <w:t>پاسخ به اشکالات</w:t>
      </w:r>
      <w:bookmarkEnd w:id="634"/>
    </w:p>
    <w:p>
      <w:pPr>
        <w:pStyle w:val="BookText"/>
        <w:rPr/>
      </w:pPr>
      <w:r>
        <w:rPr>
          <w:rFonts w:ascii="IRNazanin" w:hAnsi="IRNazanin" w:eastAsia="IRNazanin"/>
          <w:color w:val="111111"/>
          <w:sz w:val="28"/>
          <w:sz w:val="28"/>
          <w:szCs w:val="28"/>
          <w:rtl w:val="true"/>
          <w:lang w:bidi="fa-IR"/>
        </w:rPr>
        <w:t>به نظر می‌رسد که اشکالاتِ یاد شده نادرست‌اند؛ زیرا در پاسخ به اشکال نخست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می‌پذیریم که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فقدان علّت موجب انتفای حکم می‌شود، ولی فقدان حکمت لزوماً موجب انتفای حکم نمی‌گردد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لیکن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نیست و هر دو می‌توانند حکم را ثابت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هرچند بین فقدان حکمت و نفی حکم، ملازمه‌ای نیست، امّا با وجود حکمت قطعاً حکم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حتّی اگر عناوین یاد شده در روایت، حکمت حرمت زنا باشند، می‌توان وجود این حکمت در تلقیح مصنوعی را منشأ و دلیل حرمت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اشکال دوم نیز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یک علّت بیان شده که مصادیق مختلفی دارد؛ یعنی علّت حرمت زنا، مفاسد آن است که مصادیقش در ادامه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میان همۀ این عناوین، قدر جامعی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می‌شود که این فساد، مصادیق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مطلب نیز این است که در آخر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اشبه من وجوه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از آن‌جا که روایت علّت حرمت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 پس به‌وسیلۀ آن، حرمت هر چیزی که مستلزم فساد باشد، ثابت می‌گردد؛ یعنی ما از این روایت علیت را استفاده می‌کنیم، نه حکمت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حرمت زنا نیز فساد در خانواده است و همین علّت در شکل دوم تلقیح مصنوعی نیز وجود دارد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این روایت از جهت سند، مشکل دارد و نمی‌توان به آن استناد کرد</w:t>
      </w:r>
      <w:r>
        <w:rPr>
          <w:rFonts w:eastAsia="IRNazanin" w:cs="IRNazanin"/>
          <w:color w:val="111111"/>
          <w:sz w:val="28"/>
          <w:szCs w:val="28"/>
          <w:rtl w:val="true"/>
          <w:lang w:bidi="fa-IR"/>
        </w:rPr>
        <w:t>.</w:t>
      </w:r>
      <w:bookmarkStart w:id="635" w:name="pg13785_135154"/>
    </w:p>
    <w:p>
      <w:pPr>
        <w:pStyle w:val="Heading6"/>
        <w:numPr>
          <w:ilvl w:val="5"/>
          <w:numId w:val="1"/>
        </w:numPr>
        <w:rPr/>
      </w:pPr>
      <w:bookmarkStart w:id="636" w:name="__RefHeading___Toc2531179_1468164448"/>
      <w:bookmarkStart w:id="637" w:name="_Toc245"/>
      <w:bookmarkEnd w:id="635"/>
      <w:bookmarkEnd w:id="636"/>
      <w:r>
        <w:rPr>
          <w:rtl w:val="true"/>
        </w:rPr>
        <w:t>نتیجۀ بررسی ادلّۀ حرمت</w:t>
      </w:r>
      <w:bookmarkEnd w:id="637"/>
    </w:p>
    <w:p>
      <w:pPr>
        <w:pStyle w:val="BookText"/>
        <w:rPr/>
      </w:pPr>
      <w:r>
        <w:rPr>
          <w:rFonts w:ascii="IRNazanin" w:hAnsi="IRNazanin" w:eastAsia="IRNazanin"/>
          <w:color w:val="111111"/>
          <w:sz w:val="28"/>
          <w:sz w:val="28"/>
          <w:szCs w:val="28"/>
          <w:rtl w:val="true"/>
          <w:lang w:bidi="fa-IR"/>
        </w:rPr>
        <w:t xml:space="preserve">پس از بررسی آیات و روایات، می‌توان نتیجه گرفت که تنها با استناد به اطلاق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ابْتَغی وَراءَ ذلِکَ فَأُولئِکَ هُمُ العادُونَ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صورت دوم تلقیح مصنوعی را حرام دانست و استدلال به آیات و روایات دیگر به دلایلی که گفته شد، مخدوش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این آیۀ شریفه، نمی‌توان به اصل برائت رجوع نمود و حکم به جواز تلقیح داد؛ بلکه باید به مقتضای آن تلقیح مصنوعی را حرام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این آیه، دو روایت وجود دارد که برخی برای اثبات جواز تلقیح به آن استناد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قبل از اعلام نظر نهایی باید این روایات را مورد مطالعه قرار دهیم</w:t>
      </w:r>
      <w:r>
        <w:rPr>
          <w:rFonts w:eastAsia="IRNazanin" w:cs="IRNazanin"/>
          <w:color w:val="111111"/>
          <w:sz w:val="28"/>
          <w:szCs w:val="28"/>
          <w:rtl w:val="true"/>
          <w:lang w:bidi="fa-IR"/>
        </w:rPr>
        <w:t>.</w:t>
      </w:r>
    </w:p>
    <w:p>
      <w:pPr>
        <w:pStyle w:val="Heading6"/>
        <w:numPr>
          <w:ilvl w:val="5"/>
          <w:numId w:val="1"/>
        </w:numPr>
        <w:rPr/>
      </w:pPr>
      <w:bookmarkStart w:id="638" w:name="__RefHeading___Toc2531181_1468164448"/>
      <w:bookmarkStart w:id="639" w:name="_Toc246"/>
      <w:bookmarkEnd w:id="638"/>
      <w:r>
        <w:rPr/>
        <w:t>2</w:t>
      </w:r>
      <w:r>
        <w:rPr>
          <w:rtl w:val="true"/>
        </w:rPr>
        <w:t xml:space="preserve">- </w:t>
      </w:r>
      <w:r>
        <w:rPr>
          <w:rtl w:val="true"/>
        </w:rPr>
        <w:t>ادلّۀ جواز صورت دوم</w:t>
      </w:r>
      <w:bookmarkEnd w:id="639"/>
    </w:p>
    <w:p>
      <w:pPr>
        <w:pStyle w:val="BookText"/>
        <w:rPr/>
      </w:pPr>
      <w:r>
        <w:rPr>
          <w:rFonts w:ascii="IRNazanin" w:hAnsi="IRNazanin" w:eastAsia="IRNazanin"/>
          <w:color w:val="111111"/>
          <w:sz w:val="28"/>
          <w:sz w:val="28"/>
          <w:szCs w:val="28"/>
          <w:rtl w:val="true"/>
          <w:lang w:bidi="fa-IR"/>
        </w:rPr>
        <w:t>دو روایت وجود دارد که برخی با استناد به آن، قرار دادن نطفۀ مرد در رحم زن اجنبیّه را جایز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در جلد بیست و هشتم کتاب وسائل الشیعة، در باب سوم از ابواب حد السحق و القیادة وارد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است بدانیم که شیخ حرّ عاملی قدس سره در این باب، پنج روایت را نقل کرده است؛ امّا اگر مضمون و سند این احادیث را بررسی کنیم، مشخّص می‌شود که احادیث دوم، چهارم و پنجم یک حدیث، و احادیث اوّل و سوم نیز یک حدیث‌اند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توجّه به این نکته در دیگر ابواب فقهی نیز ضروری است؛ زیرا گاهی زراره روایتی را از امام باقر علیه السلام نقل می‌کند و شخصی دیگر، همین روایت را از زراره از امام باقر علیه السلام نقل می‌کند؛ امّا چون راوی و مرویٌ عنه یکی است،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 روایت وجود دارد، بلکه یک روایت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نخست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عَلِیِّ بْنِ إِبْرَاهِیم عَنْ أَحْمَدَ بْنِ مُحَمَّدٍ عَنِ الْعَبَّاسِ بْنِ مُوسَی عَنْ</w:t>
      </w:r>
    </w:p>
    <w:p>
      <w:pPr>
        <w:pStyle w:val="BookText"/>
        <w:rPr/>
      </w:pPr>
      <w:r>
        <w:rPr>
          <w:rFonts w:ascii="Amiri" w:hAnsi="Amiri" w:eastAsia="Amiri" w:cs="Amiri"/>
          <w:color w:val="111111"/>
          <w:sz w:val="28"/>
          <w:sz w:val="28"/>
          <w:szCs w:val="28"/>
          <w:rtl w:val="true"/>
          <w:lang w:bidi="ar-SA"/>
        </w:rPr>
        <w:t>یُونُسَ بْنِ عَبْدِ الرَّحْمَنِ عَنْ إِسْحَاقَ بْنِ عَمَّارٍ عَنِ الْمُعَلَّی بْنِ خُنَیْسٍ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رَجُلٍ وَطِئَ امْرَأَتَهُ فَنَقَلَتْ مَاءَهُ إِلَی جَارِیَةٍ بِکْرٍ فَحَبِلَتْ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لِلرَّجُلِ وَعَلَی الْمَرْأَةِ الرَّجْمُ وَعَلَی الْجَارِیَةِ الْحَدُّ؛</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معلّی بن خنیس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 که مردی زن خود را وطی کرد و سپس این زن با جاریه‌ای باکره مساحقه کرده و این‌جاریه باردار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برای مرد است و زن باید رجم شود، جاریه نیز باید حد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حیث سند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w:t>
      </w:r>
      <w:r>
        <w:rPr>
          <w:rStyle w:val="FootnoteAnchor"/>
          <w:rtl w:val="true"/>
        </w:rPr>
        <w:footnoteReference w:id="503"/>
      </w:r>
      <w:r>
        <w:rPr>
          <w:rFonts w:ascii="IRNazanin" w:hAnsi="IRNazanin" w:eastAsia="IRNazanin"/>
          <w:color w:val="111111"/>
          <w:sz w:val="28"/>
          <w:sz w:val="28"/>
          <w:szCs w:val="28"/>
          <w:rtl w:val="true"/>
          <w:lang w:bidi="fa-IR"/>
        </w:rPr>
        <w:t>یونس بن عبد الرحمن</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و عبّاس بن موسی</w:t>
      </w:r>
      <w:r>
        <w:rPr>
          <w:rStyle w:val="FootnoteAnchor"/>
          <w:rtl w:val="true"/>
        </w:rPr>
        <w:footnoteReference w:id="505"/>
      </w:r>
      <w:r>
        <w:rPr>
          <w:rFonts w:ascii="IRNazanin" w:hAnsi="IRNazanin" w:eastAsia="IRNazanin"/>
          <w:color w:val="111111"/>
          <w:sz w:val="28"/>
          <w:sz w:val="28"/>
          <w:szCs w:val="28"/>
          <w:rtl w:val="true"/>
          <w:lang w:bidi="fa-IR"/>
        </w:rPr>
        <w:t>مشکلی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مورد معلّی بن خنیس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معلّی را مدح می‌کند، بیشترند و بیشتر اصحاب رجال نیز او را معتبر می‌دانند، گرچه برخی مانند نجّاشی او را تضعیف کرده‌اند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در این روایت، امام علیه السلام همۀ احکام مربوط به این مسئله را بیان کرده‌اند؛ امّا در مورد قرار گرفتن نطفۀ مرد در رحم اجنبیّه چیزی نفرموده‌اند، در حالی که اگر این فعل حرام باشد، باید زن را مرتکب دو حرام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مساحقه و قرار دادن نطفۀ شوهر خود در رحم اجنبیّه؛ لیکن امام علیه السلام فقط به خاطر مساحقه حکم به رجم وی کرده‌اند، در حالی که اگر قرار گرفتن نطفه در رحم اجنبیّه نیز حرام بود، باید پیش از سنگسار، زن را تعزیر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دقیق‌تر، اطلاق مقامیِ این روایت اقتضا می‌کند که قرارگرفتن نطفۀ مرد در رحم اجنبیّه را حرام ندانیم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نقد این استدلال باید به چند نکته اشاره نمود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در جایی است که شخصی عالماً و عامداً مرتکب فعلِ</w:t>
      </w:r>
    </w:p>
    <w:p>
      <w:pPr>
        <w:pStyle w:val="BookText"/>
        <w:rPr/>
      </w:pPr>
      <w:r>
        <w:rPr>
          <w:rFonts w:ascii="IRNazanin" w:hAnsi="IRNazanin" w:eastAsia="IRNazanin"/>
          <w:color w:val="111111"/>
          <w:sz w:val="28"/>
          <w:sz w:val="28"/>
          <w:szCs w:val="28"/>
          <w:rtl w:val="true"/>
          <w:lang w:bidi="fa-IR"/>
        </w:rPr>
        <w:t>موجب تعزیر شود؛ امّا در فرض روایت، عمل مساحقه به صورت اختیاری انجام شده و از آن‌جا که زن دارای شوهر است، باید سنگسار شود؛ امّا انتقال نطفه، عمدی و اختیاری نبوده است تا موجب تعزیر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تعزیر را تنها در جایی که انسان مرتکب گناهی کبیره شود، ثابت می‌دانند و معلوم نیست که انتقال نطفه گناهی کبیره شمرده شود؛ چون بدون اختیار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این روایت، جاریه متعلّق به مرد باشد و در این‌صورت، این کنیز نیز نسبت به مرد حلال است، از این رو، نطفۀ مرد وارد رحم اجنبیّه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اشکالات یاد شده، نمی‌توان استدلال به روایت را تمام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أَمِیرَ الْمُؤْمِنِینَ علیه السلام قَوْمٌ یَسْتَفْتُونَهُ فَلَمْ یُصِیبُوهُ، فَقَالَ لَهُمُ الْحَسَنُ علیه السلام هَاتُوا فُتْیَاکُمْ فَإِنْ أَصَبْتُ فَمِنَ اللّهِ وَمِنْ أَمِیرِ الْمُؤْمِنِینَ قدس سره وَإِنْ أَخْطَأْتُ فَإِنَّ أَمِیرَ الْمُؤْمِنِینَ علیه السلام مِنْ وَرَائِکُمْ،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جَامَعَهَا زَوْجُهَا فَقَامَتْ بِحَرَارَةِ جِمَاعِهِ فَسَاحَقَتْ جَارِیَةً بِکْراً فَأَلْقَتْ عَلَیْهَا النُّطْفَةَ فَحَمَلَتْ،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الْعَاجِلِ تُؤْخَذُ هَذِهِ الْمَرْأَةُ بِصَدَاقِ هَذِهِ الْبِکْرِ لِأَنَّ الْوَلَدَ لَایَخْرُجُ حَتَّی یَذْهَبَ بِالْعُذْرَةِ وَیُنْتَظَرُ بِهَا حَتَّی تَلِدَ وَیُقَامُ عَلَیْهَا الْحَدُّ وَیُلْحَقُ الْوَلَدُ بِصَاحِبِ النُّطْفَةِ وَتُرْجَمُ الْمَرْأَةُ ذَاتُ الزَّوْجِ؛ فَانْصَرَفُوا فَلَقُوا أَمِیرَ الْمُؤْمِنِینَ علیه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لِلْحَسَنِ وَقَالَ لَنَا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أَنَّ أَبَا الْحَسَنِ لَقِیتُمْ مَا کَانَ عِنْدَهُ إِلاَّ مَا قَالَ الْحَسَنُ؛</w:t>
      </w:r>
      <w:r>
        <w:rPr>
          <w:rStyle w:val="FootnoteAnchor"/>
          <w:rtl w:val="true"/>
        </w:rPr>
        <w:footnoteReference w:id="507"/>
      </w:r>
      <w:r>
        <w:rPr>
          <w:rFonts w:ascii="IRNazanin" w:hAnsi="IRNazanin" w:eastAsia="IRNazanin"/>
          <w:color w:val="111111"/>
          <w:sz w:val="28"/>
          <w:sz w:val="28"/>
          <w:szCs w:val="28"/>
          <w:rtl w:val="true"/>
          <w:lang w:bidi="fa-IR"/>
        </w:rPr>
        <w:t>گروهی برای طرح پرسشی فقهی نزد امیرالمومنین علیه السلام رفتند، امّا به ایشان دسترسی پیدا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که حاضر بودند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خود را از من بپرسید، من پاسخ</w:t>
      </w:r>
      <w:bookmarkStart w:id="640" w:name="pg13785_135157"/>
    </w:p>
    <w:p>
      <w:pPr>
        <w:pStyle w:val="BookText"/>
        <w:rPr/>
      </w:pPr>
      <w:bookmarkEnd w:id="640"/>
      <w:r>
        <w:rPr>
          <w:rFonts w:ascii="IRNazanin" w:hAnsi="IRNazanin" w:eastAsia="IRNazanin"/>
          <w:color w:val="111111"/>
          <w:sz w:val="28"/>
          <w:sz w:val="28"/>
          <w:szCs w:val="28"/>
          <w:rtl w:val="true"/>
          <w:lang w:bidi="fa-IR"/>
        </w:rPr>
        <w:t>شما را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پاسخ صحیح بود، از ناحیۀ خدا و امیر المومنین علیه السلام بوده است و اگر خطا کردم، امیر المومنین علیه السلام خواهند آمد و می‌توانید جواب صحیح را از ایشان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سؤال را این گونه مطرح کردند که زنی بعد از این‌که شوهرش با او مقاربت کرد، با جاریه‌ای باکره مساحقه کرد و بدین ترتیب نطفۀ شوهرش در رحم آن جاریه قرار گرفت و او حامله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زن مهریه این باکره گرفته می‌شود؛ زیرا وضع حمل این جاریه تنها با زائل شدن بکارت او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باید منتظر ماند تا طفل به دنیا بیاید و بر آن جاریه حد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نیز ملحق به صاحب نطفه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شوهردار نیز باید رجم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در راه بازگشت با حضرت امیر المومنین علیه السلام مواجه شدند و سؤال و جوابی که امام حسن علیه السلام داده بود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ابا الحسن را ملاقات کرده بودید، همان جوابی را می‌داد که حسن به شما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یاد شده در روایت اوّل، در این‌جا نیز مطرح می‌شود و استدلال به این روایت را با مشکل رو به رو می‌کند</w:t>
      </w:r>
      <w:r>
        <w:rPr>
          <w:rFonts w:eastAsia="IRNazanin" w:cs="IRNazanin"/>
          <w:color w:val="111111"/>
          <w:sz w:val="28"/>
          <w:szCs w:val="28"/>
          <w:rtl w:val="true"/>
          <w:lang w:bidi="fa-IR"/>
        </w:rPr>
        <w:t>.</w:t>
      </w:r>
    </w:p>
    <w:p>
      <w:pPr>
        <w:pStyle w:val="Heading6"/>
        <w:numPr>
          <w:ilvl w:val="5"/>
          <w:numId w:val="1"/>
        </w:numPr>
        <w:rPr/>
      </w:pPr>
      <w:bookmarkStart w:id="641" w:name="__RefHeading___Toc2531183_1468164448"/>
      <w:bookmarkStart w:id="642" w:name="_Toc247"/>
      <w:bookmarkEnd w:id="641"/>
      <w:r>
        <w:rPr/>
        <w:t>3</w:t>
      </w:r>
      <w:r>
        <w:rPr>
          <w:rtl w:val="true"/>
        </w:rPr>
        <w:t xml:space="preserve">- </w:t>
      </w:r>
      <w:r>
        <w:rPr>
          <w:rtl w:val="true"/>
        </w:rPr>
        <w:t>دیدگاه برگزیده</w:t>
      </w:r>
      <w:bookmarkEnd w:id="642"/>
    </w:p>
    <w:p>
      <w:pPr>
        <w:pStyle w:val="BookText"/>
        <w:rPr/>
      </w:pPr>
      <w:r>
        <w:rPr>
          <w:rFonts w:ascii="IRNazanin" w:hAnsi="IRNazanin" w:eastAsia="IRNazanin"/>
          <w:color w:val="111111"/>
          <w:sz w:val="28"/>
          <w:sz w:val="28"/>
          <w:szCs w:val="28"/>
          <w:rtl w:val="true"/>
          <w:lang w:bidi="fa-IR"/>
        </w:rPr>
        <w:t>با توجّه به این‌که استدلال به روایات جواز، پذیرفته نشد و با توجّه به اطلاق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ابْتَغی وَراءَ ذلِکَ فَأُولئِکَ هُمُ العادُونَ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از صور تلقیح مصنوعی، حرام است</w:t>
      </w:r>
      <w:r>
        <w:rPr>
          <w:rFonts w:eastAsia="IRNazanin" w:cs="IRNazanin"/>
          <w:color w:val="111111"/>
          <w:sz w:val="28"/>
          <w:szCs w:val="28"/>
          <w:rtl w:val="true"/>
          <w:lang w:bidi="fa-IR"/>
        </w:rPr>
        <w:t>.</w:t>
      </w:r>
    </w:p>
    <w:p>
      <w:pPr>
        <w:pStyle w:val="Heading6"/>
        <w:numPr>
          <w:ilvl w:val="5"/>
          <w:numId w:val="1"/>
        </w:numPr>
        <w:rPr/>
      </w:pPr>
      <w:bookmarkStart w:id="643" w:name="__RefHeading___Toc2531185_1468164448"/>
      <w:bookmarkStart w:id="644" w:name="_Toc248"/>
      <w:bookmarkEnd w:id="643"/>
      <w:r>
        <w:rPr>
          <w:rtl w:val="true"/>
        </w:rPr>
        <w:t>ج</w:t>
      </w:r>
      <w:r>
        <w:rPr>
          <w:rtl w:val="true"/>
        </w:rPr>
        <w:t xml:space="preserve">) </w:t>
      </w:r>
      <w:r>
        <w:rPr>
          <w:rtl w:val="true"/>
        </w:rPr>
        <w:t>صورت سوم تلقیح مصنوعی</w:t>
      </w:r>
      <w:bookmarkEnd w:id="644"/>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صورت از صور مختلف تلقیح مصنوعی، این است که تخمک زنی را در رحم زن دیگر بگذارند و او پس از مقاربت با شوهرش باردار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از آن‌جا</w:t>
      </w:r>
    </w:p>
    <w:p>
      <w:pPr>
        <w:pStyle w:val="BookText"/>
        <w:rPr/>
      </w:pPr>
      <w:r>
        <w:rPr>
          <w:rFonts w:ascii="IRNazanin" w:hAnsi="IRNazanin" w:eastAsia="IRNazanin"/>
          <w:color w:val="111111"/>
          <w:sz w:val="28"/>
          <w:sz w:val="28"/>
          <w:szCs w:val="28"/>
          <w:rtl w:val="true"/>
          <w:lang w:bidi="fa-IR"/>
        </w:rPr>
        <w:t>که بدن زن به دلیل مشکلات جسمی از تولید تخمک عاجز است، تخمک زن دیگری را در رحم او قرار می‌دهند تا پس از آمیزش با شوهرش باردار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این فرض، نطفۀ مرد با تخمک زن اجنبی در رحم همسر خود تلقیح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حکم این صورت از تلقیح مصنوعی، اقوال گوناگونی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فقها که صورت دوم را جایز می‌دانند، در این صورت نیز فتوا به جواز می‌دهند؛ امّا کسانی که صورت دوم را حرام می‌دانند، در مورد این فرض به دو دسته تقسیم می‌شوند؛ برخی این صورت را جایز می‌دانند و برخی این فرض را نیز حرام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به‌طور کلّی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دیدگاه در مورد این صورت از تلقیح مصنوعی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نخست، جواز این صورت از تلقیح مصنوعی به‌طور مطلق است؛ یعنی تفاوتی ندارد که تخمک‌دهنده، همسر دیگر مرد باشد یا هیچ نسبتی با مرد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حکم تلقیح در این فرض، جواز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دوم، حرمت این صورت از تلقیح مصنوعی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سوم، تفصیل است؛ به این بیان که اگر زن نازا و زن تخمک‌دهنده، شوهرشان واحد باشد، عمل تلقیح جایز است و در غیر این صورت، تلقیح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این قول با استناد به روایت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أَشَدَّ النَّاسِ عَذَاباً یَوْمَ الْقِیَامَةِ رَجُلٌ أَقَرَّ نُطْفَتَهُ فِی رَحِمٍ یَحْرُمُ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8"/>
      </w:r>
      <w:r>
        <w:rPr>
          <w:rFonts w:ascii="IRNazanin" w:hAnsi="IRNazanin" w:eastAsia="IRNazanin"/>
          <w:color w:val="111111"/>
          <w:sz w:val="28"/>
          <w:sz w:val="28"/>
          <w:szCs w:val="28"/>
          <w:rtl w:val="true"/>
          <w:lang w:bidi="fa-IR"/>
        </w:rPr>
        <w:t>معتقدند که بنا بر این روایت، تلقیحی حرام است که میان نطفۀ مرد و تخمک زن اجنبی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فرض، تلقیح میان نطفۀ مرد و تخمک همسرش و در رحم همسر دیگرش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روایت شامل این فرض نمی‌شود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ما این است که تلقیح مصنوعی در این فرض مطلقاً حرام است؛ زیرا اطلاق</w:t>
      </w:r>
      <w:bookmarkStart w:id="645" w:name="pg13785_135159"/>
    </w:p>
    <w:p>
      <w:pPr>
        <w:pStyle w:val="BookText"/>
        <w:rPr/>
      </w:pPr>
      <w:bookmarkEnd w:id="645"/>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ابْتَغی وَراءَ ذلِکَ فَأُولئِکَ هُمُ العادُونَ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را نیز در برمی‌گیرد و با توجّه به این آیه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اجازه ندارد تخمک اجنبیّه را در رحم خود قرار دهد و فرج زن، تنها برای شوهرش حلال است؛ زیرا به موجب آیه، قرار دادن نطفۀ مرد اجنبی در رحم زن و یا قرار دادن تخمک زن در رحم زن دیگر،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اطلاق آیه اقتضا می‌کند که بین این فرض که مرد، دارای دو همسر باشد و تخمک یکی از همسرانش را در رحم همسر دیگر قرار دهند و یا این‌که تخمک زن اجنبیّه را در رحم همسر او قرار دهند، تفاوتی قائل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هر دو فرض، عمل تلقیح حرام است؛ زیرا هرچند بین مرد و هر یک از زنان رابطۀ زوجیّت برقرار است، امّا فرج هر یک از زنان بر دیگری حرام است و نمی‌توان تخمک یکی را در رحم دیگری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اطلاق آیه، این فرض نیز حرام است، حتّی اگر این دو زن به قول اهل لغت، هووی یک‌دیگر باشند</w:t>
      </w:r>
      <w:r>
        <w:rPr>
          <w:rFonts w:eastAsia="IRNazanin" w:cs="IRNazanin"/>
          <w:color w:val="111111"/>
          <w:sz w:val="28"/>
          <w:szCs w:val="28"/>
          <w:rtl w:val="true"/>
          <w:lang w:bidi="fa-IR"/>
        </w:rPr>
        <w:t>.</w:t>
      </w:r>
    </w:p>
    <w:p>
      <w:pPr>
        <w:pStyle w:val="Heading6"/>
        <w:numPr>
          <w:ilvl w:val="5"/>
          <w:numId w:val="1"/>
        </w:numPr>
        <w:rPr/>
      </w:pPr>
      <w:bookmarkStart w:id="646" w:name="__RefHeading___Toc2531187_1468164448"/>
      <w:bookmarkStart w:id="647" w:name="_Toc249"/>
      <w:bookmarkEnd w:id="646"/>
      <w:r>
        <w:rPr>
          <w:rtl w:val="true"/>
        </w:rPr>
        <w:t>د</w:t>
      </w:r>
      <w:r>
        <w:rPr>
          <w:rtl w:val="true"/>
        </w:rPr>
        <w:t xml:space="preserve">) </w:t>
      </w:r>
      <w:r>
        <w:rPr>
          <w:rtl w:val="true"/>
        </w:rPr>
        <w:t>صورت چهارم تلقیح مصنوعی</w:t>
      </w:r>
      <w:bookmarkEnd w:id="647"/>
    </w:p>
    <w:p>
      <w:pPr>
        <w:pStyle w:val="BookText"/>
        <w:rPr/>
      </w:pPr>
      <w:r>
        <w:rPr>
          <w:rFonts w:ascii="IRNazanin" w:hAnsi="IRNazanin" w:eastAsia="IRNazanin"/>
          <w:color w:val="111111"/>
          <w:sz w:val="28"/>
          <w:sz w:val="28"/>
          <w:szCs w:val="28"/>
          <w:rtl w:val="true"/>
          <w:lang w:bidi="fa-IR"/>
        </w:rPr>
        <w:t>چهارمین صورت از صور تلقیح مصنوعی، این است که عمل تلقیح در خارج از رحم صورت گیرد؛ یعنی نطفۀ مرد و تخمک همسرش در خارج رحم، ترکیب و تلقیح شوند و پس از تلقیح به رحم منتقل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این جهت که جنینِ تشکیل شده به کدام رحم منقل شود، سه فرض مختلف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نخست، این است که این جنین به رحم همسر مرد، یعنی زن صاحب تخمک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دوم، این است که جنین به رحم همسر دیگر این مرد یا کنیز وی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فرض، این است که جنین به رحم زنی بیگانه منتقل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بررسی این فروض سه گانه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با توجه به این‌که تلقیح نطفه و تخمک به صورت طبیعی امکان‌پذیر نیست، نطفۀ مرد و تخمک همسرش را می‌گیرند و در خارج از</w:t>
      </w:r>
    </w:p>
    <w:p>
      <w:pPr>
        <w:pStyle w:val="BookText"/>
        <w:rPr/>
      </w:pPr>
      <w:r>
        <w:rPr>
          <w:rFonts w:ascii="IRNazanin" w:hAnsi="IRNazanin" w:eastAsia="IRNazanin"/>
          <w:color w:val="111111"/>
          <w:sz w:val="28"/>
          <w:sz w:val="28"/>
          <w:szCs w:val="28"/>
          <w:rtl w:val="true"/>
          <w:lang w:bidi="fa-IR"/>
        </w:rPr>
        <w:t>رحم عمل تلقیح را انجام و جنین را جهت تکوین و ادامۀ حیات در رحم مادرش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با توجّه به قواعد و ضوابط اشکالی ندارد و دلیلی بر حرمت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اصل برائت در مورد آن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در صورتی که جنینِ تشکیل شده، بدون انتقال به رحم مادرش در دستگاه نگهداری شود، نیز صادق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فروض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فرض این است که جنینِ تشکیل شده از تلقیح نطفۀ مرد با تخمک همسرش را به رحم همسر دیگر این مرد یا کنیز وی منتقل کنند، و فرض سوم هم این است که جنین به رحم زنی بیگانه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فرض نیز همانند فرض نخست از نظر تلقیح خارجی، مشکلی وجود ندارد؛ لیکن سؤال این است که انتقال جنینِ تشکیل یافته به رحم زنی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دیگر مرد یا زن اجنبیّه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دارد؟</w:t>
      </w:r>
    </w:p>
    <w:p>
      <w:pPr>
        <w:pStyle w:val="BookText"/>
        <w:rPr/>
      </w:pPr>
      <w:r>
        <w:rPr>
          <w:rFonts w:ascii="IRNazanin" w:hAnsi="IRNazanin" w:eastAsia="IRNazanin"/>
          <w:color w:val="111111"/>
          <w:sz w:val="28"/>
          <w:sz w:val="28"/>
          <w:szCs w:val="28"/>
          <w:rtl w:val="true"/>
          <w:lang w:bidi="fa-IR"/>
        </w:rPr>
        <w:t>برای پاسخ دادن به این پرسش، باید بار دیگر ادلّۀ این باب را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مستند فقیه،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أقرّ نطفته فی رحم یحرم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این‌صورت روایات شامل فرض دوم نمی‌شود؛ زیرا رحم همسر دوم مرد بر وی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یحرم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الغای خصوصیت نمود و چنین استفاده کرد که نطفۀ مرد فقط باید در رحم زنی قرار گیرد که با او آمیزش شرعی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یحرم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نیست و تلقیح باید با تخمک زنی صورت گیرد که مرد با او آمیزش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علاوه بر فرض سوم و دومِ این صورت، باید فرض نخست را نیز حرام بدانیم؛ زیرا در فرض نخست، نطفۀ مرد و تخمک همسرش بدون وجود ارتباط جنسی و آمیزش میان این دو تلقیح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روشن است که این الغای خصوصیت وجهی ندارد و از این رو، هیچ یک از فقها در فرض نخست، قائل به حرمت نشده‌اند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دیگر این است که می‌توان در مورد این روایات ادّعای انصراف نمود، به این بیان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منصرف به جایی است که تخمکِ تلقیح‌شده، مربوط به همان رحمی باشد که پس از لقاح در آن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فروض دوم و سوم از</w:t>
      </w:r>
    </w:p>
    <w:p>
      <w:pPr>
        <w:pStyle w:val="BookText"/>
        <w:rPr/>
      </w:pPr>
      <w:r>
        <w:rPr>
          <w:rFonts w:ascii="IRNazanin" w:hAnsi="IRNazanin" w:eastAsia="IRNazanin"/>
          <w:color w:val="111111"/>
          <w:sz w:val="28"/>
          <w:sz w:val="28"/>
          <w:szCs w:val="28"/>
          <w:rtl w:val="true"/>
          <w:lang w:bidi="fa-IR"/>
        </w:rPr>
        <w:t>این صورت تلقیح مصنوعی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به نظر می‌رسد که چنین انصرافی هم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روایات، روایتی دیگر وارد شده است که باید آن را نیز مورد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از امام علیه السلام سؤال می‌شود که گناه زنا بزرگ‌تر است یا شرب خمر، و چرا حدّ زنا صد ضربه و حدّ شرب خمر هشتاد ضربه است؟ ایشان در پاسخ به این سؤال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 وَاحِدٌ وَلَکِنْ زِیدَ هَذَا لِتَضْیِیعِهِ النُّطْفَةَ وَلِوَضْعِهِ إِیَّاهَا فِی غَیْرِ الْمَوْضِعِ الَّذِی أَمَرَ اللّهُ عَزَّ وَجَلَّ بِهِ</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مدلول روایت، این است که این نطفه را نباید در غیر از موضعی که خدا به آن امر کرده است،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شاید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روایت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الموضع الذی أَمَرَ اللّهُ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فروض دوم و سوم را که نطفه و جنین پس از تلقیح در رحم زن دیگر قرار داده می‌شود،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ما در پاسخ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الموضع الذی امَرَ اللّه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رحمی که برای مرد حلال است و در فرض دوم، رحم همسر دیگر و کنیز برای مرد حلال است و از این جهت مشکلی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انصراف در مورد این روایت و روایات پیشین، پذیرفتنی نیست و میان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الموضع الذی أَمَرَ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رحم یحرم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تفاوتی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استدلال، متمرکز بر روایات باشد، باید فرض دوم از صورت چهارم تلقیح مصنوعی را جایز بدانیم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همان گونه که در صورت دومِ تلقیح مصنوعی به آن اشاره شد، می‌توان برای اثبات حرمت تلقیح مصنوعی به آیۀ شریفۀ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ابْتَغی وَراءَ ذلِکَ فَأُولئِکَ هُمُ العادُونَ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اطلاق این آیۀ شریفه، تلقیح مصنوعی در هر دو</w:t>
      </w:r>
    </w:p>
    <w:p>
      <w:pPr>
        <w:pStyle w:val="BookText"/>
        <w:rPr/>
      </w:pPr>
      <w:r>
        <w:rPr>
          <w:rFonts w:ascii="IRNazanin" w:hAnsi="IRNazanin" w:eastAsia="IRNazanin"/>
          <w:color w:val="111111"/>
          <w:sz w:val="28"/>
          <w:sz w:val="28"/>
          <w:szCs w:val="28"/>
          <w:rtl w:val="true"/>
          <w:lang w:bidi="fa-IR"/>
        </w:rPr>
        <w:t>فرض یاد شده حرام است؛ زیرا مدلول آیه، این است که تنها رابطۀ مرد و همسرش مشروع و جایز است و در غیر از این مورد، زن و مرد باید فرج خود را از دیگران حفظ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با توجّه به این آیه، زن تنها می‌تواند نطفۀ همسر خود را در رحمش قرار دهد و نمی‌تواند اجازه دهد نطفۀ مرد اجنبی و یا تخمک زن دیگر و یا نطفه و تخمک تلقیح‌شدۀ غیر، در رحمش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اطلاق این آیۀ شریفه، تلقیح مصنوعی در دو فرضِ یاد شده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فقها این دو فرض را مشابه فرضی می‌دانند که نطفۀ مرد و تخمک همسرش را در خارج تلقیح کند و جنین تشکیل شده را تا لحظه تولّد در دستگاهی پرورش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عقیدۀ ایشان همان گونه که نگهداری نطفۀ تلقیح یافته در دستگاه اشکال ندارد، در دو فرض مورد سؤال نیز اگر این نطفه در رحم شخصی غیر از صاحب تخمک قرار گیرد، فاقد اشکال است؛ یعنی تفاوتی بین این دو حالت وجود ندارد و در هر دو حالت، نطفۀ مرد و تخمک همسرش در خارج از رحم تلقیح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حالت، نطفۀ به دست آمده در دستگاه‌های مخصوص، نگهداری می‌شود و هیچ کس این فرض را حرام ندانسته است، و در فرض مسئله نیز همانند حالت یاد شده، نطفۀ تلقیح یافته در رحم زن دیگری نگهداری می‌شود؛ چراکه بین رحم زن دیگر و دستگاه تفاوتی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سخن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شریفۀ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ابْتَغی وَراءَ ذلِکَ فَأُولئِکَ هُمُ العادُونَ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که جنین حاصل از تلقیح نطفۀ مرد و تخمک همسرش در دستگاه نگهداری می‌شود را در بر نمی‌گیرد، بر خلاف فرض دوم و سوم از تلقیح مصنوعیِ قسم سوم، که مصداقی از این آیۀ شریفه هستند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بیان شد، تلقیح مصنوعی در دو فرض مورد بحث حرام است؛ لیکن نکته‌ای باقی می‌ماند که لازم است به عنوان یک بحث علمی به آن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پیشین دلالت روایات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أقَرَّ نُطفَتَهُ فِی رَحِمٍ یَحْرُمُ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ناتمام دانستیم؛ امّا ممکن است کسی از روایات این باب، ضابطه‌ای برداشت کند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مستفاد از روایات، این است که تلقیح نطفۀ مرد با تخمک زن اجنبیّه حرام است و این‌که در روایت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أقَرَّ نُطْفَتَهُ فِی رَحِمٍ یَحْرُمُ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رحم موضوعیتی ندارد و آنچه خصوصیت دارد، عبارت است از تلقیح میان نطفۀ مرد و تخمک زن، خواه این تلقیح در داخل رحم باشد و خواه در خارج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رهاورد این اطلاق،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تلقیح، فقط در صورتی حرام است که میان نطفۀ مرد با تخمک زن اجنبیّه صورت گیرد، ولی در غیر این صورت حرمتی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برخی از بزرگان فروض این مسئله را جایز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شخصی که استدلال به روایات را پذیرفته است، استدلال به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ابْتَغی وَراءَ ذلِکَ فَأُولئِکَ هُمُ العادُونَ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بپذیرد، میان این دو دلیل، تعارض بوجود می‌آید؛ زیرا با توجّه به آیه، رحم موضوعیّت دارد و زن باید فرج خود را حفظ نماید، خواه از نطفۀ مرد اجنبی و خواه از نطفۀ بارورشدۀ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دلالت آیۀ شریفه و روایات را تمام بدانیم، میان این دو دلیل تعارض به وجود می‌آید، بدین بیان که ضابطۀ مستفاد از روایات این است که ملاک حرمت، تلقیح نطفۀ مرد و تخمک زن اجنبیّه است و اگر نطفۀ مرد با تخمک همسرش تلقیح شود، قرار دادن آن در رحم دیگری جایز است؛ امّا با استفاده از آیۀ شریفه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حرمت این است که زن، رحم خود را حفظ نماید و یکی از مصادیق حفظ آن، همان فروض مسئله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دلالت روایات، تمام نیست و با توجّه به اطلاق آیۀ شریفه، نمی‌توان جنینِ حاصل از تلقیح میان نطفه و تخمک یک زن و شوهر را در رحم شخصی غیر از صاحب تخمک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همین مطلب، حکم بحث رحم اجاره‌ای نیز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اجارۀ رحم، نطفۀ حاصل از عمل تلقیح خارجی را به</w:t>
      </w:r>
      <w:bookmarkStart w:id="648" w:name="pg13785_135164"/>
    </w:p>
    <w:p>
      <w:pPr>
        <w:pStyle w:val="BookText"/>
        <w:rPr/>
      </w:pPr>
      <w:bookmarkEnd w:id="648"/>
      <w:r>
        <w:rPr>
          <w:rFonts w:ascii="IRNazanin" w:hAnsi="IRNazanin" w:eastAsia="IRNazanin"/>
          <w:color w:val="111111"/>
          <w:sz w:val="28"/>
          <w:sz w:val="28"/>
          <w:szCs w:val="28"/>
          <w:rtl w:val="true"/>
          <w:lang w:bidi="fa-IR"/>
        </w:rPr>
        <w:t>خاطر عدم آمادگی رحم صاحب تخمک، در رحم زن دیگری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بحث اجارۀ رحم در همین فروضِ مورد بحث، مصداق پیدا می‌کند که گفته شد حکم آنها حرمت است</w:t>
      </w:r>
      <w:r>
        <w:rPr>
          <w:rFonts w:eastAsia="IRNazanin" w:cs="IRNazanin"/>
          <w:color w:val="111111"/>
          <w:sz w:val="28"/>
          <w:szCs w:val="28"/>
          <w:rtl w:val="true"/>
          <w:lang w:bidi="fa-IR"/>
        </w:rPr>
        <w:t>.</w:t>
      </w:r>
    </w:p>
    <w:p>
      <w:pPr>
        <w:pStyle w:val="Heading6"/>
        <w:numPr>
          <w:ilvl w:val="5"/>
          <w:numId w:val="1"/>
        </w:numPr>
        <w:rPr/>
      </w:pPr>
      <w:bookmarkStart w:id="649" w:name="__RefHeading___Toc2531189_1468164448"/>
      <w:bookmarkStart w:id="650" w:name="_Toc250"/>
      <w:bookmarkEnd w:id="649"/>
      <w:r>
        <w:rPr>
          <w:rtl w:val="true"/>
        </w:rPr>
        <w:t>ه</w:t>
      </w:r>
      <w:r>
        <w:rPr>
          <w:rtl w:val="true"/>
        </w:rPr>
        <w:t xml:space="preserve">) </w:t>
      </w:r>
      <w:r>
        <w:rPr>
          <w:rtl w:val="true"/>
        </w:rPr>
        <w:t>صورت پنجمِ تلقیح مصنوعی</w:t>
      </w:r>
      <w:bookmarkEnd w:id="650"/>
    </w:p>
    <w:p>
      <w:pPr>
        <w:pStyle w:val="BookText"/>
        <w:rPr/>
      </w:pPr>
      <w:r>
        <w:rPr>
          <w:rFonts w:ascii="IRNazanin" w:hAnsi="IRNazanin" w:eastAsia="IRNazanin"/>
          <w:color w:val="111111"/>
          <w:sz w:val="28"/>
          <w:sz w:val="28"/>
          <w:szCs w:val="28"/>
          <w:rtl w:val="true"/>
          <w:lang w:bidi="fa-IR"/>
        </w:rPr>
        <w:t>فرض دیگر، تلقیح خارجیِ نطفۀ مرد با تخمک زنی است که بر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صورت، دو بحث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حکم تلقیح نطفۀ مرد با تخمک زنی که بر او حرام است و دوم، حکم قرار دادن نطفۀ حاصل، در رحم همسر مرد و یا زن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تلقیح خارجی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ابْتَغی وَراءَ ذلِکَ فَأُولئِکَ هُمُ العادُونَ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نمی‌توان شامل این مورد دانست؛ زیرا در این فرض، زن رحم خود را در اختیار مرد اجنبی قرار نداده است؛ بلکه بین نطفۀ مرد و تخمک زن در خارج رحم تلقیح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قاعده‌ای که می‌توان از روایات برداشت نمود، این تلقیح خارجی حرام است؛ یعنی اگر از روایات، الغای خصوصیت کرده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روایات، تلقیح نطفۀ مرد با تخمک زن اجنبیّه است و رحم موضوعیّتی در آن ندارد، باید تلقیح خارجی در فرض سؤال را حرام بدانیم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دوم در این صورت از تلقیح مصنوعی، دربارۀ حکم قرار دادن نطفۀ حاصل از تلقیح در رحم همسر آن مرد است؛ زیرا چه بسا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سقط جنینِ ناشی از زنا جایز نیست، قرار دادن این نطفه و جنین در رحم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روایتی در باب سقط جنین از امام علیه السلام سؤال می‌شود که آیا جایز است زن حامله دارو مصرف نماید و جنین خود را سقط کند، امام در پاسخ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جایز نیست و زن از دیۀ جنین، ارث نخواهد برد؛ چراکه او کودک را از بین برده است</w:t>
      </w:r>
      <w:r>
        <w:rPr>
          <w:rFonts w:eastAsia="IRNazanin" w:cs="IRNazanin"/>
          <w:color w:val="111111"/>
          <w:sz w:val="28"/>
          <w:szCs w:val="28"/>
          <w:rtl w:val="true"/>
          <w:lang w:bidi="fa-IR"/>
        </w:rPr>
        <w:t>.</w:t>
      </w:r>
      <w:r>
        <w:rPr>
          <w:rStyle w:val="FootnoteAnchor"/>
          <w:rtl w:val="true"/>
        </w:rPr>
        <w:footnoteReference w:id="510"/>
      </w:r>
      <w:bookmarkStart w:id="651" w:name="pg13785_135165"/>
    </w:p>
    <w:p>
      <w:pPr>
        <w:pStyle w:val="BookText"/>
        <w:rPr/>
      </w:pPr>
      <w:bookmarkEnd w:id="651"/>
      <w:r>
        <w:rPr>
          <w:rFonts w:ascii="IRNazanin" w:hAnsi="IRNazanin" w:eastAsia="IRNazanin"/>
          <w:color w:val="111111"/>
          <w:sz w:val="28"/>
          <w:sz w:val="28"/>
          <w:szCs w:val="28"/>
          <w:rtl w:val="true"/>
          <w:lang w:bidi="fa-IR"/>
        </w:rPr>
        <w:t>لیکن به نظر می‌رسد که در این سخن، مغالطه‌ای آشکار وجود دارد؛ زیرا بحث ما دربارۀ جواز قرار گرفتن نطفۀ حاصل از تلقیح در رحم است؛ در حالی که در این روایت از سقط جنینی که در رحم قرار دارد،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در بحث ما هنوز نطفه در رحم قرار نگرفته است و ما به دنبال دلیلی برای جواز قرار دادن آن در رحم هستیم و این‌که آیا اصولاً حفظ این نطفه واجب است یا خیر؟ امّا موضوع سقط جنین در زنا، نطفۀ تلقیح یافته‌ای است که در رحم جای گرفته و اگر به حال خود رها شود، به‌طور طبیعی شرایط رشد و تولّدش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بر اساس این روایت، سقط کردن جنینِ درون رحم حرام است؛ امّا این نطفه عنوان جنینِ داخل رحم را ندارد و نمی‌توان از بین رفتن آن را در حکم سقط جنین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ملازمه‌ای وجود ندارد که بتوان ثابت کرد حفظ این نطفه واجب است و باید آن را در رحم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بر اساس مبنایی که از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ابْتَغی وَراءَ ذلِکَ فَأُولئِکَ هُمُ العادُونَ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قرار گرفتن این نطفه در رحم همسر مرد و هر زن دیگری حرام است؛ چراکه زن نسبت به آن بیگانه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صورت نیز با توجّه به بحث دوم و به‌خاطر قرار گرفتن نطفه در رحم همسر مرد، اشکال دارد و حرام است</w:t>
      </w:r>
      <w:r>
        <w:rPr>
          <w:rFonts w:eastAsia="IRNazanin" w:cs="IRNazanin"/>
          <w:color w:val="111111"/>
          <w:sz w:val="28"/>
          <w:szCs w:val="28"/>
          <w:rtl w:val="true"/>
          <w:lang w:bidi="fa-IR"/>
        </w:rPr>
        <w:t>.</w:t>
      </w:r>
    </w:p>
    <w:p>
      <w:pPr>
        <w:pStyle w:val="Heading6"/>
        <w:numPr>
          <w:ilvl w:val="5"/>
          <w:numId w:val="1"/>
        </w:numPr>
        <w:rPr/>
      </w:pPr>
      <w:bookmarkStart w:id="652" w:name="__RefHeading___Toc2531191_1468164448"/>
      <w:bookmarkStart w:id="653" w:name="_Toc251"/>
      <w:bookmarkEnd w:id="652"/>
      <w:r>
        <w:rPr>
          <w:rtl w:val="true"/>
        </w:rPr>
        <w:t>و</w:t>
      </w:r>
      <w:r>
        <w:rPr>
          <w:rtl w:val="true"/>
        </w:rPr>
        <w:t xml:space="preserve">) </w:t>
      </w:r>
      <w:r>
        <w:rPr>
          <w:rtl w:val="true"/>
        </w:rPr>
        <w:t>صورت ششم تلقیح مصنوعی</w:t>
      </w:r>
      <w:bookmarkEnd w:id="653"/>
    </w:p>
    <w:p>
      <w:pPr>
        <w:pStyle w:val="BookText"/>
        <w:rPr/>
      </w:pPr>
      <w:r>
        <w:rPr>
          <w:rFonts w:ascii="IRNazanin" w:hAnsi="IRNazanin" w:eastAsia="IRNazanin"/>
          <w:color w:val="111111"/>
          <w:sz w:val="28"/>
          <w:sz w:val="28"/>
          <w:szCs w:val="28"/>
          <w:rtl w:val="true"/>
          <w:lang w:bidi="fa-IR"/>
        </w:rPr>
        <w:t>در مباحث گذشته برخی از صور تلقیح مصنوعی،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 به بررسی چند فرض که نادر الوقوع بوده و یا اصلاً واقع نمی‌شوند،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صور احتمالی، این است که نطفۀ مرد را با تخمک یک حیوان در خارج تلقیح نموده و سپس در رحم یک انسان یا یک حیوان قرار دهند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مطرح شده در بحث تلقیح مصنوعی، همگی در مورد نطفه و تخمک</w:t>
      </w:r>
    </w:p>
    <w:p>
      <w:pPr>
        <w:pStyle w:val="BookText"/>
        <w:rPr/>
      </w:pPr>
      <w:r>
        <w:rPr>
          <w:rFonts w:ascii="IRNazanin" w:hAnsi="IRNazanin" w:eastAsia="IRNazanin"/>
          <w:color w:val="111111"/>
          <w:sz w:val="28"/>
          <w:sz w:val="28"/>
          <w:szCs w:val="28"/>
          <w:rtl w:val="true"/>
          <w:lang w:bidi="fa-IR"/>
        </w:rPr>
        <w:t>انسان است و در هیچ یک از آنها دربارۀ تخمک حیوان سخن به میان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روایت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أَقَرَّ نُطْفَتَهُ فِی رَحِمٍ یَحْرُمُ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 بسیار روشنی دارد که روایت در موردی است که نطفه و تخمک از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دلیل حرمت تلقیح را منحصر در این روایات می‌دانند، باید در مورد این صورت نادر الوقوع حکم به جواز کنند؛ زیرا این فرض، از مورد روایات خارج است و با این توصیف باید به سراغ اصل اوّلی رفت و در این مورد، اصل برائت را جاری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به نظر ما اطلاق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ابْتَغی وَراءَ ذلِکَ فَأُولئِکَ هُمُ العادُونَ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این صورت نیز می‌شود و نمی‌توان نطفۀ حاصل از لقاح اسپرم مرد و تخمک حیوان را در رحم زن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و تأمّل بیشتر نسبت به آیات قبل از این آیۀ شریفه، در فهم این اطلاق ما را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آیات قبل از این آیه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عَلی أَزْواجِهِمْ أَوْ ما مَلَکَتْ أَیْمانُهُمْ فَإِنَّهُمْ غَیْرُ مَلُومِینَ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علّت این‌که پس از این آیات، آیۀ مورد بحث ما وارد شده چیست؟ چرا خداوند متعال پس از 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مؤمنین کسانی هستند که حافظ فروج خود هستند، مگر در مورد همسران و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تمام نمی‌کند، بلکه در ادامه با آوردن دو فاء تفریعیّه، ضابطه‌ای کلّی را ترسیم می‌نماید؟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نکته‌اش این است که غیر از ارتباط زوج و زوجه، هرگونه ارتباط دیگری حرام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این فرض، می‌توان نتیجه گرفت که اگر برای تلقیح از گیاهان استفاده شود و با استفاده از گیاهان، باروری را حاصل نمود نیز با توجّه به اطلاق آیه باید آن را حرام دانست</w:t>
      </w:r>
      <w:r>
        <w:rPr>
          <w:rFonts w:eastAsia="IRNazanin" w:cs="IRNazanin"/>
          <w:color w:val="111111"/>
          <w:sz w:val="28"/>
          <w:szCs w:val="28"/>
          <w:rtl w:val="true"/>
          <w:lang w:bidi="fa-IR"/>
        </w:rPr>
        <w:t>.</w:t>
      </w:r>
      <w:bookmarkStart w:id="654" w:name="pg13785_135167"/>
    </w:p>
    <w:p>
      <w:pPr>
        <w:pStyle w:val="Heading6"/>
        <w:numPr>
          <w:ilvl w:val="5"/>
          <w:numId w:val="1"/>
        </w:numPr>
        <w:rPr/>
      </w:pPr>
      <w:bookmarkStart w:id="655" w:name="__RefHeading___Toc2531193_1468164448"/>
      <w:bookmarkStart w:id="656" w:name="_Toc252"/>
      <w:bookmarkEnd w:id="654"/>
      <w:bookmarkEnd w:id="655"/>
      <w:r>
        <w:rPr>
          <w:rtl w:val="true"/>
        </w:rPr>
        <w:t>اشاره‌ای به بحث مقاصد الشریعة</w:t>
      </w:r>
      <w:bookmarkEnd w:id="656"/>
    </w:p>
    <w:p>
      <w:pPr>
        <w:pStyle w:val="BookText"/>
        <w:rPr/>
      </w:pPr>
      <w:r>
        <w:rPr>
          <w:rFonts w:ascii="IRNazanin" w:hAnsi="IRNazanin" w:eastAsia="IRNazanin"/>
          <w:color w:val="111111"/>
          <w:sz w:val="28"/>
          <w:sz w:val="28"/>
          <w:szCs w:val="28"/>
          <w:rtl w:val="true"/>
          <w:lang w:bidi="fa-IR"/>
        </w:rPr>
        <w:t>در نهایت، با توجّه به دو فرض اخیر از صور تلقیح مصنوعی، شایسته است اشاره‌ای به بحث مقاصد الشریعة داشته باشیم</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مقاصد الشریعة عبارت است از مشخّص کردن هدف خداوند از تشریع احکام و 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مقاصد الشریعة یعنی غایت و هدف قانون‌گذاری را مشخّص کردن و از آن در اجتهاد و استنباط احکام استفاده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تا حدّ زیادی مورد توجّه علمای اهل‌سنّت قرار گرفته و در فقه عامّه نفوذ زیادی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اهل سنّت در بحث مقاصد الشریعة به دنبال بررسی و یافتن این موضوع هستند که هدف خداوند از تشریع این قوانین چه بوده است و چه غایتی را دنبال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با استفاده از آن هدف و غایت، به استنباط و اجتهاد می‌پردازند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تعریفی که از مقاصد الشریعة ارائه شد، می‌توان فرض اخیر از صور تلقیح مصنوعی را با توجّه به این بحث، مورد نقد قرار داده و 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یکی از اهداف شارع از تشریع قوانین نکاح، حفظ نسل انسان به شیوۀ طبیعی است و چه بسا برخی آیات قرآن از جمله آیۀ شریفۀ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خَلَقْنَا الْإِنْسانَ فِی أَحْسَنِ تَقْوِیمٍ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مطلب اشاره داشته باشد؛ یعنی حتّی اگر راه‌های دیگری برای تولّد انسان وجود داشته باشد، امّا این راه‌ها مورد توجّه آیه نیست؛ بلکه شیوه‌ای که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 تأیید شده است و هدف شارع نیز تولّد انسان از راه ارتباط زوج و زوجه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اگر تخمک حیوان یا گیاهی در عمل تلقیح دخیل باشد، این فرض با هدف و غایت شارع از تقنین قوانین منافات دارد و 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قصد ورود به مباحث مقاصد الشریعة را نداریم و این مطالب به مناسبت فروض مذکور مطرح شد</w:t>
      </w:r>
      <w:r>
        <w:rPr>
          <w:rFonts w:eastAsia="IRNazanin" w:cs="IRNazanin"/>
          <w:color w:val="111111"/>
          <w:sz w:val="28"/>
          <w:szCs w:val="28"/>
          <w:rtl w:val="true"/>
          <w:lang w:bidi="fa-IR"/>
        </w:rPr>
        <w:t>.</w:t>
      </w:r>
      <w:bookmarkStart w:id="657" w:name="pg13785_135168"/>
    </w:p>
    <w:p>
      <w:pPr>
        <w:pStyle w:val="Heading5"/>
        <w:numPr>
          <w:ilvl w:val="4"/>
          <w:numId w:val="1"/>
        </w:numPr>
        <w:rPr/>
      </w:pPr>
      <w:bookmarkStart w:id="658" w:name="__RefHeading___Toc2531195_1468164448"/>
      <w:bookmarkStart w:id="659" w:name="_Toc253"/>
      <w:bookmarkEnd w:id="657"/>
      <w:bookmarkEnd w:id="658"/>
      <w:r>
        <w:rPr>
          <w:rtl w:val="true"/>
        </w:rPr>
        <w:t>بند دوم</w:t>
      </w:r>
      <w:r>
        <w:rPr>
          <w:rtl w:val="true"/>
        </w:rPr>
        <w:t xml:space="preserve">: </w:t>
      </w:r>
      <w:r>
        <w:rPr>
          <w:rtl w:val="true"/>
        </w:rPr>
        <w:t>تعیین نسب فرزند متولّد شده از تلقیح مصنوعی</w:t>
      </w:r>
      <w:bookmarkEnd w:id="659"/>
    </w:p>
    <w:p>
      <w:pPr>
        <w:pStyle w:val="Heading6"/>
        <w:numPr>
          <w:ilvl w:val="5"/>
          <w:numId w:val="1"/>
        </w:numPr>
        <w:rPr/>
      </w:pPr>
      <w:bookmarkStart w:id="660" w:name="__RefHeading___Toc2531197_1468164448"/>
      <w:bookmarkStart w:id="661" w:name="_Toc254"/>
      <w:bookmarkEnd w:id="660"/>
      <w:r>
        <w:rPr>
          <w:rtl w:val="true"/>
        </w:rPr>
        <w:t>اشارة</w:t>
      </w:r>
      <w:bookmarkEnd w:id="661"/>
    </w:p>
    <w:p>
      <w:pPr>
        <w:pStyle w:val="BookText"/>
        <w:rPr/>
      </w:pPr>
      <w:r>
        <w:rPr>
          <w:rFonts w:ascii="IRNazanin" w:hAnsi="IRNazanin" w:eastAsia="IRNazanin"/>
          <w:color w:val="111111"/>
          <w:sz w:val="28"/>
          <w:sz w:val="28"/>
          <w:szCs w:val="28"/>
          <w:rtl w:val="true"/>
          <w:lang w:bidi="fa-IR"/>
        </w:rPr>
        <w:t>در گفتار اوّل، پیرامون صور متعدّد تلقیح مصنوعی و حکم هر یک از آنها، سخن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 گفتار بحث تعیین نسب نوزاد تولّد یافته از تلقیح مصنوعی را مطرح می‌کنیم</w:t>
      </w:r>
      <w:r>
        <w:rPr>
          <w:rFonts w:eastAsia="IRNazanin" w:cs="IRNazanin"/>
          <w:color w:val="111111"/>
          <w:sz w:val="28"/>
          <w:szCs w:val="28"/>
          <w:rtl w:val="true"/>
          <w:lang w:bidi="fa-IR"/>
        </w:rPr>
        <w:t>.</w:t>
      </w:r>
    </w:p>
    <w:p>
      <w:pPr>
        <w:pStyle w:val="Heading6"/>
        <w:numPr>
          <w:ilvl w:val="5"/>
          <w:numId w:val="1"/>
        </w:numPr>
        <w:rPr/>
      </w:pPr>
      <w:bookmarkStart w:id="662" w:name="__RefHeading___Toc2531199_1468164448"/>
      <w:bookmarkStart w:id="663" w:name="_Toc255"/>
      <w:bookmarkEnd w:id="662"/>
      <w:r>
        <w:rPr>
          <w:rtl w:val="true"/>
        </w:rPr>
        <w:t>الف</w:t>
      </w:r>
      <w:r>
        <w:rPr>
          <w:rtl w:val="true"/>
        </w:rPr>
        <w:t xml:space="preserve">) </w:t>
      </w:r>
      <w:r>
        <w:rPr>
          <w:rtl w:val="true"/>
        </w:rPr>
        <w:t>مفهوم نسب</w:t>
      </w:r>
      <w:bookmarkEnd w:id="663"/>
    </w:p>
    <w:p>
      <w:pPr>
        <w:pStyle w:val="BookText"/>
        <w:rPr/>
      </w:pPr>
      <w:r>
        <w:rPr>
          <w:rFonts w:ascii="IRNazanin" w:hAnsi="IRNazanin" w:eastAsia="IRNazanin"/>
          <w:color w:val="111111"/>
          <w:sz w:val="28"/>
          <w:sz w:val="28"/>
          <w:szCs w:val="28"/>
          <w:rtl w:val="true"/>
          <w:lang w:bidi="fa-IR"/>
        </w:rPr>
        <w:t>در میان فرض‌های گوناگون تلقیح مصنوعی، در صورتی که نطفۀ مرد در رحم همسرش قرار داده شود، تردیدی وجود ندارد که در صورت تولّد فرزند، پدر طفل همان صاحب نطفه و مادر او، صاحب تخمک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فرضی که تلقیح بین نطفۀ زوج و تخمک زوجه شکل می‌گیرد، تعیین والدین با مشکلی رو به رو نیست؛ بلکه آنچه مورد اختلاف است و به تحقیق و بررسی نیاز دارد، دو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نخست در جایی است که نطفۀ زوج و تخمک زوجه در خارج رحم ترکیب شده و جنین حاصل از عمل تلقیح، برای ادامۀ زندگی در رحم زن دیگری قرار گیرد که از این صورت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اجارۀ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دیگری که تعیین نسب فرزند در آن نیازمند تحقیق می‌باشد، در جایی است که نطفۀ مرد اجنبی در رحم زن اجنبیّه قرار گیرد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عرف، صاحب نطفه، پدر فرزند متولّد شده و صاحب تخمک، مادر او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رجوع به عرف در این بحث در صورتی امکان‌پذیر است که شارع برای نسب، معنای خاصّی در نظر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دقیق‌تر، اگر بتوان با کمک ادلّه برای نسب، معنایی شرعی پیدا کرد، مراجعه به عرف صحیح نیست و باید با توجّه به معنای شرعی نسب، پدر و مادرِ ولد تلقیحی را معیّن ساخت و در غیر این صورت، معنای عرفی نسب در نظر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جهت تعیین نسب فرزند متولّد شده از تلقیح مصنوعی، باید ابتدا به این سؤال پاسخ دهیم که آیا در شرع مقدّس اسلام معنای خاصّی برای نسب در نظر گرفته شده است یا خیر؟ به</w:t>
      </w:r>
    </w:p>
    <w:p>
      <w:pPr>
        <w:pStyle w:val="BookText"/>
        <w:rPr/>
      </w:pPr>
      <w:r>
        <w:rPr>
          <w:rFonts w:ascii="IRNazanin" w:hAnsi="IRNazanin" w:eastAsia="IRNazanin"/>
          <w:color w:val="111111"/>
          <w:sz w:val="28"/>
          <w:sz w:val="28"/>
          <w:szCs w:val="28"/>
          <w:rtl w:val="true"/>
          <w:lang w:bidi="fa-IR"/>
        </w:rPr>
        <w:t>عبارت دیگر، آیا نسب دارای یک معنای اصطلاحی شرعی و یک حقیقت شرعیّه است یا خیر؟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فقها معتقدند که نسب دارای معنایی خاص و اصطلاحی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تعیین نسب بایستی به عرف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نیز صاحب نطفه و تخمک را به عنوان پدر و مادر کودک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دیدگاه در بحث تلقیح مصنوعی نیز باید به نظر عرف مراجعه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فقها با در نظر گرفتن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نفی نسب از ولد الزنا معتقدند کمه نسب معنای شرعی دارد و شارع معنای خاصّی را برای آن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تعیین نسب فرزند متولّد شده از تلقیح مصنوعی، نمی‌توان به عرف مراجعه کرد؛ بلکه ملاک و معیار تشخیص نسب، شرع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روشن شدن مطلب، مستندات این دیدگاه را مورد بررسی قرار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نسب از ولد الزنا</w:t>
      </w:r>
    </w:p>
    <w:p>
      <w:pPr>
        <w:pStyle w:val="BookText"/>
        <w:rPr/>
      </w:pPr>
      <w:r>
        <w:rPr>
          <w:rFonts w:ascii="IRNazanin" w:hAnsi="IRNazanin" w:eastAsia="IRNazanin"/>
          <w:color w:val="111111"/>
          <w:sz w:val="28"/>
          <w:sz w:val="28"/>
          <w:szCs w:val="28"/>
          <w:rtl w:val="true"/>
          <w:lang w:bidi="fa-IR"/>
        </w:rPr>
        <w:t>مشهور فقهای امامیّه معتقدند که ولد الزنا از مرد و زن مرتکب زنا ارث نمی‌برد و شارع در باب زنا ارث را نفی کرده است</w:t>
      </w:r>
      <w:r>
        <w:rPr>
          <w:rFonts w:eastAsia="IRNazanin" w:cs="IRNazanin"/>
          <w:color w:val="111111"/>
          <w:sz w:val="28"/>
          <w:szCs w:val="28"/>
          <w:rtl w:val="true"/>
          <w:lang w:bidi="fa-IR"/>
        </w:rPr>
        <w:t>.</w:t>
      </w:r>
      <w:r>
        <w:rPr>
          <w:rStyle w:val="FootnoteAnchor"/>
          <w:rtl w:val="true"/>
        </w:rPr>
        <w:footnoteReference w:id="512"/>
      </w:r>
      <w:r>
        <w:rPr>
          <w:rFonts w:ascii="IRNazanin" w:hAnsi="IRNazanin" w:eastAsia="IRNazanin"/>
          <w:color w:val="111111"/>
          <w:sz w:val="28"/>
          <w:sz w:val="28"/>
          <w:szCs w:val="28"/>
          <w:rtl w:val="true"/>
          <w:lang w:bidi="fa-IR"/>
        </w:rPr>
        <w:t xml:space="preserve">از این رو، این پرسش مطرح می‌شود که آیا می‌توان به وسیلۀ این نفی 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احکام نسب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ثابت نمود که میان ولد الزنا و مرد و زن مرتکب زنا نسبی وجود ندارد؟ اگر شارع مقدّس فرمود که شخصی از شخص دیگر ارث نمی‌برد، آیا می‌توان نتیجه گرفت که بین اینها نسبی وجود ندارد؟</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برای نسب، مفهومی شرعی را در نظر گرفته‌اند، به این سؤال پاسخ مثبت داده‌اند و محرومیت از ارث را دلیل بر نفی نسب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عقیدۀ ایشان</w:t>
      </w:r>
    </w:p>
    <w:p>
      <w:pPr>
        <w:pStyle w:val="BookText"/>
        <w:rPr/>
      </w:pPr>
      <w:r>
        <w:rPr>
          <w:rFonts w:ascii="IRNazanin" w:hAnsi="IRNazanin" w:eastAsia="IRNazanin"/>
          <w:color w:val="111111"/>
          <w:sz w:val="28"/>
          <w:sz w:val="28"/>
          <w:szCs w:val="28"/>
          <w:rtl w:val="true"/>
          <w:lang w:bidi="fa-IR"/>
        </w:rPr>
        <w:t>نمی‌توان کسی را بر اساس نظر عرف، منتسب به افرادی دیگر نمود و آنها را مادر و پدر او تلّقی کرد؛ زیرا تعیین نسب به دست شارع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قدس سره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فلا یثبت النسب مع الزنا إجماعاً بقسمیه، بل یمکن دعوی ضروریته فضلاً عن دعوی معلومیته من النصوص أو تواترها فیه</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به عقیدۀ ایشان، ولد الزنا به زانی و زانیه ملحق نمی‌شود و دربارۀ این مطلب، اجماع منقول و محصّل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می‌توان ادّعای ضرورت نمود و این مطلب را از ضرورت‌های فقه شیعه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نقد این دیدگاه باید به بحث اصولی دوران بین تخصیص و تخصّص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مسئله، شارع مقدّس ولد الزنا را از شمول عمومات باب ارث خارج کرده است؛ اما سؤال این است که آیا این خروج به نحو استثنا و تخصیص است، یا به نحو تخصّص؟</w:t>
      </w:r>
    </w:p>
    <w:p>
      <w:pPr>
        <w:pStyle w:val="BookText"/>
        <w:rPr/>
      </w:pPr>
      <w:r>
        <w:rPr>
          <w:rFonts w:ascii="IRNazanin" w:hAnsi="IRNazanin" w:eastAsia="IRNazanin"/>
          <w:color w:val="111111"/>
          <w:sz w:val="28"/>
          <w:sz w:val="28"/>
          <w:szCs w:val="28"/>
          <w:rtl w:val="true"/>
          <w:lang w:bidi="fa-IR"/>
        </w:rPr>
        <w:t>معنای خروج تخصّصی این است که ولد الزنا از ابتدا از دایرۀ وارثین خارج بوده است؛ یعنی اصلاً به این فرد ملقح نبوده است تا از وی ارث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خروج تخصیصی به این معناست که ولد الزنا جزء وارثین محسوب می‌شود و به زانی و زانیه منتسب و ملحق است، امّا به دلیل خارجی از ارث محروم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تخصّص ثابت شود،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برای نسب، مفهومی خاص را در نظر گرفته و از ابتدا ولد الزنا را به زانی و زانیه ملحق نکرده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مبحث عام و خاصّ اصول، با این پرسش رو به رو هستیم که در دوران بین تخصیص و تخصّص چه باید کرد؟ آیا می‌توان به اصالة العموم تمسّک کرد و با نفی تخصیص، تخصّص را نتیجه گرفت؟ برای مثال، ممکن است مولا در امری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شخصی به نام زید وجود دارد که یقین داریم مشمول حکم وجوب اکرام نیست، امّا نمی‌دانیم که آیا زید عالم بوده و حکماً خارج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اصلاً عالم نبوده و تخصّصاً خارج شده است؟ به عبارت دیگر، علّت خروج زید از شمول حکم وجوب اکرام علما چیست؟ آیا زید، عالم بوده و با تخصیص از حکم خارج شده است و یا از ابتدا عالم نبوده و تخصّصاً خارج است؟</w:t>
      </w:r>
    </w:p>
    <w:p>
      <w:pPr>
        <w:pStyle w:val="BookText"/>
        <w:rPr/>
      </w:pPr>
      <w:r>
        <w:rPr>
          <w:rFonts w:ascii="IRNazanin" w:hAnsi="IRNazanin" w:eastAsia="IRNazanin"/>
          <w:color w:val="111111"/>
          <w:sz w:val="28"/>
          <w:sz w:val="28"/>
          <w:szCs w:val="28"/>
          <w:rtl w:val="true"/>
          <w:lang w:bidi="fa-IR"/>
        </w:rPr>
        <w:t>در بحث ما نیز همین مسئله جریان دارد و ما نمی‌دانیم استثنا شدن ولد الزنا از احکام عام ارث، به دلیل تخصیص خوردن آن است و یا این‌که ولد الزنا تخصّصاً از حکم خارج است؟ اگر همان گونه که برخی از فقها نظر داده‌اند، در دوران بین تخصیص و تخصّص، اصالة العموم را جاری کنیم و با نتیجه گرفتن نفی تخصیص، بگوییم ولد الزنا تخصّصاً خارج است، در این‌صورت از نظر شارع مقدّس ولد الزنا به پدر و مادر طبیعی خود منتسب نمی‌شود؛ یعنی چون شارع بین زانی، زانیه و ولد الزنا هیچ قرابتی را معتبر ندانسته و از ولد الزنا نفی نسب کرده است، ارث نیز منتفی می‌شود؛ زیرا ارث از احکام نسب است و اکنون که نسب نفی شده، ارثی هم در کار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ولد الزنا در احکام ارث، به خاطر تخصیص خوردن آن است، دیگر نمی‌توان نفی نسب را ثابت نمود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بحث دوران بین تخصیص و تخصّص، دیدگاه‌های مختلفی وجود دارد و برخی معتقدند که در این‌جا با جاری ساختن اصالة العموم، باید تخصّص را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دیدگاه، محقّق خراسانی قدس سره توقّف کرده است</w:t>
      </w:r>
      <w:r>
        <w:rPr>
          <w:rFonts w:eastAsia="IRNazanin" w:cs="IRNazanin"/>
          <w:color w:val="111111"/>
          <w:sz w:val="28"/>
          <w:szCs w:val="28"/>
          <w:rtl w:val="true"/>
          <w:lang w:bidi="fa-IR"/>
        </w:rPr>
        <w:t>.</w:t>
      </w:r>
      <w:r>
        <w:rPr>
          <w:rStyle w:val="FootnoteAnchor"/>
          <w:rtl w:val="true"/>
        </w:rPr>
        <w:footnoteReference w:id="514"/>
      </w:r>
      <w:r>
        <w:rPr>
          <w:rFonts w:ascii="IRNazanin" w:hAnsi="IRNazanin" w:eastAsia="IRNazanin"/>
          <w:color w:val="111111"/>
          <w:sz w:val="28"/>
          <w:sz w:val="28"/>
          <w:szCs w:val="28"/>
          <w:rtl w:val="true"/>
          <w:lang w:bidi="fa-IR"/>
        </w:rPr>
        <w:t>لیکن تحقیق آن است که نمی‌توان از راه اصالة العموم، تخصّص را نتیجه گرفت 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با تخصیص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آن نیز این است که اصول لفظیه همچون اصالة العموم و اصالة الاطلاق، برای کشف مراد متکلّم است و نمی‌توان با این اصول در عالم واقع هم تصرّف کرد و در مثال قبل نتیجه گرفت که زید عالم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بحث ولد الزنا برخی از احکام استثنا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او ارث نمی‌برد و نمی‌تواند امام جماعت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دربارۀ او بحث تخصیص مطرح است و در موارد تخصیص، به همان مقدار بسنده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نمی‌توان نتیجه گرفت که رابطۀ نسبی میان ولد الزنا و این مرد و زن، به طور کلّی قطع شده است و آنها به هم ملحق نمی‌شوند؛ زیرا عرف، ولد الزنا را فرزند مرد و زن مرتکب زنا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ادّعای صاحب جواهر قدس سره مبنی بر وجود اجماع بر نفی نسب از ولد الزنا و ادّعای ضرورت در این مورد، مبتنی بر روایات خاصّی است که در این باب وارد شده است و نمی‌توان از آنها خروج تخصّصی را نتیجه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نهایت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نسب از ولد الزنا ثابت نمی‌شود و نمی‌توان با توجّه به آن، یک معنای شرعی برای نسب برداشت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بحث تلقیح مصنوعی، اگر نطفۀ مرد در رحم زن اجنبیّه قرار گیرد، حتّی در صورت حرام بودن، این عمل زنا نیست و فرزند تولّد یافته نیز عنوان ولد الزنا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اکنون که عنوان زنا صدق نمی‌کند، تنها یک حکم تکلیفیِ حرمت وجود دارد که با این حرمت نیز نمی‌توان عناوین عرفی نسب را از میان برداشت؛ و روشن است که از نگاه عرفی، صاحب نطفه، پدر و صاحب تخمک، مادر فرزند متولّد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تلقیح مصنوعی گفته شد که به حسب معیار عرفی، صاحب نطفه، پدر و صاحب تخمک، مادر فرزند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صور تلقیح مصنوعی که در آن، نطفۀ یک مرد اجنبی را در رحم زن قرار می‌دهند، در فرضی که زن دارای شوهر باشد و یا در صورت دیگر که نطفۀ مرد اجنبی را با تخمک زن در خارج ترکیب کرده و سپس در رحم آن زن قرار می‌دهند و آن زن نیز خودش دارای شوهر باشد، این احتمال وجود دارد که با تکیه بر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شوهر این زن را پدر نوزاد بدانیم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دو جهت با بحث ما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آیا</w:t>
      </w:r>
    </w:p>
    <w:p>
      <w:pPr>
        <w:pStyle w:val="BookText"/>
        <w:rPr/>
      </w:pPr>
      <w:r>
        <w:rPr>
          <w:rFonts w:ascii="IRNazanin" w:hAnsi="IRNazanin" w:eastAsia="IRNazanin"/>
          <w:color w:val="111111"/>
          <w:sz w:val="28"/>
          <w:sz w:val="28"/>
          <w:szCs w:val="28"/>
          <w:rtl w:val="true"/>
          <w:lang w:bidi="fa-IR"/>
        </w:rPr>
        <w:t>می‌توان با کمک این قاعده یک معنای شرعی برای نسب در نظر گرفت؟ دوم این‌که آیا می‌توان فرض مورد سؤال را نیز مشمول اطلاق این قاعده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این کودک، شوهر زن است نه صاحب نطفه؟</w:t>
      </w:r>
    </w:p>
    <w:p>
      <w:pPr>
        <w:pStyle w:val="BookText"/>
        <w:rPr/>
      </w:pPr>
      <w:r>
        <w:rPr>
          <w:rFonts w:ascii="IRNazanin" w:hAnsi="IRNazanin" w:eastAsia="IRNazanin"/>
          <w:color w:val="111111"/>
          <w:sz w:val="28"/>
          <w:sz w:val="28"/>
          <w:szCs w:val="28"/>
          <w:rtl w:val="true"/>
          <w:lang w:bidi="fa-IR"/>
        </w:rPr>
        <w:t xml:space="preserve">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قواعد فقهی است که هم در کتب روایی شیعه و هم در کتب روایی اهل‌سنّت وارد شده است</w:t>
      </w:r>
      <w:r>
        <w:rPr>
          <w:rStyle w:val="FootnoteAnchor"/>
          <w:rtl w:val="true"/>
        </w:rPr>
        <w:footnoteReference w:id="515"/>
      </w:r>
      <w:r>
        <w:rPr>
          <w:rFonts w:ascii="IRNazanin" w:hAnsi="IRNazanin" w:eastAsia="IRNazanin"/>
          <w:color w:val="111111"/>
          <w:sz w:val="28"/>
          <w:sz w:val="28"/>
          <w:szCs w:val="28"/>
          <w:rtl w:val="true"/>
          <w:lang w:bidi="fa-IR"/>
        </w:rPr>
        <w:t>و مطلبی است که هر دو آن را قبول کرده‌اند، و از آن‌جا که روایات وارد شده در این بحث، به حدّی زیاد است که برای انسان اطمینان به تواتر آن حاصل می‌شود، نیازی به بررسی سند این روایات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برخی از روایات این قاعده را مطرح می‌کنیم و پیرامون آن سخن خواهیم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اوّل</w:t>
      </w:r>
    </w:p>
    <w:p>
      <w:pPr>
        <w:pStyle w:val="BookText"/>
        <w:rPr/>
      </w:pPr>
      <w:r>
        <w:rPr>
          <w:rFonts w:ascii="IRNazanin" w:hAnsi="IRNazanin" w:eastAsia="IRNazanin"/>
          <w:color w:val="111111"/>
          <w:sz w:val="28"/>
          <w:sz w:val="28"/>
          <w:szCs w:val="28"/>
          <w:rtl w:val="true"/>
          <w:lang w:bidi="fa-IR"/>
        </w:rPr>
        <w:t>در روایتی، حضرت امیر المؤمنین علیه السلام در پاسخ به اعتراض معاویه در مورد نفی پدر از زیاد چنین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مَا ذَکَرْتَ مِنْ نَفْیِ زِیَادٍ فَإِنِّی لَمْ أَنْفِهِ بَلْ نَفَاهُ رَسُولُ اللّهِ صلی الله علیه و آله إِذْ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الْوَلَدُ لِلْفِرَاشِ وَلِلْعَاهِرِ الْحَجَر؛</w:t>
      </w:r>
      <w:r>
        <w:rPr>
          <w:rStyle w:val="FootnoteAnchor"/>
          <w:rtl w:val="true"/>
        </w:rPr>
        <w:footnoteReference w:id="516"/>
      </w:r>
      <w:r>
        <w:rPr>
          <w:rFonts w:ascii="IRNazanin" w:hAnsi="IRNazanin" w:eastAsia="IRNazanin"/>
          <w:color w:val="111111"/>
          <w:sz w:val="28"/>
          <w:sz w:val="28"/>
          <w:szCs w:val="28"/>
          <w:rtl w:val="true"/>
          <w:lang w:bidi="fa-IR"/>
        </w:rPr>
        <w:t>حضرت أمیر المؤمنین قدس سره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نفی نکردم بلکه پیامبر صلی الله علیه و آله او را نفی کرده است؛ چراکه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برای صاحب فراش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زناکار بهره‌ای از کودک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زیاد فرزند ابوسفیان نیست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لغوی فراش، بستر و مفروش است و در این‌جا کنایه از کسی است که با مادر آن کودک، همبستر است و شوهر اوست</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پس الولد للفراش، یعنی الولد لصاحب الفراش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عاهر نیز به معنای ستمکار و زناکار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نیز اگر به کسر حاء خوانده شود، به این معناست که عاهر بهره‌ای از این کودک ندارد و محجور است؛ امّا اگر الحجر را به فتح حاء بخوانیم، معنایش این است که باید عاهر را با سنگ دور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الْحَسَنِ الصَّیْقَلِ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رَجُلٍ اشْتَرَی جَارِیَةً ثُمَّ وَقَعَ عَلَیْهَا قَبْلَ أَنْ یَسْتَبْرِئَ رَحِمَهَا،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 یَسْتَغْفِرُ اللّهَ وَلَا یَعُودُ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بَاعَهَا مِنْ آخَرَ وَلَمْ یَسْتَبْرِئْ رَحِمَهَا ثُمَّ بَاعَهَا الثَّانِی مِنْ رَجُلٍ آخَرَ وَلَمْ یَسْتَبْرِئْ رَحِمَهَا فَاسْتَبَانَ حَمْلُهَا عِنْدَ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وَلِلْعَاهِرِ الْحَجَرُ؛</w:t>
      </w:r>
      <w:r>
        <w:rPr>
          <w:rStyle w:val="FootnoteAnchor"/>
          <w:rtl w:val="true"/>
        </w:rPr>
        <w:footnoteReference w:id="518"/>
      </w:r>
      <w:r>
        <w:rPr>
          <w:rFonts w:ascii="IRNazanin" w:hAnsi="IRNazanin" w:eastAsia="IRNazanin"/>
          <w:color w:val="111111"/>
          <w:sz w:val="28"/>
          <w:sz w:val="28"/>
          <w:szCs w:val="28"/>
          <w:rtl w:val="true"/>
          <w:lang w:bidi="fa-IR"/>
        </w:rPr>
        <w:t>حسن بن صیقل از امام صادق علیه السلام نقل می‌کند که از ایشان دربارۀ مردی سؤال شد که کنیزی را خریده و پیش از استبرای رحم با او نزدیکی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استغفار کند و دیگر مرتکب این کار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شخص جاریه را به دیگری می‌فروشد و شخص دوم نیز قبل از استبرای رحم کنیز را به دیگری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مشتری کنیز را گرفته و با او مواقعه کرده است و آثار حاملگی کنیز وقتی که نزد مشتری سوم بوده،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برای صاحب فراش است و برای زناکار، سنگ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عَبْدِ اللّهِ علیه السلام الْوَلَدُ لِلَّذِی عِنْدَهُ الْجَارِیَةُ وَلْیَصْبِرْ لِقَوْلِ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وَلِلْعَاهِرِ الْحَجَرُ؛</w:t>
      </w:r>
      <w:r>
        <w:rPr>
          <w:rStyle w:val="FootnoteAnchor"/>
          <w:rtl w:val="true"/>
        </w:rPr>
        <w:footnoteReference w:id="519"/>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ملحق به کسی است که کنیز در نزد اوست و باید صبر کند؛ زیرا 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ملحق به صاحب فراش بوده و برای زناکار، سنگ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سَعِیدٍ الْأَعْرَجِ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رَجُلَیْنِ وَقَعَا عَلَی</w:t>
      </w:r>
    </w:p>
    <w:p>
      <w:pPr>
        <w:pStyle w:val="BookText"/>
        <w:rPr/>
      </w:pPr>
      <w:r>
        <w:rPr>
          <w:rFonts w:ascii="Amiri" w:hAnsi="Amiri" w:eastAsia="Amiri" w:cs="Amiri"/>
          <w:color w:val="111111"/>
          <w:sz w:val="28"/>
          <w:sz w:val="28"/>
          <w:szCs w:val="28"/>
          <w:rtl w:val="true"/>
          <w:lang w:bidi="ar-SA"/>
        </w:rPr>
        <w:t>جَارِیَةٍ فِی طُهْرٍ وَاحِدٍ لِمَنْ یَکُونُ الْوَلَدُ؟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 عِنْدَهُ لِقَوْلِ رَسُولِ اللّهِ صلی الله علیه و آله الْوَلَدُ لِلْفِرَاشِ وَلِلْعَاهِرِ الْحَجَرُ؛</w:t>
      </w:r>
      <w:r>
        <w:rPr>
          <w:rStyle w:val="FootnoteAnchor"/>
          <w:rtl w:val="true"/>
        </w:rPr>
        <w:footnoteReference w:id="520"/>
      </w:r>
      <w:r>
        <w:rPr>
          <w:rFonts w:ascii="IRNazanin" w:hAnsi="IRNazanin" w:eastAsia="IRNazanin"/>
          <w:color w:val="111111"/>
          <w:sz w:val="28"/>
          <w:sz w:val="28"/>
          <w:szCs w:val="28"/>
          <w:rtl w:val="true"/>
          <w:lang w:bidi="fa-IR"/>
        </w:rPr>
        <w:t>سعید اعرج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سؤال کردم در مورد دو مردی که در زمان یک 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 از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کنیزی نزدیکی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به کدام یک ملحق می‌شود؟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برای کسی است که کنیز در نزد اوست؛ زیرا 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ملحق به فراش است و زانی از آن منع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این دو مرد در زمانی نزدیک به هم، با آن کنیز جماع کرده‌اند و هر دو نیز نطفۀ خود را در رحم کنیز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حضرت به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کرده و فرزند را از آن مالک جاریه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مُحَمَّدٍ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رَجُلٍ وَقَعَ عَلَی وَلِیدَةِ قَوْمٍ حَرَاماً ثُمَّ اشْتَرَاهَا فَادَّعَی وَلَدَهَا فَإِنَّهُ لَا یُوَرَّثُ مِنْهُ فَإِنَّ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وَلِلْعَاهِرِ الْحَجَرُ وَلَا یُوَرِّثُ وَلَدَ الزِّنَا إِلاَّ رَجُلٌ یَدَّعِی ابْنَ وَلِیدَتِهِ؛</w:t>
      </w:r>
      <w:r>
        <w:rPr>
          <w:rStyle w:val="FootnoteAnchor"/>
          <w:rtl w:val="true"/>
        </w:rPr>
        <w:footnoteReference w:id="521"/>
      </w:r>
      <w:r>
        <w:rPr>
          <w:rFonts w:ascii="IRNazanin" w:hAnsi="IRNazanin" w:eastAsia="IRNazanin"/>
          <w:color w:val="111111"/>
          <w:sz w:val="28"/>
          <w:sz w:val="28"/>
          <w:szCs w:val="28"/>
          <w:rtl w:val="true"/>
          <w:lang w:bidi="fa-IR"/>
        </w:rPr>
        <w:t>هر مردی که با کنیز یک قومی از روی حرام نزدیکی کرد، سپس آن را خرید و مدّعی شد که فرزندی که از جاریه به دنیا آمده از اوست، این فرد از آن فرزند ارث نمی‌برد؛ چراکه پیامبر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به صاحب فراش ملحق می‌شود و زانی از آن بهره‌ای نمی‌برد و او را سنگ سزا است و از او ارث نمی‌برد، مگر مردی که ادّعا کند این فرزند از آنِ کنیز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 به روایتی که در کتب روایی اهل‌سنّت وارد شده، اشاره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عُتبَةُ بنِ أبِی وَقَاصِ عَهِدَ إلَی أخِیهِ سَعدِ بنِ أبِی وَقَّاصِ أنَّ إبنَ وَلیِدَةِ زَمعَةِ مِنِّی فَأقبَضَهُ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کانَ عَامُّ الفَتحِ أخَذَ سَعدَ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أخِی قَد کانَ عَهِدَ إلَیَّ فیهِ، فَقَامَ إلَیهِ عَبدُ بنِ زُمعَةِ، فَقَالَ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لَکَ یا عَبدَ أبِی زُمعَةِ،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لِسوُدَةِ بِنتُ زُمعَةِ إحتَجِبی مِنه یا سودَةُ لَمَّا رأی مِن شَبَهِهِ بِعُتبَةِ؛</w:t>
      </w:r>
      <w:r>
        <w:rPr>
          <w:rStyle w:val="FootnoteAnchor"/>
          <w:rtl w:val="true"/>
        </w:rPr>
        <w:footnoteReference w:id="522"/>
      </w:r>
      <w:r>
        <w:rPr>
          <w:rFonts w:ascii="IRNazanin" w:hAnsi="IRNazanin" w:eastAsia="IRNazanin"/>
          <w:color w:val="111111"/>
          <w:sz w:val="28"/>
          <w:sz w:val="28"/>
          <w:szCs w:val="28"/>
          <w:rtl w:val="true"/>
          <w:lang w:bidi="fa-IR"/>
        </w:rPr>
        <w:t>عتبه به برادرش سعد ابن ابی 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زمعه از من است، او را برای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فتح مکّه، سعد ابن أبی وقاص بچّه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عبد بن زمعه، فرزند زمعه و برادر این بچّه، برای شکایت خدمت حضرت رسول اکرم صلی الله علیه و آله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اکرم صلی الله علیه و آله به عبد بن زمعه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برادر توست،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ملحق به صاحب فراش است و زانی از آن بهره‌ای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خطاب به سوده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فرزند دیگر زمعه و خواهر این بچّه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سوده از آن‌جا که این بچه شبیه عتبه است در مقابلش حجاب را رعایت کن</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که عایشه آن را نقل می‌کند، عتبه مدّعی است که فرزند زمعه که زمانی کنیزش بوده است، برای اوست و برادرش سعد بن ابی وقّاص برای گرفتن بچّه اقدام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زمعه سه فرزند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سوده است، که گویا همسر پیامبر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عبد اللّه و دیگری همین بچّه که عتبه ادّعا می‌کند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عبداللّه، برادر این بچّه و فرزند زمعه، نزد پیامبر صلی الله علیه و آله می‌رود،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بچّه، برادر توست و به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می‌کنند؛ امّا در عین حال به سوده که خواهر آن بچّه بوده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بچّه، شبیه عتبه است، تو از او رو بگیر؛ چراکه احتمال دارد برادر تو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جریان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با استناد به این قاعده، معتقدند که نسب در اسلام، مفهومی خاص و معنایی شرعی دارد، به این دلیل که در روایات این باب، فرزند به شوهر زن یا مالک کنیز منسوب شده و از شخص دیگر نفی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پاسخ به این سخن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بررسی روایات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می‌توان نتیجه گرفت که به قرینۀ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قوی این قاعده مربوط به جایی است که زنا محقّق شده است؛ امّا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به باب زنا اختصاص دارد؛ بلکه محلّ جریان قاعده در جایی است که امکان الحاق فرزند به شوهرِ زن یا مالک کنیز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در همۀ روایات این باب، تردید وجود داشت که آیا کودک، متعلّق به شوهرِ زن است یا متعلّق به مردی است که زن با او رابطۀ نامشروع داشته است؟ و شارع با وضع این قاعده در صدد الحاق چنین فرزندی به شوهر زن و مالک کنیز است، حتّی اگر تنها احتمال الحاق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نیز ظنّ به خلاف این مطلب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روایت عتبه پیامبر اکرم صلی الله علیه و آله با استناد به قاعدۀ فراش، آن بچّه را به زمعه منتسب می‌داند؛ امّا با این حال و با توجّه به شباهت ظاهری بچّه با عتبه، به سوده امر می‌کند که در مقابل آن بچّه حجاب خود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 است که در این‌جا بر خلاف اقتضای قاعدۀ فراش، قرائنی مبنی بر انتساب فرزند به شخصی دیگر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شارع از وضع این قاعده، تشخیص حکم ظاهری الحاق فرزند است و به نسب واقعی آن نظر ندارد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بیان شد، اگر امکان الحاق فرزند به شوهر وجود نداشته باشد و معلوم باشد که این فرزند از چه مردی است،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بحث تلقیح مصنوعی که ما می‌دانیم زن با نطفۀ مرد اجنبی بارور شده است، دیگر محلّی برای جاری ساختن این قاعده وجود ندارد و بچّه به همان مرد</w:t>
      </w:r>
      <w:bookmarkStart w:id="664" w:name="pg13785_135178"/>
    </w:p>
    <w:p>
      <w:pPr>
        <w:pStyle w:val="BookText"/>
        <w:rPr/>
      </w:pPr>
      <w:bookmarkEnd w:id="664"/>
      <w:r>
        <w:rPr>
          <w:rFonts w:ascii="IRNazanin" w:hAnsi="IRNazanin" w:eastAsia="IRNazanin"/>
          <w:color w:val="111111"/>
          <w:sz w:val="28"/>
          <w:sz w:val="28"/>
          <w:szCs w:val="28"/>
          <w:rtl w:val="true"/>
          <w:lang w:bidi="fa-IR"/>
        </w:rPr>
        <w:t>صاحب نطفه ملحق می‌شود؛ زیرا امروزه وقتی به سراغ شیوه‌های باروری مصنوعی می‌روند که از نظر پزشکی امکان باروری زن از طریق آمیزش طبیعی با شوهرش وجود ندارد و این امر به دلیل اختلال یا ضعف در سیستم جنسی یکی از زن یا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فرض کنیم که نطفۀ یک مرد اجنبی در رحم زنی شوهردار، قرار داده شود و این زن با شوهرش آمیزش کند و نطفۀ شوهرش نیز در رحم او قرار گیرد و پس از آن، جنینی در رحم این زن تکوین یابد و این احتمال وجود داشته باشد که این جنین از تلقیح منی شوهر و تخمک همسرش حاصل شده است، امکان استناد به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با تمسّک به این قاعده، حکم به انتساب فرزند به شوهر آن زن خواهد شد؛ زیرا چنان که گفتیم قاعدۀ فراش در جایی جاری می‌شود که امکان لحوق فرزند به شوهر یا مالک زن وجود دارد و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مختصّ به باب زناست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این‌که آیا این قاعده، عنوان اماره را دارد یا یک اصل محسوب می‌شود، اختلاف است و بیشتر روایات این باب، دلالت بر این دارد که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امارۀ شرعیّه است</w:t>
      </w:r>
      <w:r>
        <w:rPr>
          <w:rFonts w:eastAsia="IRNazanin" w:cs="IRNazanin"/>
          <w:color w:val="111111"/>
          <w:sz w:val="28"/>
          <w:szCs w:val="28"/>
          <w:rtl w:val="true"/>
          <w:lang w:bidi="fa-IR"/>
        </w:rPr>
        <w:t>.</w:t>
      </w:r>
    </w:p>
    <w:p>
      <w:pPr>
        <w:pStyle w:val="Heading6"/>
        <w:numPr>
          <w:ilvl w:val="5"/>
          <w:numId w:val="1"/>
        </w:numPr>
        <w:rPr/>
      </w:pPr>
      <w:bookmarkStart w:id="665" w:name="__RefHeading___Toc2531201_1468164448"/>
      <w:bookmarkStart w:id="666" w:name="_Toc256"/>
      <w:bookmarkEnd w:id="665"/>
      <w:r>
        <w:rPr>
          <w:rtl w:val="true"/>
        </w:rPr>
        <w:t>ب</w:t>
      </w:r>
      <w:r>
        <w:rPr>
          <w:rtl w:val="true"/>
        </w:rPr>
        <w:t xml:space="preserve">) </w:t>
      </w:r>
      <w:r>
        <w:rPr>
          <w:rtl w:val="true"/>
        </w:rPr>
        <w:t>نسب فرزند در شکل‌های مختلف تلقیح مصنوعی</w:t>
      </w:r>
      <w:bookmarkEnd w:id="666"/>
    </w:p>
    <w:p>
      <w:pPr>
        <w:pStyle w:val="BookText"/>
        <w:rPr/>
      </w:pPr>
      <w:r>
        <w:rPr>
          <w:rFonts w:ascii="IRNazanin" w:hAnsi="IRNazanin" w:eastAsia="IRNazanin"/>
          <w:color w:val="111111"/>
          <w:sz w:val="28"/>
          <w:sz w:val="28"/>
          <w:szCs w:val="28"/>
          <w:rtl w:val="true"/>
          <w:lang w:bidi="fa-IR"/>
        </w:rPr>
        <w:t>از نگاه عرف، صاحب نطفۀ پدر کودک تلقیحی و صاحب تخمک مادر آن است، و شارع نیز با این معنا و معیار عرفی نسب، مخالفتی نکرده و آن‌را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فرض‌های مورد سؤال، معیار عرف در تشخیص نسب مورد قبول خواهد بود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در فرض‌هایی که تلقیح، میان نطفۀ مرد و تخمک همسرش صورت می‌گیرد، الحاق فرزند با مشکلی مواجه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صورت‌هایی که عمل تلقیح، میان نطفه و تخمک زن و مرد اجنبی صورت می‌گیرد نیز صاحب نطفه، پدر فرزند و صاحب تخمک، مادر او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نطفۀ مرد با تخمک همسرش در خارج رحم ترکیب شده و برای تکوین به رحم زن دیگری منتقل شود، این پرسش مطرح می‌شود که مادر این فرزند کیست؟ بنا بر آنچه پیش از این گفته شد، برای تعیین</w:t>
      </w:r>
      <w:bookmarkStart w:id="667" w:name="pg13785_135179"/>
    </w:p>
    <w:p>
      <w:pPr>
        <w:pStyle w:val="BookText"/>
        <w:rPr/>
      </w:pPr>
      <w:bookmarkEnd w:id="667"/>
      <w:r>
        <w:rPr>
          <w:rFonts w:ascii="IRNazanin" w:hAnsi="IRNazanin" w:eastAsia="IRNazanin"/>
          <w:color w:val="111111"/>
          <w:sz w:val="28"/>
          <w:sz w:val="28"/>
          <w:szCs w:val="28"/>
          <w:rtl w:val="true"/>
          <w:lang w:bidi="fa-IR"/>
        </w:rPr>
        <w:t>نسب باید به عرف مراجعه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نیز صاحب تخمک را مادر این فرزند می‌داند</w:t>
      </w:r>
      <w:r>
        <w:rPr>
          <w:rFonts w:eastAsia="IRNazanin" w:cs="IRNazanin"/>
          <w:color w:val="111111"/>
          <w:sz w:val="28"/>
          <w:szCs w:val="28"/>
          <w:rtl w:val="true"/>
          <w:lang w:bidi="fa-IR"/>
        </w:rPr>
        <w:t>.</w:t>
      </w:r>
    </w:p>
    <w:p>
      <w:pPr>
        <w:pStyle w:val="Heading6"/>
        <w:numPr>
          <w:ilvl w:val="5"/>
          <w:numId w:val="1"/>
        </w:numPr>
        <w:rPr/>
      </w:pPr>
      <w:bookmarkStart w:id="668" w:name="__RefHeading___Toc2531203_1468164448"/>
      <w:bookmarkStart w:id="669" w:name="_Toc257"/>
      <w:bookmarkEnd w:id="668"/>
      <w:r>
        <w:rPr/>
        <w:t>1</w:t>
      </w:r>
      <w:r>
        <w:rPr>
          <w:rtl w:val="true"/>
        </w:rPr>
        <w:t xml:space="preserve">- </w:t>
      </w:r>
      <w:r>
        <w:rPr>
          <w:rtl w:val="true"/>
        </w:rPr>
        <w:t>دیدگاه محقّق خویی</w:t>
      </w:r>
      <w:bookmarkEnd w:id="669"/>
    </w:p>
    <w:p>
      <w:pPr>
        <w:pStyle w:val="BookText"/>
        <w:rPr/>
      </w:pPr>
      <w:r>
        <w:rPr>
          <w:rFonts w:ascii="Amiri" w:hAnsi="Amiri" w:eastAsia="Amiri" w:cs="Amiri"/>
          <w:color w:val="111111"/>
          <w:sz w:val="28"/>
          <w:sz w:val="28"/>
          <w:szCs w:val="28"/>
          <w:rtl w:val="true"/>
          <w:lang w:bidi="ar-SA"/>
        </w:rPr>
        <w:t>محقّق خویی قدس سره با استناد به آیۀ شریفۀ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أُمَّهاتُهُمْ إِلاَّ اللاّئِی وَلَدْنَهُمْ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معتقد است که مادر کودک، کسی است که فرزند از او متولّد می‌شود؛</w:t>
      </w:r>
      <w:r>
        <w:rPr>
          <w:rStyle w:val="FootnoteAnchor"/>
          <w:rtl w:val="true"/>
        </w:rPr>
        <w:footnoteReference w:id="523"/>
      </w:r>
      <w:r>
        <w:rPr>
          <w:rFonts w:ascii="IRNazanin" w:hAnsi="IRNazanin" w:eastAsia="IRNazanin"/>
          <w:color w:val="111111"/>
          <w:sz w:val="28"/>
          <w:sz w:val="28"/>
          <w:szCs w:val="28"/>
          <w:rtl w:val="true"/>
          <w:lang w:bidi="fa-IR"/>
        </w:rPr>
        <w:t>زیرا بر اساس مدلول این بخش از آیۀ شریفه، مادر ظهارکنندگان، کسی است که آنها از او متولّد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این‌که در این آیه، مادر فقط همان زنی که بچه از او متولّد می‌شود دانسته شده است، باید در جایی که تخمک یک زن را در رحم همسر شخصی قرار می‌دهند و این زن به سبب آمیزش با شوهرش بارور می‌شود، و نیز در جایی‌که نطفۀ مرد با تخمک همسرش در خارج تلقیح می‌شود و سپس در رحم زن دیگری قرار داده می‌شود،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کودک زنی است که بچّه را متولّد می‌کند، نه زن صاحب تخمک</w:t>
      </w:r>
      <w:r>
        <w:rPr>
          <w:rFonts w:eastAsia="IRNazanin" w:cs="IRNazanin"/>
          <w:color w:val="111111"/>
          <w:sz w:val="28"/>
          <w:szCs w:val="28"/>
          <w:rtl w:val="true"/>
          <w:lang w:bidi="fa-IR"/>
        </w:rPr>
        <w:t>.</w:t>
      </w:r>
    </w:p>
    <w:p>
      <w:pPr>
        <w:pStyle w:val="Heading6"/>
        <w:numPr>
          <w:ilvl w:val="5"/>
          <w:numId w:val="1"/>
        </w:numPr>
        <w:rPr/>
      </w:pPr>
      <w:bookmarkStart w:id="670" w:name="__RefHeading___Toc2531205_1468164448"/>
      <w:bookmarkStart w:id="671" w:name="_Toc258"/>
      <w:bookmarkEnd w:id="670"/>
      <w:r>
        <w:rPr/>
        <w:t>2</w:t>
      </w:r>
      <w:r>
        <w:rPr>
          <w:rtl w:val="true"/>
        </w:rPr>
        <w:t xml:space="preserve">- </w:t>
      </w:r>
      <w:r>
        <w:rPr>
          <w:rtl w:val="true"/>
        </w:rPr>
        <w:t>نقد دیدگاه محقّق خویی</w:t>
      </w:r>
      <w:bookmarkEnd w:id="671"/>
    </w:p>
    <w:p>
      <w:pPr>
        <w:pStyle w:val="BookText"/>
        <w:rPr/>
      </w:pPr>
      <w:r>
        <w:rPr>
          <w:rFonts w:ascii="IRNazanin" w:hAnsi="IRNazanin" w:eastAsia="IRNazanin"/>
          <w:color w:val="111111"/>
          <w:sz w:val="28"/>
          <w:sz w:val="28"/>
          <w:szCs w:val="28"/>
          <w:rtl w:val="true"/>
          <w:lang w:bidi="fa-IR"/>
        </w:rPr>
        <w:t>در پاسخ محقّق خویی قدس سره می‌توان به دو مطلب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مقام آن نیست که مادر را تعریف کند، بلکه به دنبال نکوهش بینش نادرست مردم آن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در عصر جاهلیت اگر مردی قصد جدایی از همسر خود را داشت، به وی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ظَهرُک کظَهرِ 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زن خود را به منزلۀ مادر خود قرار می‌دادند و این روشی برای متارکه و جدایی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نکاح با همسر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نکاح با مادر حرام است، نکاح با همسرش نیز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آیۀ شریفه در پاسخ به ظهار کنندگان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زنان مادران شما نیستند، بلکه مادران شما کسانی‌اند که شما را متولّد کرده‌اند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برای این ضابطه، مثال‌های نقضی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زن پیش از تولّد فرزندش فوت کند و پس از فوت او و با عمل جرّاحی، فرزند را از شکم</w:t>
      </w:r>
      <w:bookmarkStart w:id="672" w:name="pg13785_135180"/>
    </w:p>
    <w:p>
      <w:pPr>
        <w:pStyle w:val="BookText"/>
        <w:rPr/>
      </w:pPr>
      <w:bookmarkEnd w:id="672"/>
      <w:r>
        <w:rPr>
          <w:rFonts w:ascii="IRNazanin" w:hAnsi="IRNazanin" w:eastAsia="IRNazanin"/>
          <w:color w:val="111111"/>
          <w:sz w:val="28"/>
          <w:sz w:val="28"/>
          <w:szCs w:val="28"/>
          <w:rtl w:val="true"/>
          <w:lang w:bidi="fa-IR"/>
        </w:rPr>
        <w:t>او خارج نمایند، با این‌که این زن بچّه را متولّد نکرده است، او را مادر آن فرزند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مورد نوزادی که از راه سزارین به دنیا می‌آید،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او را متولّد نکرده است؛ زیرا ولادت، خروج از موضع طبیعی است و در سزارین چنین اتّفاقی نمی‌افتد؛ امّا با این‌حال، این زن مادر آن فرزند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بیان شد، استدلال محقّق خویی قدس سره صحیح نیست و در این صورت نیز باید فرزند را به صاحب تخمک ملحق نمود و عرف نیز همین ملاک را معتبر می‌داند</w:t>
      </w:r>
      <w:r>
        <w:rPr>
          <w:rFonts w:eastAsia="IRNazanin" w:cs="IRNazanin"/>
          <w:color w:val="111111"/>
          <w:sz w:val="28"/>
          <w:szCs w:val="28"/>
          <w:rtl w:val="true"/>
          <w:lang w:bidi="fa-IR"/>
        </w:rPr>
        <w:t>.</w:t>
      </w:r>
    </w:p>
    <w:p>
      <w:pPr>
        <w:pStyle w:val="Heading6"/>
        <w:numPr>
          <w:ilvl w:val="5"/>
          <w:numId w:val="1"/>
        </w:numPr>
        <w:rPr/>
      </w:pPr>
      <w:bookmarkStart w:id="673" w:name="__RefHeading___Toc2531207_1468164448"/>
      <w:bookmarkStart w:id="674" w:name="_Toc259"/>
      <w:bookmarkEnd w:id="673"/>
      <w:r>
        <w:rPr/>
        <w:t>3</w:t>
      </w:r>
      <w:r>
        <w:rPr>
          <w:rtl w:val="true"/>
        </w:rPr>
        <w:t xml:space="preserve">- </w:t>
      </w:r>
      <w:r>
        <w:rPr>
          <w:rtl w:val="true"/>
        </w:rPr>
        <w:t>احتمال وجود مادر دوم</w:t>
      </w:r>
      <w:bookmarkEnd w:id="674"/>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یک احتمال وجود دارد که در مواردی همچون بحث اجارۀ رحم، گفته شود که این بچّه دارای دو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مادر نسبی، که همان صاحب تخمک است و یک مادر رحمی که جنین را در طول نه ماه، در رحم او نگهداری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جایی که گفته می‌شود فرد دو مادر دارد، مادر نسبی و مادر رضاعی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که وقتی یک زن به موجب این‌که به مدّت یک شبانه‌روز بچّه‌ای را شیر داده، مادر رضاعی او محسوب می‌شود،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به موجب این‌که جنین، نه ماه در رحم این زن قرار گرفته و از او تغذیه نموده و تکوین یافته است، این زن مادر دوم او به شمار می‌آید</w:t>
      </w:r>
      <w:r>
        <w:rPr>
          <w:rFonts w:eastAsia="IRNazanin" w:cs="IRNazanin"/>
          <w:color w:val="111111"/>
          <w:sz w:val="28"/>
          <w:szCs w:val="28"/>
          <w:rtl w:val="true"/>
          <w:lang w:bidi="fa-IR"/>
        </w:rPr>
        <w:t>.</w:t>
      </w:r>
      <w:bookmarkStart w:id="675" w:name="pg13785_135182"/>
    </w:p>
    <w:p>
      <w:pPr>
        <w:pStyle w:val="Heading3"/>
        <w:numPr>
          <w:ilvl w:val="2"/>
          <w:numId w:val="1"/>
        </w:numPr>
        <w:rPr/>
      </w:pPr>
      <w:bookmarkStart w:id="676" w:name="__RefHeading___Toc2531209_1468164448"/>
      <w:bookmarkStart w:id="677" w:name="_Toc260"/>
      <w:bookmarkEnd w:id="675"/>
      <w:bookmarkEnd w:id="676"/>
      <w:r>
        <w:rPr>
          <w:rtl w:val="true"/>
        </w:rPr>
        <w:t>فصل ششم</w:t>
      </w:r>
      <w:r>
        <w:rPr>
          <w:rtl w:val="true"/>
        </w:rPr>
        <w:t xml:space="preserve">: </w:t>
      </w:r>
      <w:r>
        <w:rPr>
          <w:rtl w:val="true"/>
        </w:rPr>
        <w:t>معاملۀ مردار</w:t>
      </w:r>
      <w:bookmarkEnd w:id="677"/>
    </w:p>
    <w:p>
      <w:pPr>
        <w:pStyle w:val="Heading4"/>
        <w:numPr>
          <w:ilvl w:val="3"/>
          <w:numId w:val="1"/>
        </w:numPr>
        <w:rPr/>
      </w:pPr>
      <w:bookmarkStart w:id="678" w:name="__RefHeading___Toc2531211_1468164448"/>
      <w:bookmarkStart w:id="679" w:name="_Toc261"/>
      <w:bookmarkEnd w:id="678"/>
      <w:r>
        <w:rPr>
          <w:rtl w:val="true"/>
        </w:rPr>
        <w:t>اشارة</w:t>
      </w:r>
      <w:bookmarkEnd w:id="679"/>
    </w:p>
    <w:p>
      <w:pPr>
        <w:pStyle w:val="BookText"/>
        <w:rPr/>
      </w:pPr>
      <w:r>
        <w:rPr>
          <w:rFonts w:ascii="IRNazanin" w:hAnsi="IRNazanin" w:eastAsia="IRNazanin"/>
          <w:color w:val="111111"/>
          <w:sz w:val="28"/>
          <w:sz w:val="28"/>
          <w:szCs w:val="28"/>
          <w:rtl w:val="true"/>
          <w:lang w:bidi="fa-IR"/>
        </w:rPr>
        <w:t>پنجمین مورد از اعیان نجس که فقها خرید و فروش آن را حرام دانسته‌اند، مردار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سره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تحرم المعاوضة علی المیتة وأجزائها الّتی تحُلّها الحیاة من ذی النفس السائلة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المعروف من مذهب ألاصحاب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التذکرة کما عن المنتهی والتنقیح الإجماع وعن رهن الخلاف الإجماع علی عدم ملکیّتها؛</w:t>
      </w:r>
      <w:r>
        <w:rPr>
          <w:rStyle w:val="FootnoteAnchor"/>
          <w:rtl w:val="true"/>
        </w:rPr>
        <w:footnoteReference w:id="524"/>
      </w:r>
      <w:r>
        <w:rPr>
          <w:rFonts w:ascii="IRNazanin" w:hAnsi="IRNazanin" w:eastAsia="IRNazanin"/>
          <w:color w:val="111111"/>
          <w:sz w:val="28"/>
          <w:sz w:val="28"/>
          <w:szCs w:val="28"/>
          <w:rtl w:val="true"/>
          <w:lang w:bidi="fa-IR"/>
        </w:rPr>
        <w:t>بنا بر نظر مشهور، معاملۀ مرداری که خون جهنده دارد و نیز اجزای دارای روح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تذکره،</w:t>
      </w:r>
      <w:r>
        <w:rPr>
          <w:rStyle w:val="FootnoteAnchor"/>
          <w:rtl w:val="true"/>
        </w:rPr>
        <w:footnoteReference w:id="525"/>
      </w:r>
      <w:r>
        <w:rPr>
          <w:rFonts w:ascii="IRNazanin" w:hAnsi="IRNazanin" w:eastAsia="IRNazanin"/>
          <w:color w:val="111111"/>
          <w:sz w:val="28"/>
          <w:sz w:val="28"/>
          <w:szCs w:val="28"/>
          <w:rtl w:val="true"/>
          <w:lang w:bidi="fa-IR"/>
        </w:rPr>
        <w:t>منتهی</w:t>
      </w:r>
      <w:r>
        <w:rPr>
          <w:rStyle w:val="FootnoteAnchor"/>
          <w:rtl w:val="true"/>
        </w:rPr>
        <w:footnoteReference w:id="526"/>
      </w:r>
      <w:r>
        <w:rPr>
          <w:rFonts w:ascii="IRNazanin" w:hAnsi="IRNazanin" w:eastAsia="IRNazanin"/>
          <w:color w:val="111111"/>
          <w:sz w:val="28"/>
          <w:sz w:val="28"/>
          <w:szCs w:val="28"/>
          <w:rtl w:val="true"/>
          <w:lang w:bidi="fa-IR"/>
        </w:rPr>
        <w:t>و تنقیح</w:t>
      </w:r>
      <w:r>
        <w:rPr>
          <w:rStyle w:val="FootnoteAnchor"/>
          <w:rtl w:val="true"/>
        </w:rPr>
        <w:footnoteReference w:id="527"/>
      </w:r>
      <w:r>
        <w:rPr>
          <w:rFonts w:ascii="IRNazanin" w:hAnsi="IRNazanin" w:eastAsia="IRNazanin"/>
          <w:color w:val="111111"/>
          <w:sz w:val="28"/>
          <w:sz w:val="28"/>
          <w:szCs w:val="28"/>
          <w:rtl w:val="true"/>
          <w:lang w:bidi="fa-IR"/>
        </w:rPr>
        <w:t>بر این مطلب ادّعای اجماع شده است و در کتاب الخلاف</w:t>
      </w:r>
      <w:r>
        <w:rPr>
          <w:rStyle w:val="FootnoteAnchor"/>
          <w:rtl w:val="true"/>
        </w:rPr>
        <w:footnoteReference w:id="528"/>
      </w:r>
      <w:r>
        <w:rPr>
          <w:rFonts w:ascii="IRNazanin" w:hAnsi="IRNazanin" w:eastAsia="IRNazanin"/>
          <w:color w:val="111111"/>
          <w:sz w:val="28"/>
          <w:sz w:val="28"/>
          <w:szCs w:val="28"/>
          <w:rtl w:val="true"/>
          <w:lang w:bidi="fa-IR"/>
        </w:rPr>
        <w:t>اجماع بر عدم ملکیت آن نقل شده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بررسی این بحث، هنگامی معلوم می‌شود که بدانیم امروزه خرید و فروش جنازۀ انسان به جهات مختلف، از جمله به منظور تشریح و یا استفاده از اعضای آن برای پیوند، رواج یافته است</w:t>
      </w:r>
      <w:r>
        <w:rPr>
          <w:rFonts w:eastAsia="IRNazanin" w:cs="IRNazanin"/>
          <w:color w:val="111111"/>
          <w:sz w:val="28"/>
          <w:szCs w:val="28"/>
          <w:rtl w:val="true"/>
          <w:lang w:bidi="fa-IR"/>
        </w:rPr>
        <w:t>.</w:t>
      </w:r>
      <w:bookmarkStart w:id="680" w:name="pg13785_135183"/>
    </w:p>
    <w:p>
      <w:pPr>
        <w:pStyle w:val="BookText"/>
        <w:rPr/>
      </w:pPr>
      <w:bookmarkEnd w:id="680"/>
      <w:r>
        <w:rPr>
          <w:rFonts w:ascii="IRNazanin" w:hAnsi="IRNazanin" w:eastAsia="IRNazanin"/>
          <w:color w:val="111111"/>
          <w:sz w:val="28"/>
          <w:sz w:val="28"/>
          <w:szCs w:val="28"/>
          <w:rtl w:val="true"/>
          <w:lang w:bidi="fa-IR"/>
        </w:rPr>
        <w:t>شیخ انصاری قدس سره از همان آغاز، بحث معاوضۀ مردار را بیان کرده و بین انتفاع از مردار و معاوضۀ آن تفاوتی نگذاشته است؛ امّا همان گونه که این دو بحث در کلمات امام خمینی قدس سره در کتاب المکاسب المحرّمة و محقّق خویی قدس سره از یک‌دیگر تفکیک شده‌اند، ما نیز ابتدا بحث انتفاع از مردار را بیان می‌کنیم و سپس در مورد معاوضۀ آن سخن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مباحث این فصل در سه مبحث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اوّل به بررسی جواز یا عدم جواز انتفاع از مردار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دوم، حکم معاملۀ مردار بررسی می‌شود و در مبحث سوم نیز چند مسئله به مناسبت این بحث مطرح می‌گردد</w:t>
      </w:r>
      <w:r>
        <w:rPr>
          <w:rFonts w:eastAsia="IRNazanin" w:cs="IRNazanin"/>
          <w:color w:val="111111"/>
          <w:sz w:val="28"/>
          <w:szCs w:val="28"/>
          <w:rtl w:val="true"/>
          <w:lang w:bidi="fa-IR"/>
        </w:rPr>
        <w:t>.</w:t>
      </w:r>
    </w:p>
    <w:p>
      <w:pPr>
        <w:pStyle w:val="Heading4"/>
        <w:numPr>
          <w:ilvl w:val="3"/>
          <w:numId w:val="1"/>
        </w:numPr>
        <w:rPr/>
      </w:pPr>
      <w:bookmarkStart w:id="681" w:name="__RefHeading___Toc2531213_1468164448"/>
      <w:bookmarkStart w:id="682" w:name="_Toc262"/>
      <w:bookmarkEnd w:id="681"/>
      <w:r>
        <w:rPr>
          <w:rtl w:val="true"/>
        </w:rPr>
        <w:t>گفتار اوّل</w:t>
      </w:r>
      <w:r>
        <w:rPr>
          <w:rtl w:val="true"/>
        </w:rPr>
        <w:t xml:space="preserve">: </w:t>
      </w:r>
      <w:r>
        <w:rPr>
          <w:rtl w:val="true"/>
        </w:rPr>
        <w:t>حکم انتفاع از مردار و اجزای آن</w:t>
      </w:r>
      <w:bookmarkEnd w:id="682"/>
    </w:p>
    <w:p>
      <w:pPr>
        <w:pStyle w:val="Heading5"/>
        <w:numPr>
          <w:ilvl w:val="4"/>
          <w:numId w:val="1"/>
        </w:numPr>
        <w:rPr/>
      </w:pPr>
      <w:bookmarkStart w:id="683" w:name="__RefHeading___Toc2531215_1468164448"/>
      <w:bookmarkStart w:id="684" w:name="_Toc263"/>
      <w:bookmarkEnd w:id="683"/>
      <w:r>
        <w:rPr>
          <w:rtl w:val="true"/>
        </w:rPr>
        <w:t>اشارة</w:t>
      </w:r>
      <w:bookmarkEnd w:id="684"/>
    </w:p>
    <w:p>
      <w:pPr>
        <w:pStyle w:val="BookText"/>
        <w:rPr/>
      </w:pPr>
      <w:r>
        <w:rPr>
          <w:rFonts w:ascii="IRNazanin" w:hAnsi="IRNazanin" w:eastAsia="IRNazanin"/>
          <w:color w:val="111111"/>
          <w:sz w:val="28"/>
          <w:sz w:val="28"/>
          <w:szCs w:val="28"/>
          <w:rtl w:val="true"/>
          <w:lang w:bidi="fa-IR"/>
        </w:rPr>
        <w:t>پیش از ورود به بحث، چند نکته را باید یادآوری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نجاسات، منظور از مردار، انسانی است که به صورت طبیعی جان خود را از دست داده و یا حیوانی که به صورت غیر شرعی کشته یا ذبح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سه نوع مردار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انسان، مردار حیوانی که خون جهنده دارد و مردار حیوانی که خون جهنده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انسان و حیوانی که خون جهنده دارد، نجس است؛ امّا در مورد مردار حیوانی که خون جهنده ندارد، دیدگاه اجماعی فقها بر عدم نجاست استوار است</w:t>
      </w:r>
      <w:r>
        <w:rPr>
          <w:rFonts w:eastAsia="IRNazanin" w:cs="IRNazanin"/>
          <w:color w:val="111111"/>
          <w:sz w:val="28"/>
          <w:szCs w:val="28"/>
          <w:rtl w:val="true"/>
          <w:lang w:bidi="fa-IR"/>
        </w:rPr>
        <w:t>.</w:t>
      </w:r>
      <w:r>
        <w:rPr>
          <w:rStyle w:val="FootnoteAnchor"/>
          <w:rtl w:val="true"/>
        </w:rPr>
        <w:footnoteReference w:id="529"/>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این‌جا مورد بحث قرار می‌گیرد، مردار نجس است و مردار غیر نجس از محلّ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معلوم می‌شود که منظور از اجزای مردار، اجزای دارای حیات است؛ چراکه اجزای دیگر همچون مو، پشم و ناخن، نجس نبوده و از محلّ بحث خارج‌اند</w:t>
      </w:r>
      <w:r>
        <w:rPr>
          <w:rFonts w:eastAsia="IRNazanin" w:cs="IRNazanin"/>
          <w:color w:val="111111"/>
          <w:sz w:val="28"/>
          <w:szCs w:val="28"/>
          <w:rtl w:val="true"/>
          <w:lang w:bidi="fa-IR"/>
        </w:rPr>
        <w:t>.</w:t>
      </w:r>
      <w:bookmarkStart w:id="685" w:name="pg13785_135184"/>
    </w:p>
    <w:p>
      <w:pPr>
        <w:pStyle w:val="BookText"/>
        <w:rPr/>
      </w:pPr>
      <w:bookmarkEnd w:id="685"/>
      <w:r>
        <w:rPr>
          <w:rFonts w:ascii="IRNazanin" w:hAnsi="IRNazanin" w:eastAsia="IRNazanin"/>
          <w:color w:val="111111"/>
          <w:sz w:val="28"/>
          <w:sz w:val="28"/>
          <w:szCs w:val="28"/>
          <w:rtl w:val="true"/>
          <w:lang w:bidi="fa-IR"/>
        </w:rPr>
        <w:t xml:space="preserve">بنا بر این، گفتگوی ما در این بحث دربارۀ این است که آیا انتفاع از مردار و اجزای دارای حیات آن، جایز است یا خیر؟ البتّه منظور از انتفاع، خوردن مردار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اکل و شرب مردار مسلّماً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انتفاعاتی همچون استفاده به عنوان لباس، فرش، زیر انداز و روغن چراغ و مانند اینها مورد سؤال است</w:t>
      </w:r>
      <w:r>
        <w:rPr>
          <w:rFonts w:eastAsia="IRNazanin" w:cs="IRNazanin"/>
          <w:color w:val="111111"/>
          <w:sz w:val="28"/>
          <w:szCs w:val="28"/>
          <w:rtl w:val="true"/>
          <w:lang w:bidi="fa-IR"/>
        </w:rPr>
        <w:t>.</w:t>
      </w:r>
    </w:p>
    <w:p>
      <w:pPr>
        <w:pStyle w:val="Heading5"/>
        <w:numPr>
          <w:ilvl w:val="4"/>
          <w:numId w:val="1"/>
        </w:numPr>
        <w:rPr/>
      </w:pPr>
      <w:bookmarkStart w:id="686" w:name="__RefHeading___Toc2531217_1468164448"/>
      <w:bookmarkStart w:id="687" w:name="_Toc264"/>
      <w:bookmarkEnd w:id="686"/>
      <w:r>
        <w:rPr>
          <w:rtl w:val="true"/>
        </w:rPr>
        <w:t>بند اوّل</w:t>
      </w:r>
      <w:r>
        <w:rPr>
          <w:rtl w:val="true"/>
        </w:rPr>
        <w:t xml:space="preserve">: </w:t>
      </w:r>
      <w:r>
        <w:rPr>
          <w:rtl w:val="true"/>
        </w:rPr>
        <w:t>ادلّۀ حرمت انتفاع از مردار</w:t>
      </w:r>
      <w:bookmarkEnd w:id="687"/>
    </w:p>
    <w:p>
      <w:pPr>
        <w:pStyle w:val="Heading6"/>
        <w:numPr>
          <w:ilvl w:val="5"/>
          <w:numId w:val="1"/>
        </w:numPr>
        <w:rPr/>
      </w:pPr>
      <w:bookmarkStart w:id="688" w:name="__RefHeading___Toc2531219_1468164448"/>
      <w:bookmarkStart w:id="689" w:name="_Toc265"/>
      <w:bookmarkEnd w:id="688"/>
      <w:r>
        <w:rPr>
          <w:rtl w:val="true"/>
        </w:rPr>
        <w:t>الف</w:t>
      </w:r>
      <w:r>
        <w:rPr>
          <w:rtl w:val="true"/>
        </w:rPr>
        <w:t xml:space="preserve">) </w:t>
      </w:r>
      <w:r>
        <w:rPr>
          <w:rtl w:val="true"/>
        </w:rPr>
        <w:t>آیۀ سوم سورۀ مائده</w:t>
      </w:r>
      <w:bookmarkEnd w:id="6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الْمَیْتَةُ وَ الدَّمُ وَ لَحْمُ الْخِنْزِیرِ وَ ما أُهِلَّ لِغَیْرِ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مردار، خون، گوشت خوک و آنچه جز به نام خداوند ذبح شده باشد، بر شما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بزرگانی چون شیخ طوسی،</w:t>
      </w:r>
      <w:r>
        <w:rPr>
          <w:rStyle w:val="FootnoteAnchor"/>
          <w:rtl w:val="true"/>
        </w:rPr>
        <w:footnoteReference w:id="530"/>
      </w:r>
      <w:r>
        <w:rPr>
          <w:rFonts w:ascii="IRNazanin" w:hAnsi="IRNazanin" w:eastAsia="IRNazanin"/>
          <w:color w:val="111111"/>
          <w:sz w:val="28"/>
          <w:sz w:val="28"/>
          <w:szCs w:val="28"/>
          <w:rtl w:val="true"/>
          <w:lang w:bidi="fa-IR"/>
        </w:rPr>
        <w:t>قطب راوندی،</w:t>
      </w:r>
      <w:r>
        <w:rPr>
          <w:rStyle w:val="FootnoteAnchor"/>
          <w:rtl w:val="true"/>
        </w:rPr>
        <w:footnoteReference w:id="531"/>
      </w:r>
      <w:r>
        <w:rPr>
          <w:rFonts w:ascii="Amiri" w:hAnsi="Amiri" w:eastAsia="Amiri" w:cs="Amiri"/>
          <w:color w:val="111111"/>
          <w:sz w:val="28"/>
          <w:sz w:val="28"/>
          <w:szCs w:val="28"/>
          <w:rtl w:val="true"/>
          <w:lang w:bidi="ar-SA"/>
        </w:rPr>
        <w:t>سیّد مرتضی</w:t>
      </w:r>
      <w:r>
        <w:rPr>
          <w:rStyle w:val="FootnoteAnchor"/>
          <w:rtl w:val="true"/>
        </w:rPr>
        <w:footnoteReference w:id="532"/>
      </w:r>
      <w:r>
        <w:rPr>
          <w:rFonts w:ascii="IRNazanin" w:hAnsi="IRNazanin" w:eastAsia="IRNazanin"/>
          <w:color w:val="111111"/>
          <w:sz w:val="28"/>
          <w:sz w:val="28"/>
          <w:szCs w:val="28"/>
          <w:rtl w:val="true"/>
          <w:lang w:bidi="fa-IR"/>
        </w:rPr>
        <w:t>و علاّمۀ حلّی قدس سرهم در کتاب‌های تذکرة الفقهاء،</w:t>
      </w:r>
      <w:r>
        <w:rPr>
          <w:rStyle w:val="FootnoteAnchor"/>
          <w:rtl w:val="true"/>
        </w:rPr>
        <w:footnoteReference w:id="533"/>
      </w:r>
      <w:r>
        <w:rPr>
          <w:rFonts w:ascii="IRNazanin" w:hAnsi="IRNazanin" w:eastAsia="IRNazanin"/>
          <w:color w:val="111111"/>
          <w:sz w:val="28"/>
          <w:sz w:val="28"/>
          <w:szCs w:val="28"/>
          <w:rtl w:val="true"/>
          <w:lang w:bidi="fa-IR"/>
        </w:rPr>
        <w:t>نهایة الإحکام،</w:t>
      </w:r>
      <w:r>
        <w:rPr>
          <w:rStyle w:val="FootnoteAnchor"/>
          <w:rtl w:val="true"/>
        </w:rPr>
        <w:footnoteReference w:id="534"/>
      </w:r>
      <w:r>
        <w:rPr>
          <w:rFonts w:ascii="IRNazanin" w:hAnsi="IRNazanin" w:eastAsia="IRNazanin"/>
          <w:color w:val="111111"/>
          <w:sz w:val="28"/>
          <w:sz w:val="28"/>
          <w:szCs w:val="28"/>
          <w:rtl w:val="true"/>
          <w:lang w:bidi="fa-IR"/>
        </w:rPr>
        <w:t>منتهی المطلب</w:t>
      </w:r>
      <w:r>
        <w:rPr>
          <w:rStyle w:val="FootnoteAnchor"/>
          <w:rtl w:val="true"/>
        </w:rPr>
        <w:footnoteReference w:id="535"/>
      </w:r>
      <w:r>
        <w:rPr>
          <w:rFonts w:ascii="IRNazanin" w:hAnsi="IRNazanin" w:eastAsia="IRNazanin"/>
          <w:color w:val="111111"/>
          <w:sz w:val="28"/>
          <w:sz w:val="28"/>
          <w:szCs w:val="28"/>
          <w:rtl w:val="true"/>
          <w:lang w:bidi="fa-IR"/>
        </w:rPr>
        <w:t>و مختلف الشیعة</w:t>
      </w:r>
      <w:r>
        <w:rPr>
          <w:rStyle w:val="FootnoteAnchor"/>
          <w:rtl w:val="true"/>
        </w:rPr>
        <w:footnoteReference w:id="536"/>
      </w:r>
      <w:r>
        <w:rPr>
          <w:rFonts w:ascii="IRNazanin" w:hAnsi="IRNazanin" w:eastAsia="IRNazanin"/>
          <w:color w:val="111111"/>
          <w:sz w:val="28"/>
          <w:sz w:val="28"/>
          <w:szCs w:val="28"/>
          <w:rtl w:val="true"/>
          <w:lang w:bidi="fa-IR"/>
        </w:rPr>
        <w:t>با استدلال به این آیۀ شریفه، همۀ انتفاعات مردار را حرام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تحریم، یک حکم تکلیفی است و نمی‌تواند به عین خارجی تعلّق پیدا کند و باید به فعلی از افعال مکلّف تعلّق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وقتی نتوان معنای ظاهری آیه را اراده کرد، باید سراغ نزدیک‌ترین مجاز رفت که در این‌جا همۀ انتفاعات است؛ زیرا متعلّق حرمت در این آیه حذف شده است و حذف متعلّق، دلالت بر عموم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مفاد آیه، حرمت همۀ انتفاعات مردار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به نظر می‌رسد که این استدلال صحیح نیست؛ زیرا هیچ دلیلی بر اعتبار</w:t>
      </w:r>
      <w:bookmarkStart w:id="690" w:name="pg13785_135185"/>
    </w:p>
    <w:p>
      <w:pPr>
        <w:pStyle w:val="BookText"/>
        <w:rPr/>
      </w:pPr>
      <w:bookmarkEnd w:id="690"/>
      <w:r>
        <w:rPr>
          <w:rFonts w:ascii="IRNazanin" w:hAnsi="IRNazanin" w:eastAsia="IRNazanin"/>
          <w:color w:val="111111"/>
          <w:sz w:val="28"/>
          <w:sz w:val="28"/>
          <w:szCs w:val="28"/>
          <w:rtl w:val="true"/>
          <w:lang w:bidi="fa-IR"/>
        </w:rPr>
        <w:t xml:space="preserve">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المتعلّق یدلّ علی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مقتضای هیچ آیه یا روایتی نیست، بلکه صرفاً در کلام بزرگان وجود دارد و هیچ دلیلی بر اعتبار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مورد باید با توجّه به قرائن موجود، متعلّق محذوف را شناسایی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 آیۀ شریفه نیز به قرینۀ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که متعلّق حرمت، اکل و شرب است؛ زیرا خداوند متعال هنگامی که نام خنزیر را ذکر می‌کند،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می‌آورد که با اکل مناسبت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مورد مردار نیز باید از این قرینه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نمی‌توانیم از آیه استفاده کنیم که همۀ انتفاعات حرام است؛ بلکه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مردار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اگر دست انسان جدا شود، می‌توانند دوباره آن را پیوند بزنند؛ امّا طبق استدلال این بزرگان باید این انتفاع نیز حرام باشد، در حالی که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بیان شد، نمی‌توان از آیه استفاده کرد که هرگونه انتفاع از مردار حرام است</w:t>
      </w:r>
      <w:r>
        <w:rPr>
          <w:rFonts w:eastAsia="IRNazanin" w:cs="IRNazanin"/>
          <w:color w:val="111111"/>
          <w:sz w:val="28"/>
          <w:szCs w:val="28"/>
          <w:rtl w:val="true"/>
          <w:lang w:bidi="fa-IR"/>
        </w:rPr>
        <w:t>.</w:t>
      </w:r>
    </w:p>
    <w:p>
      <w:pPr>
        <w:pStyle w:val="Heading6"/>
        <w:numPr>
          <w:ilvl w:val="5"/>
          <w:numId w:val="1"/>
        </w:numPr>
        <w:rPr/>
      </w:pPr>
      <w:bookmarkStart w:id="691" w:name="__RefHeading___Toc2531221_1468164448"/>
      <w:bookmarkStart w:id="692" w:name="_Toc266"/>
      <w:bookmarkEnd w:id="691"/>
      <w:r>
        <w:rPr>
          <w:rtl w:val="true"/>
        </w:rPr>
        <w:t>ب</w:t>
      </w:r>
      <w:r>
        <w:rPr>
          <w:rtl w:val="true"/>
        </w:rPr>
        <w:t xml:space="preserve">) </w:t>
      </w:r>
      <w:r>
        <w:rPr>
          <w:rtl w:val="true"/>
        </w:rPr>
        <w:t>روایات</w:t>
      </w:r>
      <w:bookmarkEnd w:id="692"/>
    </w:p>
    <w:p>
      <w:pPr>
        <w:pStyle w:val="BookText"/>
        <w:rPr/>
      </w:pPr>
      <w:r>
        <w:rPr>
          <w:rFonts w:ascii="IRNazanin" w:hAnsi="IRNazanin" w:eastAsia="IRNazanin"/>
          <w:color w:val="111111"/>
          <w:sz w:val="28"/>
          <w:sz w:val="28"/>
          <w:szCs w:val="28"/>
          <w:rtl w:val="true"/>
          <w:lang w:bidi="fa-IR"/>
        </w:rPr>
        <w:t>دستۀ دوم از ادلّه‌ای که دلالت بر حرمت انتفاع از مردار می‌کنند، روایاتی است که استفاده از مردار را ممنوع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به دو دستۀ کلّی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این روایات، مطلق انتفاع از مردار را حرام می‌شمارند و گروه دیگر، انتفاع از مردار را فی الجمله تحریم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بإسناده عن الحسین بن سعید 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جُلُودِ السِّبَاعِ أَیُنْتَفَعُ بِهَا؟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رَمَیْتَ وَسَمَّیْتَ فَانْتَفِعْ بِجِلْدِهِ وَأَمّا الْمَیْتَةُ فَلا؛</w:t>
      </w:r>
      <w:r>
        <w:rPr>
          <w:rStyle w:val="FootnoteAnchor"/>
          <w:rtl w:val="true"/>
        </w:rPr>
        <w:footnoteReference w:id="537"/>
      </w:r>
      <w:r>
        <w:rPr>
          <w:rFonts w:ascii="IRNazanin" w:hAnsi="IRNazanin" w:eastAsia="IRNazanin"/>
          <w:color w:val="111111"/>
          <w:sz w:val="28"/>
          <w:sz w:val="28"/>
          <w:szCs w:val="28"/>
          <w:rtl w:val="true"/>
          <w:lang w:bidi="fa-IR"/>
        </w:rPr>
        <w:t>از امام علیه السلام در مورد پوست درندگان</w:t>
      </w:r>
    </w:p>
    <w:p>
      <w:pPr>
        <w:pStyle w:val="BookText"/>
        <w:rPr/>
      </w:pPr>
      <w:r>
        <w:rPr>
          <w:rFonts w:ascii="IRNazanin" w:hAnsi="IRNazanin" w:eastAsia="IRNazanin"/>
          <w:color w:val="111111"/>
          <w:sz w:val="28"/>
          <w:sz w:val="28"/>
          <w:szCs w:val="28"/>
          <w:rtl w:val="true"/>
          <w:lang w:bidi="fa-IR"/>
        </w:rPr>
        <w:t>پرسیده شد که آیا می‌توان از آن استفاده کرد یا خیر؟ ایشان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شکار شده و بسم اللّه نیز گفته شده باشد، استفاده از آن جایز است؛ ولی اگر مردار باشد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این‌که می‌دانیم خوردن گوشت درندگان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 که ضعیف‌تر از خود را می‌خورد و با لحم آن تغذیه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این پرسش مطرح می‌شود که آیا این حیوانات قابلیت تذکیه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بعد از تذکیه پوست آنها پاک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ندارند؟ مشهور معتقدند که قابلیت تذکیه دارند و مفاد این روایت هم بر این معنی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سؤال در روایت، پیرامون پاک و یا نجس بودن پوست درندگان است که 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تذکیه، این پوست‌ها پاک‌اند و نمی‌توان از آن به عنوان لباس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روایت که موثّق است، توجّه به نکات ذیل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پوست درندگان، خصوصیتی دارد که مورد سؤال قرار گرفته است، یا این‌که می‌توان از پوست، الغای خصوصیت کرد و حکم را به گوشت و سایر اجزا نیز سرایت داد؟ یعنی آیا می‌توان از روایت استفاده کرد که انتفاع از مطلق مردار حرام است؟</w:t>
      </w:r>
    </w:p>
    <w:p>
      <w:pPr>
        <w:pStyle w:val="BookText"/>
        <w:rPr/>
      </w:pPr>
      <w:r>
        <w:rPr>
          <w:rFonts w:ascii="IRNazanin" w:hAnsi="IRNazanin" w:eastAsia="IRNazanin"/>
          <w:color w:val="111111"/>
          <w:sz w:val="28"/>
          <w:sz w:val="28"/>
          <w:szCs w:val="28"/>
          <w:rtl w:val="true"/>
          <w:lang w:bidi="fa-IR"/>
        </w:rPr>
        <w:t xml:space="preserve">امام خمینی قدس سره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پوست، الغای خصوصیت نموده و حکم حرمت را برای همۀ اجزای دارای روح، ثابت دانسته است</w:t>
      </w:r>
      <w:r>
        <w:rPr>
          <w:rFonts w:eastAsia="IRNazanin" w:cs="IRNazanin"/>
          <w:color w:val="111111"/>
          <w:sz w:val="28"/>
          <w:szCs w:val="28"/>
          <w:rtl w:val="true"/>
          <w:lang w:bidi="fa-IR"/>
        </w:rPr>
        <w:t>.</w:t>
      </w:r>
      <w:r>
        <w:rPr>
          <w:rStyle w:val="FootnoteAnchor"/>
          <w:rtl w:val="true"/>
        </w:rPr>
        <w:footnoteReference w:id="538"/>
      </w:r>
      <w:r>
        <w:rPr>
          <w:rFonts w:ascii="IRNazanin" w:hAnsi="IRNazanin" w:eastAsia="IRNazanin"/>
          <w:color w:val="111111"/>
          <w:sz w:val="28"/>
          <w:sz w:val="28"/>
          <w:szCs w:val="28"/>
          <w:rtl w:val="true"/>
          <w:lang w:bidi="fa-IR"/>
        </w:rPr>
        <w:t>پس ایشان از این روایت استفاده می‌کند که انتفاع از تمام اجزای دارای روح مردار حرام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امکان الغای خصوصیت وجود دارد که یقین به عدم خصوصیت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هنگامی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 الرجل بین الثلاث والأربع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یقین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خصوصیتی ندارد و همین حکم، در مورد زن‌ها نیز جاری است؛ ولی در این روایت، چنین یقینی وجود ندارد و حتّی می‌توان</w:t>
      </w:r>
    </w:p>
    <w:p>
      <w:pPr>
        <w:pStyle w:val="BookText"/>
        <w:rPr/>
      </w:pPr>
      <w:r>
        <w:rPr>
          <w:rFonts w:ascii="IRNazanin" w:hAnsi="IRNazanin" w:eastAsia="IRNazanin"/>
          <w:color w:val="111111"/>
          <w:sz w:val="28"/>
          <w:sz w:val="28"/>
          <w:szCs w:val="28"/>
          <w:rtl w:val="true"/>
          <w:lang w:bidi="fa-IR"/>
        </w:rPr>
        <w:t>خصوصیتی را برای پوست در نظر گرفت؛ زیرا پوست به عنوان لباس و زیر انداز مورد استفاده قرار می‌گیرد و می‌تواند نجاست را سرایت دهد و از همین جهت استفاده از آن حرام شده است؛ امّا سایر اجزای مردار در غیر از خوردن و آشامیدن قابل انتفاع هستند و چنین خصوصیتی نیز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می‌توان از گوشت مردار به عنوان غذای پرندگان استفاده کرد و یا آن را به موادّی تبدیل کرد که برای انسان در غیر خوردن،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نکته باید روشن باشد که مقصود از انتفاع در محلّ بحث، انتفاع از مردار برای خود انسان است و ظاهر این است که انتفاع از مردار برای حیوانات امری مشروع است، مگر این‌که در مورد خاصّی، دلیل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امام علیه السلام در پاسخ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وامّا 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از سباع، الغای خصوصیت کرد و عنوان را توسعه داد؛ زیرا سباع به عنوان مصداقی از مردار و میته بیان شده است؛ یعنی می‌توان از این روایت، حرمت استفاده از پوست مردار سباع و غیر سباع را برداشت نمود و این گونه نیست که این حکم به حیوانات درنده اختصاص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گوسفندی هم به صورت غیر شرعی ذبح شود، نمی‌توان از پوست آن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هرگونه انتفاع از پوست مردار، حرام دانسته شده است و نمی‌توان ارادۀ سائل در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أینتفع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انتفاع خاصّی حمل کرد؛ زیرا ارادۀ انتفاع خاص، مانند استفاده به عنوان لباس مصلّی، نیاز به قرینه و دلیل دارد که در این روایت، هیچ دلیلی بر این امر وجود ندارد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مطالب بیان شده و با در نظر گرفتن موثّق بودن روایت،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این روایت، هرگونه انتفاع انسان از پوست مردار درنده یا غیر آن در صورتی که تذکیه نشده باشد، به خاطر نجاستش جایز نیست و روایت در مورد سایر اجزای مردار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چنان‌که از جلود، الغای خصوصیت شود، می‌توان از روایت استفاده کرد که در صورت عدم تذکیه، تمام اجزای آن نجس است و</w:t>
      </w:r>
    </w:p>
    <w:p>
      <w:pPr>
        <w:pStyle w:val="BookText"/>
        <w:rPr/>
      </w:pPr>
      <w:r>
        <w:rPr>
          <w:rFonts w:ascii="IRNazanin" w:hAnsi="IRNazanin" w:eastAsia="IRNazanin"/>
          <w:color w:val="111111"/>
          <w:sz w:val="28"/>
          <w:sz w:val="28"/>
          <w:szCs w:val="28"/>
          <w:rtl w:val="true"/>
          <w:lang w:bidi="fa-IR"/>
        </w:rPr>
        <w:t xml:space="preserve">نمی‌توان از آن انتفاع مناسب را برد؛ زیرا از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المیته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حتّی از استخوان این حیوانات برای امور دارویی و امثال آن نیز نمی‌توان استفاده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یَعْقُوبَ عَنْ مُحَمَّدِ بْنِ یَحْیَی عَنْ أَحْمَدَ بْنِ مُحَمَّدٍ عَنِ ابْنِ مَحْبُوبٍ عَنْ عَاصِمِ بْنِ حُمَیْدٍ عَنْ عَلِیِّ بْنِ أَبِی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الْمَیْتَةُ یُنْتَفَعُ مِنْهَا بِشَیْ‌ءٍ؟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رَسُولَ اللّهِ صلی الله علیه و آله مَرَّ بِشَاةٍ مَیْتَةٍ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عَلَی أَهْلِ هَذِهِ الشَّاةِ إِذْ لَمْ یَنْتَفِعُوا بِلَحْمِهَا أَنْ یَنْتَفِعُوا بِإِهَابِهَا؛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شَاةٌ لِسَوْدَةَ بِنْتِ زَمْعَةَ زَوْجِ النَّبِیِّ صلی الله علیه و آله وَکَانَتْ شَاةً مَهْزُولَةً لَایُنْتَفَعُ بِلَحْمِهَا فَتَرَکُوهَا حَتَّی مَاتَتْ، فَقَالَ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عَلَی أَهْلِهَا إِذْ لَمْ یَنْتَفِعُوا بِلَحْمِهَا أَنْ یَنْتَفِعُوا بِإِهَابِهَا أی تُذَکَّی</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سند این روایت ضعیف است؛ چون علی بن ابی المغیره، نه مدحی دارد و نه ذمّی و توثیق نشده است</w:t>
      </w:r>
      <w:r>
        <w:rPr>
          <w:rFonts w:eastAsia="IRNazanin" w:cs="IRNazanin"/>
          <w:color w:val="111111"/>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آری، علی بن ابی المغیره پسری دارد به نام حسن بن علی بن ابی المغیره که نجاشی او را توثیق کرده است</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 xml:space="preserve">برخی در عبارت نجاشی، واو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عاطفه گرفتند و از آن توثیق پدر را نیز استفاده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صورتی است که عاطفه بودن واو محرز باشد، در حالی که این واو، استینافی است و وثاقت پدر را نمی‌توان از آن استفاده نمود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همۀ انتفاعات مردار حرام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سؤال می‌شود که آیا می‌توان از مردار به گونه‌ای استفاده کرد؟ که پاسخ ایشان منفی است و</w:t>
      </w:r>
    </w:p>
    <w:p>
      <w:pPr>
        <w:pStyle w:val="BookText"/>
        <w:rPr/>
      </w:pPr>
      <w:r>
        <w:rPr>
          <w:rFonts w:ascii="IRNazanin" w:hAnsi="IRNazanin" w:eastAsia="IRNazanin"/>
          <w:color w:val="111111"/>
          <w:sz w:val="28"/>
          <w:sz w:val="28"/>
          <w:szCs w:val="28"/>
          <w:rtl w:val="true"/>
          <w:lang w:bidi="fa-IR"/>
        </w:rPr>
        <w:t>هر گونه انتفاعی را نفی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راوی به عنوان اعتراض به امام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کنار گوسفند مرده‌ای عبور می‌کردند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حالا که این گوسفند مرده است از پوست آن استفاده نمی‌کنید؟ امام علیه السلام در پاسخ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گوسفند برای سوده دختر زمعه همسر پیامبر صلی الله علیه و آله بود بسیار لاغر بود و از گوشت آن استفاده نمی‌کردند و آن را رها کرده بودند تا بمیرد و پیامبر صلی الله علیه و آله در این‌حال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از گوشت آن استفاده نمی‌کنید، او را ذبح کرده و از پوستش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قسمت اخیر روایت دربارۀ مردار نیست و نمی‌توان به آن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اطلاق دارد و با توجّه به صدر روایت، همۀ انتفاعات از اجزای دارای روح مردار، حرام است؛ امّا ضعف سند روایت، فقیه را از استناد به آن باز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بِإِسْنَادِهِ عَنِ الْحُسَیْنِ بْنِ سَعِیدٍ عَنِ ابْنِ فَضَّالٍ عَنْ یُونُسَ بْنِ یَعْقُوبَ عَنْ أَبِی مَرْیَمَ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السَّخْلَةُ الَّتِی مَرَّ بِهَا رَسُولُ اللّهِ صلی الله علیه و آله وَهِیَ مَیْتَةٌ،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 أَهْلَهَا لَوِ انْتَفَعُوا بِإِهَابِهَا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تَکُنْ مَیْتَةً یَا أَبَا مَرْیَمَ وَلَکِنَّهَا کَانَتْ مَهْزُولَةً فَذَبَحَهَا أَهْلُهَا فَرَمَوْا بِهَا، فَقَالَ رَسُولُ اللّهِ صلی الله علیه و آله مَا کَانَ عَلَی أَهْلِهَا لَوِ انْتَفَعُوا بِإِهَابِهَا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2"/>
      </w:r>
      <w:r>
        <w:rPr>
          <w:rFonts w:ascii="IRNazanin" w:hAnsi="IRNazanin" w:eastAsia="IRNazanin"/>
          <w:color w:val="111111"/>
          <w:sz w:val="28"/>
          <w:sz w:val="28"/>
          <w:szCs w:val="28"/>
          <w:rtl w:val="true"/>
          <w:lang w:bidi="fa-IR"/>
        </w:rPr>
        <w:t>ابومریم از امام صادق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حالی که از کنار مردار گوسفندی عبور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پوست این گوسفند از سوی صاحب آن فاقد اشکال است؛ امام صادق علیه السلام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گوسفند، مردار نبوده، بلکه گوسفندی لاغر بوده که اهلش، آن را ذبح کرده بودند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مفهوم این روایت که به یک اعتبار حسنه و به اعتبار دیگر موثّقه است، استفاده می‌شود که اگر آن گوسفند مردار بود، استفاده از پوستش جایز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لازم است که مفاد این روایت همان مضمون روایت قبل است، یعنی در یک قضیّه رسول خدا صلی الله علیه و آله این مطلب را فرموده‌اند و دو قضیّه در کار نبوده است؛ چون راوی در هر دو خود امام صادق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یَعْقُوبَ عَنْ عِدَّةٍ مِنْ أَصْحَابِنَا عَنْ سَهْلِ بْنِ زِیَادٍ عَنْ أَحْمَدَ بْنِ مُحَمَّدِ بْنِ أَبِی نَصْرٍ عَنِ الْکَاهِلِیِّ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علیه السلام وَأَنَا عِنْدَهُ عَنْ قَطْعِ أَلَیَاتِ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بِقَطْعِهَا إِذَا کُنْتَ تُصْلِحُ بِهَا مَالَکَ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کِتَابِ عَلِیٍّ علیه السلام أَنَّ مَا قُطِعَ مِنْهَا مَیْتٌ لَایُنْتَفَعُ بِهِ</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شیخ صدوق قدس سره نیز این حدیث را به اسناد خودش از عبداللّه بن یحیی کاهلی نقل کرده است</w:t>
      </w:r>
      <w:r>
        <w:rPr>
          <w:rStyle w:val="FootnoteAnchor"/>
          <w:rtl w:val="true"/>
        </w:rPr>
        <w:footnoteReference w:id="544"/>
      </w:r>
      <w:r>
        <w:rPr>
          <w:rFonts w:ascii="IRNazanin" w:hAnsi="IRNazanin" w:eastAsia="IRNazanin"/>
          <w:color w:val="111111"/>
          <w:sz w:val="28"/>
          <w:sz w:val="28"/>
          <w:szCs w:val="28"/>
          <w:rtl w:val="true"/>
          <w:lang w:bidi="fa-IR"/>
        </w:rPr>
        <w:t>که در این صورت، روایت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شیخ کلینی</w:t>
      </w:r>
      <w:r>
        <w:rPr>
          <w:rStyle w:val="FootnoteAnchor"/>
          <w:rtl w:val="true"/>
        </w:rPr>
        <w:footnoteReference w:id="545"/>
      </w:r>
      <w:r>
        <w:rPr>
          <w:rFonts w:ascii="IRNazanin" w:hAnsi="IRNazanin" w:eastAsia="IRNazanin"/>
          <w:color w:val="111111"/>
          <w:sz w:val="28"/>
          <w:sz w:val="28"/>
          <w:szCs w:val="28"/>
          <w:rtl w:val="true"/>
          <w:lang w:bidi="fa-IR"/>
        </w:rPr>
        <w:t>نیز سهل بن زیاد وجود دارد که با قرائن متعدّدی که در محلّ خود ذکر نموده‌ایم، موثّق است</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از این‌رو طبق سند کلینی، روایت موثّقه است، هرچند مجلسی دوم قدس سره در ملاذ الأخیار</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این روایت را ضعیف شمرده است و فاضل هندی در کشف اللثام، از آن تعبیر به خبر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حکیم در مستمسک</w:t>
      </w:r>
      <w:r>
        <w:rPr>
          <w:rStyle w:val="FootnoteAnchor"/>
          <w:rtl w:val="true"/>
        </w:rPr>
        <w:footnoteReference w:id="548"/>
      </w:r>
      <w:r>
        <w:rPr>
          <w:rFonts w:ascii="IRNazanin" w:hAnsi="IRNazanin" w:eastAsia="IRNazanin"/>
          <w:color w:val="111111"/>
          <w:sz w:val="28"/>
          <w:sz w:val="28"/>
          <w:szCs w:val="28"/>
          <w:rtl w:val="true"/>
          <w:lang w:bidi="fa-IR"/>
        </w:rPr>
        <w:t>از آن تعبیر به صحیح نموده است و مجموعاً می‌توان گفت این روایت در نزد معاصران به عنوان روایت صحیح شمرده می‌شود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مردی از امام صادق علیه السلام در مورد بریدن و جدا کردن دنبه و چربی از گوسفند زنده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قصدت اصلاح مال یعنی گوسفندان خویش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اگر سنگین شود موجب لاغری آنان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امیر المؤمنین علیه السلام آمده است که هر چه از دنبه و چربی گوسفند قطع می‌شود، به منزلۀ مردار است و نمی‌توان از آن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سؤال قابل طرح است که آیا امام علیه السلام قصد دارد به کبرای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میّت لا ینتفع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کند؟ آیا می‌توان از روایت استفاده کرد که مردار به هیچ وجه قابلیت انتفاع ندارد؟ آیا می‌توان پنداشت که عدم جواز انتفاع از میته در نزد امام علیه السلام وسائل، روشن بوده است و امام علیه السلام در مقام تنزیل الیات قطع شده به منزله میّته هستند؟</w:t>
      </w:r>
    </w:p>
    <w:p>
      <w:pPr>
        <w:pStyle w:val="BookText"/>
        <w:rPr/>
      </w:pPr>
      <w:r>
        <w:rPr>
          <w:rFonts w:ascii="IRNazanin" w:hAnsi="IRNazanin" w:eastAsia="IRNazanin"/>
          <w:color w:val="111111"/>
          <w:sz w:val="28"/>
          <w:sz w:val="28"/>
          <w:szCs w:val="28"/>
          <w:rtl w:val="true"/>
          <w:lang w:bidi="fa-IR"/>
        </w:rPr>
        <w:t>دیدگاه امام خمینی قدس سره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مقام بیان حکم جواز یا عدم جواز انتفاع از مردار نیست، بلکه صرفاً در صدد تنزیل است و از آن استفاده می‌شود که اگر جزئی از بدن حیوان زنده قطع شود، این جزء یا به منزلۀ مردار و یا حقیقتاً مردار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نمی‌توان به این روایت برای اثبات حرمت انتفاع از مردار استناد کرد</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با اذعان به این مطلب که در میان فقهای متأخّر، امام خمینی قدس سره در فقه الحدیث زبانزد بوده‌اند، امّا به نظر می‌رسد که برداشت چنین مطلبی از روایت، مشکل است و می‌توان در سخن ایشان مناقشه کرد؛ زیرا ظاهر روایت، این است که سائل دربارۀ حکم انتفاع از چربی و اجزای جدا شده از بدن حیوان می‌پرسد و امام علیه السلام از کتاب امیرالمؤمنین علیه السلام شاهد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شاهد، تنها برای این است که بگویند جزء جدا شده از بدن حیوان زنده به منزلۀ مردار است؛ چون اگر چنین باشد، ارتباطی با سؤال سائل نخواهد داشت؛ زیرا سائل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دنبه را قطع کنم که هم حیوان سبک‌تر شود و هم انتفاعات دیگری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بسا میته بودنِ دنبۀ قطع شده، نزد سائل روشن بوده و او فقط می‌خواسته حکم آن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نمی‌توان گفت که عدم جواز انتفاع از میته برای او روشن بوده است و امام علیه السلام در پاسخ او، دنبۀ قطع شده را به منزلۀ مردار قرار داده‌اند تا او خودش به حکم آن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امام خمینی قدس سره در کتاب الطهارة</w:t>
      </w:r>
      <w:r>
        <w:rPr>
          <w:rStyle w:val="FootnoteAnchor"/>
          <w:rtl w:val="true"/>
        </w:rPr>
        <w:footnoteReference w:id="550"/>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الإستشهاد بکتاب علی علیه السلام دلیل علی أنّه میّت تنزیلاً وحکماً لا عرفاً ولا لغةً واطلاق التنزیل وتفریع عدم الإنتفاع به مطلقاً دلیلٌ علی نجاسته؛ استشهاد کردن</w:t>
      </w:r>
    </w:p>
    <w:p>
      <w:pPr>
        <w:pStyle w:val="BookText"/>
        <w:rPr/>
      </w:pPr>
      <w:r>
        <w:rPr>
          <w:rFonts w:ascii="IRNazanin" w:hAnsi="IRNazanin" w:eastAsia="IRNazanin"/>
          <w:color w:val="111111"/>
          <w:sz w:val="28"/>
          <w:sz w:val="28"/>
          <w:szCs w:val="28"/>
          <w:rtl w:val="true"/>
          <w:lang w:bidi="fa-IR"/>
        </w:rPr>
        <w:t>حضرت به کتاب امیرالمؤمنین علیه السلام، دلیل بر این است که دنبۀ قطع شده، از نظر حکم، به منزلۀ مردار است، نه این‌که عرفاً یا لغتاً همان مردار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اطلاق این تنزیل و متفرّع شدن عدم انتفاع بر این تنزیل به صورت مطلق، دلیل بر نجاست دنبۀ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بیان شد، توجّه به دو نکته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چرا امام علیه السلام بعد از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کلام امیر المومنین علیه السلام را در دنبالۀ جواب خود می‌آورد؟</w:t>
      </w:r>
    </w:p>
    <w:p>
      <w:pPr>
        <w:pStyle w:val="BookText"/>
        <w:rPr/>
      </w:pPr>
      <w:r>
        <w:rPr>
          <w:rFonts w:ascii="IRNazanin" w:hAnsi="IRNazanin" w:eastAsia="IRNazanin"/>
          <w:color w:val="111111"/>
          <w:sz w:val="28"/>
          <w:sz w:val="28"/>
          <w:szCs w:val="28"/>
          <w:rtl w:val="true"/>
          <w:lang w:bidi="fa-IR"/>
        </w:rPr>
        <w:t>دوم؛ در کلام امام علیه السلام، یک کبرای کلّی آمده است که هر آنچه از بدن حیوان زنده قطع شود، مردار است و نمی‌توان از آن استفاده نمود</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با توجّه به مطالب بیان شده و این‌که روایت یا صحیحه است یا موثّقه،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حرمت انتفاع از مردار را از این روایت استفاده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عَلِیِّ بْنِ إِبْرَاهِیمَ عَنِ الْمُخْتَارِ بْنِ مُحَمَّدٍ الْمُخْتَارِ وَعَنْ مُحَمَّدِ بْنِ الْحَسَنِ عَنْ عَبْدِ اللّهِ بْنِ الْحَسَنِ الْعَلَوِیِّ جَمِیعاً عَنِ الْفَتْحِ بْنِ یَزِیدَ الْجُرْجَانِیِّ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أَسْأَلُهُ عَنْ جُلُودِ الْمَیْتَةِ الَّتِی یُؤْکَلُ لَحْمُهَا ذَکِیّاً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فَکَتَبَ علیه السلام لَایُنْتَفَعُ مِنَ الْمَیْتَةِ بِإِهَابٍ وَلَا عَصَبٍ وَکُلُّ مَا کَانَ مِنَ السِّخَالِ الصُّوفِ وَإِنْ جُزَّ وَالشَّعْرِ وَالْوَبَرِ وَالإِنْفَحَةِ وَالْقَرْنِ وَلَا یُتَعَدَّی إِلَی غَیْرِهَا إِنْ شَاءَ اللّهُ؛</w:t>
      </w:r>
      <w:r>
        <w:rPr>
          <w:rStyle w:val="FootnoteAnchor"/>
          <w:rtl w:val="true"/>
        </w:rPr>
        <w:footnoteReference w:id="552"/>
      </w:r>
      <w:r>
        <w:rPr>
          <w:rFonts w:ascii="IRNazanin" w:hAnsi="IRNazanin" w:eastAsia="IRNazanin"/>
          <w:color w:val="111111"/>
          <w:sz w:val="28"/>
          <w:sz w:val="28"/>
          <w:szCs w:val="28"/>
          <w:rtl w:val="true"/>
          <w:lang w:bidi="fa-IR"/>
        </w:rPr>
        <w:t>در نامه‌ای به امام کاظم علیه السلام دربارۀ پوست حیوان مرده‌ای که اگر ذبح شرعی می‌شد، حلال گوشت بود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پاسخ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پوست و رگ و پی میته نمی‌توان استفاده کرد و هرچه که از بزغاله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بچّۀ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پشم آن اگر چه بریده شده باشد و همچنین مو و</w:t>
      </w:r>
    </w:p>
    <w:p>
      <w:pPr>
        <w:pStyle w:val="BookText"/>
        <w:rPr/>
      </w:pPr>
      <w:r>
        <w:rPr>
          <w:rFonts w:ascii="IRNazanin" w:hAnsi="IRNazanin" w:eastAsia="IRNazanin"/>
          <w:color w:val="111111"/>
          <w:sz w:val="28"/>
          <w:sz w:val="28"/>
          <w:szCs w:val="28"/>
          <w:rtl w:val="true"/>
          <w:lang w:bidi="fa-IR"/>
        </w:rPr>
        <w:t xml:space="preserve">کرک و انفحه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مایۀ پنیر که از شکم نوزاد شیر خوار چهارپایان علفخوار بیرون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شاخ آن، قابل استفاده است، ولی إن شاء اللّه از غیر اینها استفاده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ابی‌الحسن قدس سره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روایتی ابی الحسن به صورت مطلق و یا به عنوان ابی الحسن اوّل ذکر شود، مراد امام کاظم علیه السلام است و مراد از أبی الحسن ثانی، امام رضا علیه السلام و أبی الحسن ثالث، امام هادی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این روایت دو مشکل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بن یزید 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مجهول است</w:t>
      </w:r>
      <w:r>
        <w:rPr>
          <w:rStyle w:val="FootnoteAnchor"/>
          <w:rtl w:val="true"/>
        </w:rPr>
        <w:footnoteReference w:id="553"/>
      </w:r>
      <w:r>
        <w:rPr>
          <w:rFonts w:ascii="IRNazanin" w:hAnsi="IRNazanin" w:eastAsia="IRNazanin"/>
          <w:color w:val="111111"/>
          <w:sz w:val="28"/>
          <w:sz w:val="28"/>
          <w:szCs w:val="28"/>
          <w:rtl w:val="true"/>
          <w:lang w:bidi="fa-IR"/>
        </w:rPr>
        <w:t xml:space="preserve">و دیگری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بن محمّد بن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تضعیف شده است</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امام خمینی قدس سره در مورد این روایت اظهار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حذف شده است و روایت باید این‌گونه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الصوف و الشعر و الوبر</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 xml:space="preserve">لیکن در کتاب کافی و 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در وسائل بدون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فرمایش ایشان بر طبق نقل کافی و تهذیب، صحیح نیست و فقط بر طبق نقل وسائل می‌تواند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کان من السخال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مبتداست و یک خبر محذوف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ینتفع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باید روایت را این گونه معنا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ما کان من السخال من الصوف والوبر والشعر والإنفحة والقرن ینتفع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قرینۀ بر این مطلب،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یتعدّی إلی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نقل تهذیب،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یتعدّی إلی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556"/>
      </w:r>
      <w:r>
        <w:rPr>
          <w:rFonts w:ascii="IRNazanin" w:hAnsi="IRNazanin" w:eastAsia="IRNazanin"/>
          <w:color w:val="111111"/>
          <w:sz w:val="28"/>
          <w:sz w:val="28"/>
          <w:szCs w:val="28"/>
          <w:rtl w:val="true"/>
          <w:lang w:bidi="fa-IR"/>
        </w:rPr>
        <w:t>در نتیجه، روایت دلالت می‌کند بر این‌که انتفاع از اجزای فاقد حیاتِ مرداری که حلال گوشت است امّا تذکیه نشده، جایز است؛ ولی انتفاع از اجزایی مانند پوست و رگ که دارای</w:t>
      </w:r>
    </w:p>
    <w:p>
      <w:pPr>
        <w:pStyle w:val="BookText"/>
        <w:rPr/>
      </w:pPr>
      <w:r>
        <w:rPr>
          <w:rFonts w:ascii="IRNazanin" w:hAnsi="IRNazanin" w:eastAsia="IRNazanin"/>
          <w:color w:val="111111"/>
          <w:sz w:val="28"/>
          <w:sz w:val="28"/>
          <w:szCs w:val="28"/>
          <w:rtl w:val="true"/>
          <w:lang w:bidi="fa-IR"/>
        </w:rPr>
        <w:t>حیات‌اند،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فرض صحّت سند، می‌توان به این قسمت از روایت استناد نمود، هرچند دچار اضطراب و تشویش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الْحُسَیْنِ بْنِ مُحَمَّدٍ عَنْ مُعَلَّی بْنِ مُحَمَّدٍ عَنِ الْحَسَنِ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 أَهْلَ الْجَبَلِ تَثْقُلُ عِنْدَهُمْ أَلَیَاتُ الْغَنَمِ فَیَقْطَعُونَهَا،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حَرَامٌ،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فَنَصْطَبِحُ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تَعْلَمُ أَنَّهُ یُصِیبُ الْیَدَ وَالثَّوْبَ وَهُوَ حَرَامٌ؛</w:t>
      </w:r>
      <w:r>
        <w:rPr>
          <w:rStyle w:val="FootnoteAnchor"/>
          <w:rtl w:val="true"/>
        </w:rPr>
        <w:footnoteReference w:id="557"/>
      </w:r>
      <w:r>
        <w:rPr>
          <w:rFonts w:ascii="IRNazanin" w:hAnsi="IRNazanin" w:eastAsia="IRNazanin"/>
          <w:color w:val="111111"/>
          <w:sz w:val="28"/>
          <w:sz w:val="28"/>
          <w:szCs w:val="28"/>
          <w:rtl w:val="true"/>
          <w:lang w:bidi="fa-IR"/>
        </w:rPr>
        <w:t>حسن بن علی وشّاء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عرض کردم مردم کوهستان دنبۀ گوسفند را که سنگین می‌شود، قطع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 به عنوان روغن چراغ استفاده کرد، حکم آن چیست؟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در این حال نیز با دست، بدن و لباس تو تماس پیدا خواهد کرد و این کار حرام است؟</w:t>
      </w:r>
    </w:p>
    <w:p>
      <w:pPr>
        <w:pStyle w:val="BookText"/>
        <w:rPr/>
      </w:pPr>
      <w:r>
        <w:rPr>
          <w:rFonts w:ascii="IRNazanin" w:hAnsi="IRNazanin" w:eastAsia="IRNazanin"/>
          <w:color w:val="111111"/>
          <w:sz w:val="28"/>
          <w:sz w:val="28"/>
          <w:szCs w:val="28"/>
          <w:rtl w:val="true"/>
          <w:lang w:bidi="fa-IR"/>
        </w:rPr>
        <w:t xml:space="preserve">در سند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همان معلّی بصریِ تضعیف شده است</w:t>
      </w:r>
      <w:r>
        <w:rPr>
          <w:rFonts w:eastAsia="IRNazanin" w:cs="IRNazanin"/>
          <w:color w:val="111111"/>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 xml:space="preserve">مجلسی دوّم در ملاذ الأخیار نیز این روایت را ضعیف شمرده است، امّا در مرآة العقول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 لیکن مرحوم نراقی در مستند الشیعة،</w:t>
      </w:r>
      <w:r>
        <w:rPr>
          <w:rStyle w:val="FootnoteAnchor"/>
          <w:rtl w:val="true"/>
        </w:rPr>
        <w:footnoteReference w:id="559"/>
      </w:r>
      <w:r>
        <w:rPr>
          <w:rFonts w:ascii="IRNazanin" w:hAnsi="IRNazanin" w:eastAsia="IRNazanin"/>
          <w:color w:val="111111"/>
          <w:sz w:val="28"/>
          <w:sz w:val="28"/>
          <w:szCs w:val="28"/>
          <w:rtl w:val="true"/>
          <w:lang w:bidi="fa-IR"/>
        </w:rPr>
        <w:t>این روایت را صحیح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اطلاق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روایت، و با عنایت به این‌که امام علیه السلام استفاده از دنبه و چربی برای استصباح را نیز تجویز نمی‌کنند، پس می‌توان همۀ انتفاعات از مردار را حرام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حدائق</w:t>
      </w:r>
      <w:r>
        <w:rPr>
          <w:rStyle w:val="FootnoteAnchor"/>
          <w:rtl w:val="true"/>
        </w:rPr>
        <w:footnoteReference w:id="560"/>
      </w:r>
      <w:r>
        <w:rPr>
          <w:rFonts w:ascii="IRNazanin" w:hAnsi="IRNazanin" w:eastAsia="IRNazanin"/>
          <w:color w:val="111111"/>
          <w:sz w:val="28"/>
          <w:sz w:val="28"/>
          <w:szCs w:val="28"/>
          <w:rtl w:val="true"/>
          <w:lang w:bidi="fa-IR"/>
        </w:rPr>
        <w:t>در این باره می‌نویسد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روایة الحسن بن علی المذکورة عدم جواز الإنتفاع بألیات المیتة أو المبانة</w:t>
      </w:r>
    </w:p>
    <w:p>
      <w:pPr>
        <w:pStyle w:val="BookText"/>
        <w:rPr/>
      </w:pPr>
      <w:r>
        <w:rPr>
          <w:rFonts w:ascii="IRNazanin" w:hAnsi="IRNazanin" w:eastAsia="IRNazanin"/>
          <w:color w:val="111111"/>
          <w:sz w:val="28"/>
          <w:sz w:val="28"/>
          <w:szCs w:val="28"/>
          <w:rtl w:val="true"/>
          <w:lang w:bidi="fa-IR"/>
        </w:rPr>
        <w:t>من حی مطلقاً حتّی ولو بالإسراج، وهو المشهور بین الأصحاب وبه صرّح جملة، منهم الشهید الثانی فی المسالک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خوانساری نیز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 الحرام هیهنا بمعنی النجس، فظهر أنّهم قید یستعملون الحرام کذلک</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همچنین محقّق خویی قدس سره در کتاب مصباح الفقاهة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تعرّضه لحکم الإنتفاع بها بالإستصباح المسئول عنه وتصدّیه لبیان نجاستها أو مانعیتها عن الصلوة، أدلّ دلیلٍ علی جواز الإنتفاع بها دون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ذلک ولکن لابُدَّ من الإختصار فیها علی موردها أعنی صورة إصابتها الید والثوب إلّاأن یتمسّک فی غیر موردها بعدم القول بالفصل</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xml:space="preserve">به عقیدۀ ایشان، امام علیه السلام سؤال دوم را بی‌پاسخ گذاشته‌اند و فقط بحث تماس بدن و لباس با نجاست را مطرح نموده و بحث نجاست مردار و مانعیّت از نماز را مطرح نکرده‌اند؛ زیرا ایشان در پاسخ به سائل که دربارۀ حکم استصباح می‌پرسد، به جای استفاده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پاسخ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منظورشان این است که انتفاع از آن به خودی خود،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به نظر می‌رسد که این مطلب صحیح نیست و با دقّت روشن می‌شود که بعد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فنصطبح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است و جملۀ بعد، به منزلۀ تعلیل برای این 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پنداشت که امام علیه السلام جواب سؤال دوم را نفرموده‌اند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خویی قدس سره در ادامه اظهار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بپذیریم امام علیه السلام جواب سائل را داده است، باید عدم جواز را به جایی که با دست یا لباس تماس پیدا می‌کند، منحصر کنیم؛ یعنی عدم جواز انتفاع از مردار، فقط در جایی است که با دست و لباس انسان،</w:t>
      </w:r>
    </w:p>
    <w:p>
      <w:pPr>
        <w:pStyle w:val="BookText"/>
        <w:rPr/>
      </w:pPr>
      <w:r>
        <w:rPr>
          <w:rFonts w:ascii="IRNazanin" w:hAnsi="IRNazanin" w:eastAsia="IRNazanin"/>
          <w:color w:val="111111"/>
          <w:sz w:val="28"/>
          <w:sz w:val="28"/>
          <w:szCs w:val="28"/>
          <w:rtl w:val="true"/>
          <w:lang w:bidi="fa-IR"/>
        </w:rPr>
        <w:t>تماس داشته باشد؛ در حالی که با قطع نظر از نماز و اکل، نمی‌توان صرف تماس چربی نجس با دست را حرام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می‌توان چنین نتیجه گرفت که اگر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حکمی ارشادی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حرمت ارشادی اشاره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نجاست با حرمت ملازمه دارد و استفاده از آن مستلزم برخورد با دست و لباس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این‌صورت مشکل حل می‌شود؛ یعنی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ارشادی است و بر حرمت استصباح دلالت ندارد؛ ولی اگر گفته شود که حرمت استصباح، حرمت تکلیفی است و برخورد با دست و لباس به عنوان حکمت آن ذکر شده و جنبۀ ارشادی ندارد، حرمت مولوی خواهد بود و از آن می‌توان حرمت انتفاع را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نقد سخن محقّق خویی قدس سره باید به دو مطلب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پذیرفت که امام علیه السلام جواب سائل را نداده باشند؛ زیرا این برداشت بر خلاف مقتضای محاوره و روش سؤال و جواب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امام علیه السلام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سائل را داده‌اند، هرچند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بررسی کرد که مرجع ضمیر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این احتمال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حالیه در نظر گرفت و ضمیر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این قاعده را نیز ضمیه نماییم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فی التذکیر و التأنیث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توصیف، منظور امام علیه السلام از این عبارت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نجس است را چگونه می‌خواهی به دست و بدنت بزنی؟ امّا احتمال دوم که با مذکّر بودن ضمیر هم سازگار است، این است که ضمیر به استصباح بر گردد، نه ألیات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توصیف، معنای روایت این است که شارع، استفاده از شیء حرام و نجس را حتّی برای استصباح نیز جایز نمی‌داند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انصاف آن است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بر نجاست دلالت دارد و دیگر این بحث که آیا این حرمت، تکلیفی است یا ارشادی، معنا ندارد؛ بلکه همان طور که آقا</w:t>
      </w:r>
    </w:p>
    <w:p>
      <w:pPr>
        <w:pStyle w:val="BookText"/>
        <w:rPr/>
      </w:pPr>
      <w:r>
        <w:rPr>
          <w:rFonts w:ascii="IRNazanin" w:hAnsi="IRNazanin" w:eastAsia="IRNazanin"/>
          <w:color w:val="111111"/>
          <w:sz w:val="28"/>
          <w:sz w:val="28"/>
          <w:szCs w:val="28"/>
          <w:rtl w:val="true"/>
          <w:lang w:bidi="fa-IR"/>
        </w:rPr>
        <w:t xml:space="preserve">حسین خوانساری فرمود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نجس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روایت بر عدم جواز انتفاع به استصباح نیز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احتمال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باشد؛ یعنی امام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الیات از مصادیق میته است و در دنباله به نجاست آن هم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از جهت سند دارای اشکال است و هم دلالت آن روشن نیست؛ زیرا امام علیه السلام در مقام ارشاد به اجتناب از نجس هستند و به خاطر همین، روایت بر حرمت تکلیفی انتفاع از اجزای مردار، دلالت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هفتم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جَعْفَرٍ فِی قُرْبِ الْإِسْنَادِ</w:t>
      </w:r>
    </w:p>
    <w:p>
      <w:pPr>
        <w:pStyle w:val="BookText"/>
        <w:rPr/>
      </w:pPr>
      <w:r>
        <w:rPr>
          <w:rFonts w:ascii="Amiri" w:hAnsi="Amiri" w:eastAsia="Amiri" w:cs="Amiri"/>
          <w:color w:val="111111"/>
          <w:sz w:val="28"/>
          <w:sz w:val="28"/>
          <w:szCs w:val="28"/>
          <w:rtl w:val="true"/>
          <w:lang w:bidi="ar-SA"/>
        </w:rPr>
        <w:t>عَنْ عَبْدِ اللّهِ بْنِ الْحَسَنِ عَنْ جَدِّهِ عَنْ عَلِیِّ بْنِ جَعْفَرٍ عَنْ أَخِیهِ مُوسَی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لُبْسِ السَّمُّورِ وَالسِّنْجَابِ وَالْفَنَکِ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لَایُلْبَسُ وَلَا یُصَلَّی فِیهِ إِلَّا أَنْ یَکُونَ ذَکِیّاً</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این روایت را علی بن جعفر</w:t>
      </w:r>
      <w:r>
        <w:rPr>
          <w:rStyle w:val="FootnoteAnchor"/>
          <w:rtl w:val="true"/>
        </w:rPr>
        <w:footnoteReference w:id="564"/>
      </w:r>
      <w:r>
        <w:rPr>
          <w:rFonts w:ascii="IRNazanin" w:hAnsi="IRNazanin" w:eastAsia="IRNazanin"/>
          <w:color w:val="111111"/>
          <w:sz w:val="28"/>
          <w:sz w:val="28"/>
          <w:szCs w:val="28"/>
          <w:rtl w:val="true"/>
          <w:lang w:bidi="fa-IR"/>
        </w:rPr>
        <w:t>از برادرشان امام موسی کاظم علیه السلام نقل می‌کند، البتّه در سند این روایت عبداللّه بن حسن مجهول است</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در این حدیث، از امام کاظم علیه السلام در مورد پوشیدن پوست سمور، سنجاب و روباه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نمی‌شود و نمی‌توان با آن نماز خواند، مگر این‌که تذکیه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یلبس ولا یصلّی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لبس و عدم جواز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می‌شود، یا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حکم مقدّماتی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رحمه الله معتقد است که این روایت، علاوه بر ضعف سند، اختصاص به</w:t>
      </w:r>
    </w:p>
    <w:p>
      <w:pPr>
        <w:pStyle w:val="BookText"/>
        <w:rPr/>
      </w:pPr>
      <w:r>
        <w:rPr>
          <w:rFonts w:ascii="IRNazanin" w:hAnsi="IRNazanin" w:eastAsia="IRNazanin"/>
          <w:color w:val="111111"/>
          <w:sz w:val="28"/>
          <w:sz w:val="28"/>
          <w:szCs w:val="28"/>
          <w:rtl w:val="true"/>
          <w:lang w:bidi="fa-IR"/>
        </w:rPr>
        <w:t>لباس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دربارۀ روایت دیگری که در آن، نظیر این تعبیر وجود دارد، فرموده است که ما نمی‌توانیم حرمت مطلق لبس را از آن استفاده کنیم؛ بلکه فقط حرمت لبسی که به عنوان مقدّمۀ نماز باشد، استفاده می‌شود</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به نظر می‌رسد که این سخن، قابل مناقشه است و از ظاهر روایت، چنین مطلبی برداشت نمی‌شود؛ زیرا پرسش سائل دربارۀ صلاة نیست، بلکه دربارۀ لبس است؛ چراکه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پوشیدن لباسی که از پوست سنجاب و روباه و مانند آن است جایز است یا نه؟ امام علیه السلام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به این مطلب اشاره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 اصلی در روایت، عدم جواز لُبس است و یکی از مصادیق آن در مورد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 توجّه به سؤال سائل که در خصوص لُبس است، روشن‌تر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قابل توجّه این است که فقها در سنجاب همین نظر را دارند، امّا نسبت به غیر آن، از این روایت اعراض نموده‌اند؛ چرا که نماز در سمور و فنک مطلقاً در نزد امامیّه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نهی از لُبس به عنوان مقدّمۀ نماز باشد، باید با قطع نظر از سند، روایت را حمل بر تقیّه یا ضرورت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هشتم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یَجُوزُ مِنَ اللِّبَاسِ فَکُلُّ مَا أَنْبَتَتِ الْأَرْضُ فَلَا بَأْسَ بِلُبْسِهِ وَالصَّلَاةِ فِیهِ وَکُلُّ شَیْ‌ءٍ یَحِلُّ لَحْمُهُ فَلَا بَأْسَ بِلُبْسِ جِلْدِهِ الذَّکِیِّ مِنْهُ وَصوفه وشَعْرِهِ وَوَبَرِهِ وَإِنْ کَانَ الصُّوفُ وَالشَّعْرُ وَالرِّیشُ وَالْوَبَرُ مِنَ الْمَیْتَةِ وَغَیْرِ الْمَیْتَةِ ذَکِیّاً فَلَا بَأْسَ بِلُبْسِ ذَلِکَ وَالصَّلَاةِ فِیهِ؛</w:t>
      </w:r>
      <w:r>
        <w:rPr>
          <w:rStyle w:val="FootnoteAnchor"/>
          <w:rtl w:val="true"/>
        </w:rPr>
        <w:footnoteReference w:id="567"/>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و نماز خواندن در آنچه از زمین روئیده می‌شود و پوست، پشم، مو و کرک حیوان حلال گوشت تذکیه شده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آمده است که نماز خواندن در پشم، مو و کرک مردار و حیوانی که تذکیه نشده و پوشیدن آن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به تعابیر مختلف در فقه الرضا علیه السلام و دعائم الاسلام و وسائل الشیعة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کتاب در مورد کتاب تحف العقول مطالبی را ذکر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می‌توان از این روایت، چنین استفاده کرد که پوشیدن پوست مردار و حیوانی که تذکیه نشده،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برای نماز چه برای غیر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p>
    <w:p>
      <w:pPr>
        <w:pStyle w:val="BookText"/>
        <w:rPr/>
      </w:pPr>
      <w:r>
        <w:rPr>
          <w:rFonts w:ascii="IRNazanin" w:hAnsi="IRNazanin" w:eastAsia="IRNazanin"/>
          <w:color w:val="111111"/>
          <w:sz w:val="28"/>
          <w:sz w:val="28"/>
          <w:szCs w:val="28"/>
          <w:rtl w:val="true"/>
          <w:lang w:bidi="fa-IR"/>
        </w:rPr>
        <w:t>امام خمینی قدس سره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بلبسه والصلاة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پوشش برای نماز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این تعبیر مانند برخی دیگر از تعابیر مقدّمی در سائر روایات است، مانند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بلبس الحریر والحرب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بالجلاس فی المسجد والقضاء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باخذ الماء من الدجله والشرب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شیء یحلّ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صدد بیان لُبس در نماز است و در نتیجه از روایات، دو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تکلیفی مربوط به جواز لُبس و حکم وصفی مربوط به صحّت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نمی‌شود؛ یعنی نمی‌توان مطلق انتفاع از پوست را حرام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اساس این روایت، تنها پوشیدن پوست مردار برای اقامۀ نماز حرام است، هرچند سند این روایت قابل اعتماد نیست</w:t>
      </w:r>
      <w:r>
        <w:rPr>
          <w:rFonts w:eastAsia="IRNazanin" w:cs="IRNazanin"/>
          <w:color w:val="111111"/>
          <w:sz w:val="28"/>
          <w:szCs w:val="28"/>
          <w:rtl w:val="true"/>
          <w:lang w:bidi="fa-IR"/>
        </w:rPr>
        <w:t>.</w:t>
      </w:r>
      <w:r>
        <w:rPr>
          <w:rStyle w:val="FootnoteAnchor"/>
          <w:rtl w:val="true"/>
        </w:rPr>
        <w:footnoteReference w:id="568"/>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 به عنوان مؤیّد و دو نکته به عنوان مبعّد نظر ایشان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روایت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أنبتت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مؤیّد سخن امام خمینی قدس سره باشد؛ زیرا این عبارت قرینه است بر این‌که روایت، مربوط به باب صلوة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نکته‌ای که در نقد سخن ایشان می‌توان ذکر کرد، این است که از ظاهر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بأس بلبسه و الصلاة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عدم جواز لبس به‌طور مطلق استفاده می‌شود، نه خصوص لبس برای نماز؛ یعنی نماز به عنوان یکی از مصادیق لُبس مطرح شده است و خودش موضوعیت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دیگر این‌که در صدر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یجوز من اللباس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اصلاً دربارۀ نماز نیست؛</w:t>
      </w:r>
      <w:r>
        <w:rPr>
          <w:rStyle w:val="FootnoteAnchor"/>
          <w:rtl w:val="true"/>
        </w:rPr>
        <w:footnoteReference w:id="569"/>
      </w:r>
      <w:r>
        <w:rPr>
          <w:rFonts w:ascii="IRNazanin" w:hAnsi="IRNazanin" w:eastAsia="IRNazanin"/>
          <w:color w:val="111111"/>
          <w:sz w:val="28"/>
          <w:sz w:val="28"/>
          <w:szCs w:val="28"/>
          <w:rtl w:val="true"/>
          <w:lang w:bidi="fa-IR"/>
        </w:rPr>
        <w:t>بلکه دربارۀ لباس‌هایی است که برای</w:t>
      </w:r>
    </w:p>
    <w:p>
      <w:pPr>
        <w:pStyle w:val="BookText"/>
        <w:rPr/>
      </w:pPr>
      <w:r>
        <w:rPr>
          <w:rFonts w:ascii="IRNazanin" w:hAnsi="IRNazanin" w:eastAsia="IRNazanin"/>
          <w:color w:val="111111"/>
          <w:sz w:val="28"/>
          <w:sz w:val="28"/>
          <w:szCs w:val="28"/>
          <w:rtl w:val="true"/>
          <w:lang w:bidi="fa-IR"/>
        </w:rPr>
        <w:t>انسان جایزند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شارع در این عبارت، دیدگاه شریعت را دربارۀ پوشش جایز،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می‌توان از روایت، حرمت انتفاع به پوست مردار و حیوان تذکیه نشده را استفاده نمود، خواه برای نماز و خواه برای غیر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دربارۀ فقه الحدیث این روایت مطرح است و آن این‌که برخی از بزرگان</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 xml:space="preserve">معتقدند که مراد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جلده الذکی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روایت، مقابل میته است و دلالت بر شرطیّت تذکیه دارد؛ امّا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روایت، طهارت است؛ چرا که تذکیۀ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حلّیت 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صوف و مانند آن،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از آن طهارت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جَعْفَرٍ فِی کِتَابِهِ عَنْ أَخِیهِ مُوسَی بْنِ جَعْفَرٍ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الْمَاشِیَةِ تَکُونُ لِرَجُلٍ فَیَمُوتُ بَعْضُهَا أَ یَصْلُحُ لَهُ بَیْعُ جُلُودِهَا وَدِبَاغُهَا وَیَلْبَسَهَا؟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لَاوَإِنْ لَبِسَهَا فَلَا یُصَلِّی فِیهَا؛</w:t>
      </w:r>
      <w:r>
        <w:rPr>
          <w:rStyle w:val="FootnoteAnchor"/>
          <w:rtl w:val="true"/>
        </w:rPr>
        <w:footnoteReference w:id="571"/>
      </w:r>
      <w:r>
        <w:rPr>
          <w:rFonts w:ascii="IRNazanin" w:hAnsi="IRNazanin" w:eastAsia="IRNazanin"/>
          <w:color w:val="111111"/>
          <w:sz w:val="28"/>
          <w:sz w:val="28"/>
          <w:szCs w:val="28"/>
          <w:rtl w:val="true"/>
          <w:lang w:bidi="fa-IR"/>
        </w:rPr>
        <w:t>از امام کاظم علیه السلام پرسیدم که آیا می‌توان پوست گوسفند مرده را مورد معامله قرارداد و یا آن را برای لباس استفاده نمود؟ ایشان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اگر پوشید، با آن نماز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ذیل روایت باید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کراهت کنیم و نمی‌توان از آن معنای حرمت را برداشت نمود و با این توصیف، روایت از محلّ استدلال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حرمت دارد، می‌توان از روایت در این مورد استفاده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انتفاع از پوست مردار به عنوان لباس و پوشش، حرام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قدس سره از یک سو، سند این روایت را ضعیف می‌داند و از سوی دیگر، با توجّه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معتقد است که روایت ظهور در کراهت دارد؛ زیرا امکان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حرمت باشد؛ چراکه در این صورت پوشیدن آن حرام است و با این فرض، معنا ندارد که امام علیه السلام در ادامه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حرام را انجام داد، با آن نماز نخواند</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 xml:space="preserve">در فقه کلماتی داریم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متأخّرین تمایل دارند آنها را بر کراهت 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تراشیدن 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معتبری از امام هشتم علیه السلام داریم که در آن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این عبارت را بر حرمت و برخی دیگر بر کراهت حمل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تعبیر را در لسان ائمه علیهم السلام جستجو و ملاحظه کنید، در بیشتر موارد حرمت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حال حاضر هنگامی که ما در لسان خودمان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معنایش این است که این کار شایسته نیست و حمل بر کراهت می‌شود؛ لیکن در لسان ائمّۀ معصومین علیهم السلام و شاید در عرف عرب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حرمت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کراهت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ذیل را قرینه بر ادّعای خویش قرار دادند، صحیح نیست؛ زیرا ذیل روایت، هم با کراهت سازگاری دارد و هم با حرمت و حتّی هماهنگی آن با حرمت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در مقام بیان این مطلب‌اند که شخصی اگر مرتکب این حرام شد، لااقل نماز خود را فاسد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بزرگان آورده‌اند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فإنّها ظاهرة فی جواز لبسها فی غیر الصلاة وإنّ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لبسها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عن النهی وإلّا مکان التعبیر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یلبسها ولا یصلّی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منه حرمة اللبس والمانعیة للصلاة معاً؛</w:t>
      </w:r>
      <w:r>
        <w:rPr>
          <w:rStyle w:val="FootnoteAnchor"/>
          <w:rtl w:val="true"/>
        </w:rPr>
        <w:footnoteReference w:id="573"/>
      </w:r>
      <w:r>
        <w:rPr>
          <w:rFonts w:ascii="IRNazanin" w:hAnsi="IRNazanin" w:eastAsia="IRNazanin"/>
          <w:color w:val="111111"/>
          <w:sz w:val="28"/>
          <w:sz w:val="28"/>
          <w:szCs w:val="28"/>
          <w:rtl w:val="true"/>
          <w:lang w:bidi="fa-IR"/>
        </w:rPr>
        <w:t xml:space="preserve">ظاهر روایت، جواز پوشیدن آنها در غیر نماز 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لبسها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استثنای از نهی به شمار می‌رود، وگرنه امام علیه السلام به جای این</w:t>
      </w:r>
    </w:p>
    <w:p>
      <w:pPr>
        <w:pStyle w:val="BookText"/>
        <w:rPr/>
      </w:pPr>
      <w:r>
        <w:rPr>
          <w:rFonts w:ascii="IRNazanin" w:hAnsi="IRNazanin" w:eastAsia="IRNazanin"/>
          <w:color w:val="111111"/>
          <w:sz w:val="28"/>
          <w:sz w:val="28"/>
          <w:szCs w:val="28"/>
          <w:rtl w:val="true"/>
          <w:lang w:bidi="fa-IR"/>
        </w:rPr>
        <w:t>تعبیر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یلبسها ولا یصلّی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حرمت لبس و مانعیت آن از نماز، هر دو با هم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به نظر می‌رسد که این کلام ناتمام است؛ چرا که قبل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لبسها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دلالت بر حرمة لُبس دارد، چه برای نماز و چه غیر نماز؛ یعنی مقصود امام علیه السلام این است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مکلف این حرام را انجام داد، مراقب باشد که نماز را فاسد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لبسها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استثنای از نهی باشد، روشن نیست که آن را چگونه از روایت استفاده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روایت چنین نگاشته‌اند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المنهیّ جمیع الامور المذکورة فی السؤال لا خصوص اللبس ولیس النهی عن الصلاة فیها فی صورة اللبس قرینة علی اختصاص النهی به و غیر شامل للبیع کما لا یخفی؛</w:t>
      </w:r>
      <w:r>
        <w:rPr>
          <w:rStyle w:val="FootnoteAnchor"/>
          <w:rtl w:val="true"/>
        </w:rPr>
        <w:footnoteReference w:id="574"/>
      </w:r>
      <w:r>
        <w:rPr>
          <w:rFonts w:ascii="IRNazanin" w:hAnsi="IRNazanin" w:eastAsia="IRNazanin"/>
          <w:color w:val="111111"/>
          <w:sz w:val="28"/>
          <w:sz w:val="28"/>
          <w:szCs w:val="28"/>
          <w:rtl w:val="true"/>
          <w:lang w:bidi="fa-IR"/>
        </w:rPr>
        <w:t>بنابراین، ایشان نیز حرمت لبس را از روایت می‌فهمند، بدون این‌که آن را مختص به حالت نماز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فقها نیز در این باره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المستفاد من الحدیث عدم صحّه بیع جلد المیته</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نتیجه آن‌که از روایت، به خوبی استفاده می‌شود که همۀ انتفاعات مردار غیر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دهم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الحسینُ بن سعید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أَکْلِ الْجُبُنِّ وَتَقْلِیدِ السَّیْفِ وَفِیهِ الْکَیْمُخْتُ وَالْغَرَاء،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مَالَمْ تَعْلَم أَنَّهُ مَیْتَةٌ؛</w:t>
      </w:r>
      <w:r>
        <w:rPr>
          <w:rStyle w:val="FootnoteAnchor"/>
          <w:rtl w:val="true"/>
        </w:rPr>
        <w:footnoteReference w:id="576"/>
      </w:r>
      <w:r>
        <w:rPr>
          <w:rFonts w:ascii="IRNazanin" w:hAnsi="IRNazanin" w:eastAsia="IRNazanin"/>
          <w:color w:val="111111"/>
          <w:sz w:val="28"/>
          <w:sz w:val="28"/>
          <w:szCs w:val="28"/>
          <w:rtl w:val="true"/>
          <w:lang w:bidi="fa-IR"/>
        </w:rPr>
        <w:t>از امام علیه السلام در مورد حکم خوردن پنیر و یا آویختن شمشیری که در</w:t>
      </w:r>
    </w:p>
    <w:p>
      <w:pPr>
        <w:pStyle w:val="BookText"/>
        <w:rPr/>
      </w:pPr>
      <w:r>
        <w:rPr>
          <w:rFonts w:ascii="IRNazanin" w:hAnsi="IRNazanin" w:eastAsia="IRNazanin"/>
          <w:color w:val="111111"/>
          <w:sz w:val="28"/>
          <w:sz w:val="28"/>
          <w:szCs w:val="28"/>
          <w:rtl w:val="true"/>
          <w:lang w:bidi="fa-IR"/>
        </w:rPr>
        <w:t xml:space="preserve">مواد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کیمخت</w:t>
      </w:r>
      <w:r>
        <w:rPr>
          <w:rStyle w:val="FootnoteAnchor"/>
          <w:rtl w:val="true"/>
        </w:rPr>
        <w:footnoteReference w:id="577"/>
      </w:r>
      <w:r>
        <w:rPr>
          <w:rFonts w:ascii="IRNazanin" w:hAnsi="IRNazanin" w:eastAsia="IRNazanin"/>
          <w:color w:val="111111"/>
          <w:sz w:val="28"/>
          <w:sz w:val="28"/>
          <w:szCs w:val="28"/>
          <w:rtl w:val="true"/>
          <w:lang w:bidi="fa-IR"/>
        </w:rPr>
        <w:t>و غراء</w:t>
      </w:r>
      <w:r>
        <w:rPr>
          <w:rStyle w:val="FootnoteAnchor"/>
          <w:rtl w:val="true"/>
        </w:rPr>
        <w:footnoteReference w:id="578"/>
      </w:r>
      <w:r>
        <w:rPr>
          <w:rFonts w:ascii="IRNazanin" w:hAnsi="IRNazanin" w:eastAsia="IRNazanin"/>
          <w:color w:val="111111"/>
          <w:sz w:val="28"/>
          <w:sz w:val="28"/>
          <w:szCs w:val="28"/>
          <w:rtl w:val="true"/>
          <w:lang w:bidi="fa-IR"/>
        </w:rPr>
        <w:t>وجود دارد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ندانی که از مردار است،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استدلال در مفهوم این روایت است؛ زیرا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ما لم تعلم أنّه 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مفهوم روایت استفاده می‌شود که در صورت علم به این‌که مردار است، استفاده از آن جایز نخواهد بود؛ یعنی در آویختن شمشیری که در ساخت غلاف آن از کیمخت و غراء استفاده شده است، اگر ندانی که میته است، مانعی ندارد؛ ولی در غیر این صورت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این‌جا به اطلاق مفهوم روایت استدلال شده است؛ زیرا مفهوم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انتفاع از مردار و آنچه از مردار ساخته شده، حرام است و حتّی به عنوان تقلید سیوف هم نمی‌توان از آن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مفهوم در این‌جا اطلاق دارد؟</w:t>
      </w:r>
    </w:p>
    <w:p>
      <w:pPr>
        <w:pStyle w:val="BookText"/>
        <w:rPr/>
      </w:pPr>
      <w:r>
        <w:rPr>
          <w:rFonts w:ascii="IRNazanin" w:hAnsi="IRNazanin" w:eastAsia="IRNazanin"/>
          <w:color w:val="111111"/>
          <w:sz w:val="28"/>
          <w:sz w:val="28"/>
          <w:szCs w:val="28"/>
          <w:rtl w:val="true"/>
          <w:lang w:bidi="fa-IR"/>
        </w:rPr>
        <w:t xml:space="preserve">در بحث مفاهیم، دربارۀ چنین جملاتی این اختلاف وجود دارد که آیا مفهوم این‌گونه جملات، موجبۀ کلّیه است یا یک قضیّۀ مهمله؟ یعنی جملاتی که در منطوقشان یک عنوان نفیی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تکن میتة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شرط آن یک عنوان منفی است و مفهومش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میتة ففیه بأس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مفهومشان اطلاق دارد، و یا از جهت اطلاق و تقیید، مهمل بوده و نه اطلاق دارد و نه تقیید؟</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إذا بلغ قدر کرّ لم ینجسّه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منطوقش این است که اگر آب به اندازۀ کر برسد هیچ چیزی آن را نجس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نجاست آب نفی شده و منطوق، جملۀ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پرسش مطرح می‌شود که آیا مفهومش این است که اگر آب به اندازۀ کر نرسد، هر چیزی آن را نجس می‌کند، یا در این باره نه مطلق است و نه مقیّد؟</w:t>
      </w:r>
    </w:p>
    <w:p>
      <w:pPr>
        <w:pStyle w:val="BookText"/>
        <w:rPr/>
      </w:pPr>
      <w:r>
        <w:rPr>
          <w:rFonts w:ascii="IRNazanin" w:hAnsi="IRNazanin" w:eastAsia="IRNazanin"/>
          <w:color w:val="111111"/>
          <w:sz w:val="28"/>
          <w:sz w:val="28"/>
          <w:szCs w:val="28"/>
          <w:rtl w:val="true"/>
          <w:lang w:bidi="fa-IR"/>
        </w:rPr>
        <w:t>دیدگاه امام خمینی قدس سره و جمع دیگری از علما این است که مفهوم این گونه جملات، موجبۀ کلّیه نیست؛ بلکه مفهوم آنها یک قضیّۀ مهمله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بر خلاف دیدگاه ایشان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تکن میتة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اطلاق دارد و شامل هر جایی که مردار باشد می‌شود، در این‌صورت، مفهوم این روایت بر حرمت همۀ انتفاعات از میته دلالت دارد، چه میته در پنیر باشد چه در آویختن سیوف؛ ولی اگر دیدگاه امام خمینی قدس سره را بپذیریم، در این‌صورت، مفهوم این روایت بر حرمت همۀ انتفاعات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بحث، بحث مبنایی است و مربوط به مفاهیم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حرمت از مفهوم</w:t>
      </w:r>
    </w:p>
    <w:p>
      <w:pPr>
        <w:pStyle w:val="BookText"/>
        <w:rPr/>
      </w:pPr>
      <w:r>
        <w:rPr>
          <w:rFonts w:ascii="IRNazanin" w:hAnsi="IRNazanin" w:eastAsia="IRNazanin"/>
          <w:color w:val="111111"/>
          <w:sz w:val="28"/>
          <w:sz w:val="28"/>
          <w:szCs w:val="28"/>
          <w:rtl w:val="true"/>
          <w:lang w:bidi="fa-IR"/>
        </w:rPr>
        <w:t>در این‌جا باید به این نکته توجّه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میتة ففیه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آیا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استفاده می‌شود، یا ممکن است کراهت هم استفاده شود؟ یعنی اگر در روایتی به صورت منطوقی از امام علیه السلام سؤال شود و ایشان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برخی از واژه‌های دیگر، ظهور در حرمت دارد تا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 حرمة،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فیه حرمة؟</w:t>
      </w:r>
    </w:p>
    <w:p>
      <w:pPr>
        <w:pStyle w:val="BookText"/>
        <w:rPr/>
      </w:pPr>
      <w:r>
        <w:rPr>
          <w:rFonts w:ascii="IRNazanin" w:hAnsi="IRNazanin" w:eastAsia="IRNazanin"/>
          <w:color w:val="111111"/>
          <w:sz w:val="28"/>
          <w:sz w:val="28"/>
          <w:szCs w:val="28"/>
          <w:rtl w:val="true"/>
          <w:lang w:bidi="fa-IR"/>
        </w:rPr>
        <w:t>به نظر می‌رسد که در این‌جا باید قرینه پیدا کنیم تا بفهمیم مقصود از این بأس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روایاتی که در آینده ما به عنوان روایات مجوّزه مطرح خواهیم کرد، قرینه‌ای باشند بر این‌که در این روایت،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است نه حرمت؛ یعنی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مردار برای غیر اکل، مانند کود و استصباح و خوراک حیوانات، مکروه است نه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مرسله</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روایات مانعه، دو روایت مرسل داریم که به صورت مطلق، دلالت بر منع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کتاب عوالی اللئالی که از پیامبر اکرم صلی الله علیه و آله نقل می‌کند که فرمودند</w:t>
      </w:r>
      <w:r>
        <w:rPr>
          <w:rFonts w:eastAsia="IRNazanin" w:cs="IRNazanin"/>
          <w:color w:val="111111"/>
          <w:sz w:val="28"/>
          <w:szCs w:val="28"/>
          <w:rtl w:val="true"/>
          <w:lang w:bidi="fa-IR"/>
        </w:rPr>
        <w:t>:</w:t>
      </w:r>
      <w:bookmarkStart w:id="693" w:name="pg13785_135205"/>
    </w:p>
    <w:p>
      <w:pPr>
        <w:pStyle w:val="BookText"/>
        <w:rPr/>
      </w:pPr>
      <w:bookmarkEnd w:id="693"/>
      <w:r>
        <w:rPr>
          <w:rFonts w:ascii="IRNazanin" w:hAnsi="IRNazanin" w:eastAsia="IRNazanin"/>
          <w:color w:val="111111"/>
          <w:sz w:val="28"/>
          <w:sz w:val="28"/>
          <w:szCs w:val="28"/>
          <w:rtl w:val="true"/>
          <w:lang w:bidi="fa-IR"/>
        </w:rPr>
        <w:t>لا تنتفعوا من المیتة بإهاب ولا عصب؛</w:t>
      </w:r>
      <w:r>
        <w:rPr>
          <w:rStyle w:val="FootnoteAnchor"/>
          <w:rtl w:val="true"/>
        </w:rPr>
        <w:footnoteReference w:id="579"/>
      </w:r>
      <w:r>
        <w:rPr>
          <w:rFonts w:ascii="IRNazanin" w:hAnsi="IRNazanin" w:eastAsia="IRNazanin"/>
          <w:color w:val="111111"/>
          <w:sz w:val="28"/>
          <w:sz w:val="28"/>
          <w:szCs w:val="28"/>
          <w:rtl w:val="true"/>
          <w:lang w:bidi="fa-IR"/>
        </w:rPr>
        <w:t>از پوست و رگ و پی میته استفاده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دیگر از امیر المومنین علیه السلام در کتاب دعائم الاسلام نقل شده که 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ینتفع من المیتة باهاب ولا عظم ولا عصب؛</w:t>
      </w:r>
      <w:r>
        <w:rPr>
          <w:rStyle w:val="FootnoteAnchor"/>
          <w:rtl w:val="true"/>
        </w:rPr>
        <w:footnoteReference w:id="580"/>
      </w:r>
      <w:r>
        <w:rPr>
          <w:rFonts w:ascii="IRNazanin" w:hAnsi="IRNazanin" w:eastAsia="IRNazanin"/>
          <w:color w:val="111111"/>
          <w:sz w:val="28"/>
          <w:sz w:val="28"/>
          <w:szCs w:val="28"/>
          <w:rtl w:val="true"/>
          <w:lang w:bidi="fa-IR"/>
        </w:rPr>
        <w:t>از پوست و استخوان و رگ میته نباید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روایت، دو حدیث مستقل نیستند؛ بلکه همان روایت دوم‌اند که با روایت سوم متّحد بود؛ لیکن اگر آنها را به عنوان دو روایت مستقل در نظر بگیریم، همان بحثی که دربارۀ روایت دهم مطرح شد، دربارۀ آنها نیز مطرح خواهد شد؛ یعنی اگر همچون امام خمینی قدس سره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این‌گونه جملات، قضیّۀ مهمله است و اطلاق و تقیید ندارد، در این صورت، این دو روایت نمی‌توانند بر حرمت همۀ انتفاعات دلالت کنند؛ ولی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اطلاق دارد، این دو روایت بر حرمت همۀ انتفاعات مردار دلالت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همان‌گونه که در روایت دهم نیز گفته شد، 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کراهت دلالت دارد یا حرمت اختلاف است و برای تشخیص آن، به قرینه نیاز داریم، و چه بسا با بررسی روایات مجوزّه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ادامه مورد بررسی قرار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حمل بر کراهت شود</w:t>
      </w:r>
      <w:r>
        <w:rPr>
          <w:rFonts w:eastAsia="IRNazanin" w:cs="IRNazanin"/>
          <w:color w:val="111111"/>
          <w:sz w:val="28"/>
          <w:szCs w:val="28"/>
          <w:rtl w:val="true"/>
          <w:lang w:bidi="fa-IR"/>
        </w:rPr>
        <w:t>.</w:t>
      </w:r>
    </w:p>
    <w:p>
      <w:pPr>
        <w:pStyle w:val="Heading6"/>
        <w:numPr>
          <w:ilvl w:val="5"/>
          <w:numId w:val="1"/>
        </w:numPr>
        <w:rPr/>
      </w:pPr>
      <w:bookmarkStart w:id="694" w:name="__RefHeading___Toc2531223_1468164448"/>
      <w:bookmarkStart w:id="695" w:name="_Toc267"/>
      <w:bookmarkEnd w:id="694"/>
      <w:r>
        <w:rPr>
          <w:rtl w:val="true"/>
        </w:rPr>
        <w:t>ج</w:t>
      </w:r>
      <w:r>
        <w:rPr>
          <w:rtl w:val="true"/>
        </w:rPr>
        <w:t xml:space="preserve">) </w:t>
      </w:r>
      <w:r>
        <w:rPr>
          <w:rtl w:val="true"/>
        </w:rPr>
        <w:t>نتیجۀ بررسی روایات حرمت</w:t>
      </w:r>
      <w:bookmarkEnd w:id="695"/>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 و پس از بررسی روایات مانعه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دو روایت معتبر وجود دارد که بر حرمت همۀ انتفاعات میته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روایت چهارم که صحیحۀ کاهلی بود و دیگری روایت نهم که در تحف العقول نقل شده است؛ لیکن بقیّۀ روایات</w:t>
      </w:r>
      <w:bookmarkStart w:id="696" w:name="pg13785_135206"/>
    </w:p>
    <w:p>
      <w:pPr>
        <w:pStyle w:val="BookText"/>
        <w:rPr/>
      </w:pPr>
      <w:bookmarkEnd w:id="696"/>
      <w:r>
        <w:rPr>
          <w:rFonts w:ascii="IRNazanin" w:hAnsi="IRNazanin" w:eastAsia="IRNazanin"/>
          <w:color w:val="111111"/>
          <w:sz w:val="28"/>
          <w:sz w:val="28"/>
          <w:szCs w:val="28"/>
          <w:rtl w:val="true"/>
          <w:lang w:bidi="fa-IR"/>
        </w:rPr>
        <w:t>یا مربوط به بعضی از انتفاعات بودند و یا اشکال سندی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روایت اوّل، بر عدم جواز پوست مردار دلالت می‌کرد، ولی بر حرمت سایر اجزا دلالت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روایت دوم و پنجم و ششم و هفتم نیز ضعیف السند بودند</w:t>
      </w:r>
      <w:r>
        <w:rPr>
          <w:rFonts w:eastAsia="IRNazanin" w:cs="IRNazanin"/>
          <w:color w:val="111111"/>
          <w:sz w:val="28"/>
          <w:szCs w:val="28"/>
          <w:rtl w:val="true"/>
          <w:lang w:bidi="fa-IR"/>
        </w:rPr>
        <w:t>.</w:t>
      </w:r>
    </w:p>
    <w:p>
      <w:pPr>
        <w:pStyle w:val="Heading5"/>
        <w:numPr>
          <w:ilvl w:val="4"/>
          <w:numId w:val="1"/>
        </w:numPr>
        <w:rPr/>
      </w:pPr>
      <w:bookmarkStart w:id="697" w:name="__RefHeading___Toc2531225_1468164448"/>
      <w:bookmarkStart w:id="698" w:name="_Toc268"/>
      <w:bookmarkEnd w:id="697"/>
      <w:r>
        <w:rPr>
          <w:rtl w:val="true"/>
        </w:rPr>
        <w:t>بند دوم</w:t>
      </w:r>
      <w:r>
        <w:rPr>
          <w:rtl w:val="true"/>
        </w:rPr>
        <w:t xml:space="preserve">: </w:t>
      </w:r>
      <w:r>
        <w:rPr>
          <w:rtl w:val="true"/>
        </w:rPr>
        <w:t>ادلّۀ جواز انتفاع از مردار</w:t>
      </w:r>
      <w:bookmarkEnd w:id="698"/>
    </w:p>
    <w:p>
      <w:pPr>
        <w:pStyle w:val="Heading6"/>
        <w:numPr>
          <w:ilvl w:val="5"/>
          <w:numId w:val="1"/>
        </w:numPr>
        <w:rPr/>
      </w:pPr>
      <w:bookmarkStart w:id="699" w:name="__RefHeading___Toc2531227_1468164448"/>
      <w:bookmarkStart w:id="700" w:name="_Toc269"/>
      <w:bookmarkEnd w:id="699"/>
      <w:r>
        <w:rPr>
          <w:rtl w:val="true"/>
        </w:rPr>
        <w:t>الف</w:t>
      </w:r>
      <w:r>
        <w:rPr>
          <w:rtl w:val="true"/>
        </w:rPr>
        <w:t xml:space="preserve">) </w:t>
      </w:r>
      <w:r>
        <w:rPr>
          <w:rtl w:val="true"/>
        </w:rPr>
        <w:t>روایت نخست</w:t>
      </w:r>
      <w:r>
        <w:rPr>
          <w:rtl w:val="true"/>
        </w:rPr>
        <w:t>:</w:t>
      </w:r>
      <w:bookmarkEnd w:id="700"/>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الصَّفَّارُ عَنْ مُحَمَّدِ بْنِ عِیسَی بْنِ عُبَیْدٍ عَنْ أَبِی الْقَاسِمِ الصَّیْقَلِ وَوَلَدِهِ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کَتَبُوا إِلَی الرَّجُلِ علیه السلام جَعَلَنَا اللّهُ فِدَاکَ إِنَّا قَوْمٌ نَعْمَلُ السُّیُوفَ وَلَیْسَتْ لَنَا مَعِیشَةٌ وَلَا تِجَارَةٌ غَیْرُهَا وَنَحْنُ مُضْطَرُّونَ إِلَیْهَا وَإِنَّمَا عِلَاجُنَا مِنْ جُلُودِ الْمَیْتَةِ مِنَ الْبِغَالِ وَالْحَمِیرِ الْأَهْلِیَّةِ لَایَجُوزُ فِی أَعْمَالِنَا غَیْرُهَا فَیَحِلُّ لَنَا عَمَلُهَا وَشِرَاؤُهَا وَبَیْعُهَا وَمَسُّهَا بِأَیْدِینَا وَثِیَابِنَا وَنَحْنُ نُصَلِّی فِی ثِیَابِنَا وَنَحْنُ مُحْتَاجُونَ إِلَی جَوَابِکَ فِی هَذِهِ الْمَسْأَلَةِ یَا سَیِّدَنَا لِضَرُورَتِنَا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فَکَتَبَ علیه السلام اجْعَلْ ثَوْباً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وَکَتَبْتُ إِلَیْهِ جُعِلْتُ فِدَاکَ وَقَوَائِمُ السَّیْفِ الَّتِی تُسَمَّی السَّفَنَ أَتَّخِذُهَا مِنْ جُلُودِ السَّمَکِ فَهَلْ یَجُوزُ لِیَ الْعَمَلُ بِهَا وَلَسْنَا نَأْکُلُ لُحُومَهَا؟ فَکَتَبَ علیه السلام لَابَأْسَ بِهِ؛</w:t>
      </w:r>
      <w:r>
        <w:rPr>
          <w:rStyle w:val="FootnoteAnchor"/>
          <w:rtl w:val="true"/>
        </w:rPr>
        <w:footnoteReference w:id="581"/>
      </w:r>
      <w:r>
        <w:rPr>
          <w:rFonts w:ascii="IRNazanin" w:hAnsi="IRNazanin" w:eastAsia="IRNazanin"/>
          <w:color w:val="111111"/>
          <w:sz w:val="28"/>
          <w:sz w:val="28"/>
          <w:szCs w:val="28"/>
          <w:rtl w:val="true"/>
          <w:lang w:bidi="fa-IR"/>
        </w:rPr>
        <w:t>در نامه‌ای از امام علیه السلام پرسیده‌اند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قومی هستیم که شمشیر می‌سازیم و غیر از آن معیشتی نداریم و به آن محتاجیم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کار خود از پوست مردار، قاطر و الاغ اهلی استفاده می‌کنیم و امکان تغییر شغل برایمان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حلال است؟ خرید و فروش و تماس با دست و لباس خود و همچنین نماز خواندن در آن لباس‌ها چطور؟ امام علیه السلام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خواندن لباس دیگری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پرسیده شده است که حکم پوست خشنی که بر دستۀ شمشیرها قرار می‌دهیم چیست؟ آیا جایز است از آن استفاده کنیم، در حالی که</w:t>
      </w:r>
    </w:p>
    <w:p>
      <w:pPr>
        <w:pStyle w:val="BookText"/>
        <w:rPr/>
      </w:pPr>
      <w:r>
        <w:rPr>
          <w:rFonts w:ascii="IRNazanin" w:hAnsi="IRNazanin" w:eastAsia="IRNazanin"/>
          <w:color w:val="111111"/>
          <w:sz w:val="28"/>
          <w:sz w:val="28"/>
          <w:szCs w:val="28"/>
          <w:rtl w:val="true"/>
          <w:lang w:bidi="fa-IR"/>
        </w:rPr>
        <w:t>آن را از پوست ماهی أخذ می‌کنیم امّا چیزی از آن نمی‌خوریم؟ امام علیه السلام فرمودند،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گفتگو دربارۀ دلالت این روایت، تذکّر چند مطلب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عقیدۀ علاّمۀ مجلسی قدس سره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روایت، محمّد بن عیسی است و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ابی القاسم صیقل و پسرش،</w:t>
      </w:r>
      <w:r>
        <w:rPr>
          <w:rStyle w:val="FootnoteAnchor"/>
          <w:rtl w:val="true"/>
        </w:rPr>
        <w:footnoteReference w:id="582"/>
      </w:r>
      <w:r>
        <w:rPr>
          <w:rFonts w:ascii="IRNazanin" w:hAnsi="IRNazanin" w:eastAsia="IRNazanin"/>
          <w:color w:val="111111"/>
          <w:sz w:val="28"/>
          <w:sz w:val="28"/>
          <w:szCs w:val="28"/>
          <w:rtl w:val="true"/>
          <w:lang w:bidi="fa-IR"/>
        </w:rPr>
        <w:t>و شاید علّت جمع آمدن ضمیر این باشد که شخصی غیر از این دو نیز در کتابت نامه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رجل در روایات دیگر، امام حسن عسکری علیه السلام است؛ امّا با توجّه به قرائنی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این‌که در این‌جا نیز مراد از رجل، امام حسن عسکری علیه السلام باشد ضعیف است؛ چراکه فرزند أبی القاسم صیقل در روایت دیگری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 الرضا علیه السلام</w:t>
      </w:r>
      <w:r>
        <w:rPr>
          <w:rFonts w:eastAsia="IRNazanin" w:cs="IRNazanin"/>
          <w:color w:val="111111"/>
          <w:sz w:val="28"/>
          <w:szCs w:val="28"/>
          <w:rtl w:val="true"/>
          <w:lang w:bidi="fa-IR"/>
        </w:rPr>
        <w:t>»</w:t>
      </w:r>
      <w:r>
        <w:rPr>
          <w:rStyle w:val="FootnoteAnchor"/>
          <w:rtl w:val="true"/>
        </w:rPr>
        <w:footnoteReference w:id="583"/>
      </w:r>
      <w:r>
        <w:rPr>
          <w:rFonts w:ascii="IRNazanin" w:hAnsi="IRNazanin" w:eastAsia="IRNazanin"/>
          <w:color w:val="111111"/>
          <w:sz w:val="28"/>
          <w:sz w:val="28"/>
          <w:szCs w:val="28"/>
          <w:rtl w:val="true"/>
          <w:lang w:bidi="fa-IR"/>
        </w:rPr>
        <w:t>و اگر فرزند وی در زمان امام رضا علیه السلام حاضر بوده، چگونه پدرش در زمان امام حسن عسکری علیه السلام با ایشان مکاتبه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بعید است که مراد از رجل در این روایت، امام حسن عسکری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هر حال، مراد امام معصوم علیه السلام است و این مطلب، از تعابیری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 اللّه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اساتید آورده‌اند که مراد، حضرت رضا علیه السلام است؛ زیرا در روایتی که از نظر مضمون شبیه این روایت است و با آن اتّحاد در مضمون دارد، از امام هشتم علیه السلام نقل نموده است</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و طریق شیخ طوسی به محمّد بن حسن صفّار معتبر است، و نفرات دیگری که در این سند وجود دارند نیز موثّق‌اند؛ امّا در هیچ یک از کتب رجالی از ابوالقاسم صیقل نامی نبرده‌اند و او مجهول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محدّث نوری در خاتمۀ</w:t>
      </w:r>
    </w:p>
    <w:p>
      <w:pPr>
        <w:pStyle w:val="BookText"/>
        <w:rPr/>
      </w:pPr>
      <w:r>
        <w:rPr>
          <w:rFonts w:ascii="IRNazanin" w:hAnsi="IRNazanin" w:eastAsia="IRNazanin"/>
          <w:color w:val="111111"/>
          <w:sz w:val="28"/>
          <w:sz w:val="28"/>
          <w:szCs w:val="28"/>
          <w:rtl w:val="true"/>
          <w:lang w:bidi="fa-IR"/>
        </w:rPr>
        <w:t xml:space="preserve">مستدرک ایشان را از ثقات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با این حال چون راوی این مکاتبه، محمّد بن عیسی بن عبید است، به سند آن خدشه وارد نمی‌شود،</w:t>
      </w:r>
      <w:r>
        <w:rPr>
          <w:rStyle w:val="FootnoteAnchor"/>
          <w:rtl w:val="true"/>
        </w:rPr>
        <w:footnoteReference w:id="585"/>
      </w:r>
      <w:r>
        <w:rPr>
          <w:rFonts w:ascii="IRNazanin" w:hAnsi="IRNazanin" w:eastAsia="IRNazanin"/>
          <w:color w:val="111111"/>
          <w:sz w:val="28"/>
          <w:sz w:val="28"/>
          <w:szCs w:val="28"/>
          <w:rtl w:val="true"/>
          <w:lang w:bidi="fa-IR"/>
        </w:rPr>
        <w:t xml:space="preserve">هرچند آن کسی که نامه را نوشته است موثّق نباشد؛ چراکه شرط حجّیت خبر، وثوق راوی است و در این روایت نیز محمّد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ثقه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نگاری این چند نفر با امام علیه السلام و پاسخ ایشان را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اگر أبی القاسم صیقل، خودش نقل می‌کرد که نامه‌ای نوشته و پاسخش این است، آن‌گاه سند روایت با مشکل مواجه بود؛ ولی اکنون که محمّد بن عیسی به این نامه‌نگاری شهادت می‌دهد، سند روایت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این‌که فاضل سبزواری در ذخیرة المعاد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ضعیف لجهالة الراوی</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طریقها محمّد بن عیسی وفیه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هرگز صحیح نیست؛ بلکه سخن مجلسی دوم که در ملاذ الأخیار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علی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8"/>
      </w:r>
      <w:r>
        <w:rPr>
          <w:rFonts w:ascii="IRNazanin" w:hAnsi="IRNazanin" w:eastAsia="IRNazanin"/>
          <w:color w:val="111111"/>
          <w:sz w:val="28"/>
          <w:sz w:val="28"/>
          <w:szCs w:val="28"/>
          <w:rtl w:val="true"/>
          <w:lang w:bidi="fa-IR"/>
        </w:rPr>
        <w:t>صحیح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صاحب ینابیع دربارۀ این روایت، مسئلۀ اعراض مشهور را مطرح می‌کند،</w:t>
      </w:r>
      <w:r>
        <w:rPr>
          <w:rStyle w:val="FootnoteAnchor"/>
          <w:rtl w:val="true"/>
        </w:rPr>
        <w:footnoteReference w:id="589"/>
      </w:r>
      <w:r>
        <w:rPr>
          <w:rFonts w:ascii="IRNazanin" w:hAnsi="IRNazanin" w:eastAsia="IRNazanin"/>
          <w:color w:val="111111"/>
          <w:sz w:val="28"/>
          <w:sz w:val="28"/>
          <w:szCs w:val="28"/>
          <w:rtl w:val="true"/>
          <w:lang w:bidi="fa-IR"/>
        </w:rPr>
        <w:t>در حالی که جماعت زیادی از فقها به جواز برخی از انتفاعات از میته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نمی‌توان اعراض فقها را احراز نمود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برخی نیز با استناد به این‌که در سند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 عن أبی القاسم صیقل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معتقدند که به قرینۀ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عیسی از ابی القاسم نقل روایت می‌کند؛ امّا این اشکال صحیح نیست؛ زیرا در این‌صورت باید در روایت به جای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در نسخۀ وسائل الشیعة،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به صورت ماضی غایب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خود می‌تواند شاهد محکمی بر ادّعای ما باشد</w:t>
      </w:r>
      <w:r>
        <w:rPr>
          <w:rFonts w:eastAsia="IRNazanin" w:cs="IRNazanin"/>
          <w:color w:val="111111"/>
          <w:sz w:val="28"/>
          <w:szCs w:val="28"/>
          <w:rtl w:val="true"/>
          <w:lang w:bidi="fa-IR"/>
        </w:rPr>
        <w:t>.</w:t>
      </w:r>
      <w:bookmarkStart w:id="701" w:name="pg13785_135209"/>
    </w:p>
    <w:p>
      <w:pPr>
        <w:pStyle w:val="Heading6"/>
        <w:numPr>
          <w:ilvl w:val="5"/>
          <w:numId w:val="1"/>
        </w:numPr>
        <w:rPr/>
      </w:pPr>
      <w:bookmarkStart w:id="702" w:name="__RefHeading___Toc2531229_1468164448"/>
      <w:bookmarkStart w:id="703" w:name="_Toc270"/>
      <w:bookmarkEnd w:id="701"/>
      <w:bookmarkEnd w:id="702"/>
      <w:r>
        <w:rPr/>
        <w:t>1</w:t>
      </w:r>
      <w:r>
        <w:rPr>
          <w:rtl w:val="true"/>
        </w:rPr>
        <w:t xml:space="preserve">- </w:t>
      </w:r>
      <w:r>
        <w:rPr>
          <w:rtl w:val="true"/>
        </w:rPr>
        <w:t>تقریب استدلال</w:t>
      </w:r>
      <w:bookmarkEnd w:id="703"/>
    </w:p>
    <w:p>
      <w:pPr>
        <w:pStyle w:val="BookText"/>
        <w:rPr/>
      </w:pPr>
      <w:r>
        <w:rPr>
          <w:rFonts w:ascii="IRNazanin" w:hAnsi="IRNazanin" w:eastAsia="IRNazanin"/>
          <w:color w:val="111111"/>
          <w:sz w:val="28"/>
          <w:sz w:val="28"/>
          <w:szCs w:val="28"/>
          <w:rtl w:val="true"/>
          <w:lang w:bidi="fa-IR"/>
        </w:rPr>
        <w:t>روش استدلال به این روایت،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دربارۀ انتفاع از پوست مردار و برخورد آن با دست و لباس سکوت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سائل بر این نکته پافشاری کرده است که ما به پاسخ شما نیازمندیم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محتاجون علی جوابک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سکوت امام علیه السلام بهترین دلیل است بر این‌که ایشان جواز انتفاع را تقریر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ما از این روایت، جواز انتفاع از مردار را به صورت مطلق استفاده می‌کنیم؛ زیرا امام علیه السلام در پاسخ به پرسش‌های گوناگون سائل و تأکید او بر این‌که من به پاسخ نیازمندم، تنها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نماز از لباس دیگری استفاده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ذیل روایت نیز در پاسخ به سائل، استفاده از پوست ماهی‌های مرده را فاقد اشکال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اساس متن روایت، استفاده از مردار و اجزای آن در غیر از خوردن و نماز خواندن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قدس سره به چند نکتۀ قابل تأمّل پیرامون این روایت، اشاره می‌نماید و در نهایت، همچون محقّق خویی</w:t>
      </w:r>
      <w:r>
        <w:rPr>
          <w:rStyle w:val="FootnoteAnchor"/>
          <w:rtl w:val="true"/>
        </w:rPr>
        <w:footnoteReference w:id="590"/>
      </w:r>
      <w:r>
        <w:rPr>
          <w:rFonts w:ascii="IRNazanin" w:hAnsi="IRNazanin" w:eastAsia="IRNazanin"/>
          <w:color w:val="111111"/>
          <w:sz w:val="28"/>
          <w:sz w:val="28"/>
          <w:szCs w:val="28"/>
          <w:rtl w:val="true"/>
          <w:lang w:bidi="fa-IR"/>
        </w:rPr>
        <w:t>و دیگر فقها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ظاهرة الدلالة علی جواز بیع جلد المیتة وشرائه وسائر الإستفادات منه</w:t>
      </w:r>
      <w:r>
        <w:rPr>
          <w:rFonts w:eastAsia="IRNazanin" w:cs="IRNazanin"/>
          <w:color w:val="111111"/>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این روایت بر جواز خرید و فروش پوست مردار و سایر انتفاعات از آن دلالت می‌کند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بررسی نکته‌های یاد شده در کلام ایشان، بدون فایده نخواهد بود، در ادامه دربارۀ آنها گفتگو خواهیم کرد؛ لیکن پیش از بررسی این نکات، باید مطلبی روشن شود و آن این است که در بحث جواز انتفاع از مردار، مقصود از انتفاع چیست؟</w:t>
      </w:r>
      <w:bookmarkStart w:id="704" w:name="pg13785_135210"/>
    </w:p>
    <w:p>
      <w:pPr>
        <w:pStyle w:val="Heading6"/>
        <w:numPr>
          <w:ilvl w:val="5"/>
          <w:numId w:val="1"/>
        </w:numPr>
        <w:rPr/>
      </w:pPr>
      <w:bookmarkStart w:id="705" w:name="__RefHeading___Toc2531231_1468164448"/>
      <w:bookmarkStart w:id="706" w:name="_Toc271"/>
      <w:bookmarkEnd w:id="704"/>
      <w:bookmarkEnd w:id="705"/>
      <w:r>
        <w:rPr/>
        <w:t>2</w:t>
      </w:r>
      <w:r>
        <w:rPr>
          <w:rtl w:val="true"/>
        </w:rPr>
        <w:t xml:space="preserve">- </w:t>
      </w:r>
      <w:r>
        <w:rPr>
          <w:rtl w:val="true"/>
        </w:rPr>
        <w:t>معنای انتفاع</w:t>
      </w:r>
      <w:bookmarkEnd w:id="706"/>
    </w:p>
    <w:p>
      <w:pPr>
        <w:pStyle w:val="BookText"/>
        <w:rPr/>
      </w:pPr>
      <w:r>
        <w:rPr>
          <w:rFonts w:ascii="IRNazanin" w:hAnsi="IRNazanin" w:eastAsia="IRNazanin"/>
          <w:color w:val="111111"/>
          <w:sz w:val="28"/>
          <w:sz w:val="28"/>
          <w:szCs w:val="28"/>
          <w:rtl w:val="true"/>
          <w:lang w:bidi="fa-IR"/>
        </w:rPr>
        <w:t>در این‌جا دو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این انتفاع، این است که انسان به‌طور مستقیم با مردار مرتبط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مکلّف، لباس، کمربند و کفشی را که از پوست مردار تهیه شده بپوشد، و یا بخش جداشده از بدن حیوان یا انسان دیگر را به بدن خود پیوند بزند،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حال حاضر شایع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برخی از اجزای بدن از مردار استفاده کند، مانند این‌که وقتی غضروف در بدن او از بین می‌رود، از استخوان حیوان به عنوان غضروف استفاده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انتفاع، حتّی شامل استفادۀ غیر مستقیم هم می‌شود، مثل این‌که از پوست مردار، طناب درست کرده و این طناب را به دلو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ظاهر کلام برخی از بزرگان این است که اگر مردار حیوانی را برای خوراک حیوان دیگری مورد استفاده قرار دهند نیز انتفاع صدق می‌کند، هرچند ما پیش‌تر گفتیم که ظاهراً این گونه موارد، از محلّ بحث خارج‌اند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که احتمال دوم صحیح است؛ زیرا در مواردی که مردار به‌طور مستقیم با انسان تماس پیدا می‌کند، تردیدی نیست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می‌کند؛ ولی در مواردی که ارتباط مستقیم وجود ندارد نیز هرچند این انتفاع مستقیماً به خود انسان مربوط نیست، ولی انسان از آن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ظاهر این است که بحث ما همۀ این موارد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ببینیم که آیا این گونه انتفاع از مردار نیز جایز است یا نه؟</w:t>
      </w:r>
    </w:p>
    <w:p>
      <w:pPr>
        <w:pStyle w:val="BookText"/>
        <w:rPr/>
      </w:pPr>
      <w:r>
        <w:rPr>
          <w:rFonts w:ascii="IRNazanin" w:hAnsi="IRNazanin" w:eastAsia="IRNazanin"/>
          <w:color w:val="111111"/>
          <w:sz w:val="28"/>
          <w:sz w:val="28"/>
          <w:szCs w:val="28"/>
          <w:rtl w:val="true"/>
          <w:lang w:bidi="fa-IR"/>
        </w:rPr>
        <w:t>بر این اساس، ما باید از راه بررسی روایات مجوّزه، پاسخی برای این پرسش پیدا کنیم</w:t>
      </w:r>
      <w:r>
        <w:rPr>
          <w:rFonts w:eastAsia="IRNazanin" w:cs="IRNazanin"/>
          <w:color w:val="111111"/>
          <w:sz w:val="28"/>
          <w:szCs w:val="28"/>
          <w:rtl w:val="true"/>
          <w:lang w:bidi="fa-IR"/>
        </w:rPr>
        <w:t>.</w:t>
      </w:r>
    </w:p>
    <w:p>
      <w:pPr>
        <w:pStyle w:val="Heading6"/>
        <w:numPr>
          <w:ilvl w:val="5"/>
          <w:numId w:val="1"/>
        </w:numPr>
        <w:rPr/>
      </w:pPr>
      <w:bookmarkStart w:id="707" w:name="__RefHeading___Toc2531233_1468164448"/>
      <w:bookmarkStart w:id="708" w:name="_Toc272"/>
      <w:bookmarkEnd w:id="707"/>
      <w:r>
        <w:rPr/>
        <w:t>3</w:t>
      </w:r>
      <w:r>
        <w:rPr>
          <w:rtl w:val="true"/>
        </w:rPr>
        <w:t xml:space="preserve">- </w:t>
      </w:r>
      <w:r>
        <w:rPr>
          <w:rtl w:val="true"/>
        </w:rPr>
        <w:t>بررسی کلمات امام خمینی</w:t>
      </w:r>
      <w:bookmarkEnd w:id="708"/>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روشن شدن معنای انتفاع، باید به بررسی نکته هایی بپردازیم که در کلام امام خمینی قدس سره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نکتۀ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اولین نکته‌ای که در کلام امام خمینی قدس سره ذکر شده، این است که ایشان ادّعا می‌کند که در کتابت این روایت، یک اشتباه رخ داده است؛ زیرا حتّی اگر قطع نداشته باشیم، دست‌کم ظنّ قوی داریم به این‌که به جای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نعمل السیوف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نغمد السیوف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باشد؛ چراکه غمد و تغمید و اغماد است که به معنای ساختن غلاف و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این مطلب، روایتی است که در آن قاسم صیقل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فرزند ابوالقاسم صیقل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w:t>
      </w:r>
      <w:r>
        <w:rPr>
          <w:rFonts w:eastAsia="IRNazanin" w:cs="IRNazanin"/>
          <w:color w:val="111111"/>
          <w:sz w:val="28"/>
          <w:szCs w:val="28"/>
          <w:rtl w:val="true"/>
          <w:lang w:bidi="fa-IR"/>
        </w:rPr>
        <w:t>.</w:t>
      </w:r>
      <w:r>
        <w:rPr>
          <w:rStyle w:val="FootnoteAnchor"/>
          <w:rtl w:val="true"/>
        </w:rPr>
        <w:footnoteReference w:id="592"/>
      </w:r>
      <w:r>
        <w:rPr>
          <w:rFonts w:ascii="IRNazanin" w:hAnsi="IRNazanin" w:eastAsia="IRNazanin"/>
          <w:color w:val="111111"/>
          <w:sz w:val="28"/>
          <w:sz w:val="28"/>
          <w:szCs w:val="28"/>
          <w:rtl w:val="true"/>
          <w:lang w:bidi="fa-IR"/>
        </w:rPr>
        <w:t>شاهد دوم هم این است که در زمان قدیم شغل شمشیرسازی و شغل غلاف‌سازی از هم جدا بوده و هر کسی عهده‌دار یکی از آنها می‌شده است؛ یعنی این گونه نبوده که یک شخص، هم شمشیر بسازد و هم جلد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سیوف، اعم از این‌که به معنای ساختن شمشیر باشد، یا به معنای صیقل دادن آن، شغلی غیر از تغمید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و فرزندش نیز به کار تغمید مشغول بوده‌اند؛ چرا که اگر شغل آنها ساختن شمشیر بود، دیگر نیازی به ساختن جلد آن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این مطلب،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لنا معیشة ولا تجارة ونحن مضطرّون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حالی که در آن زمان، ساختن شمشیر بسیار شایع بوده است و صانع شمشیر، به عمل جلود نیازمند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شکّی نیست که شغل ابوالقاسم صیقل و پسرش، همان اغماد سیوف، و پرسش آنان دربارۀ خرید و فروش میته و کار کردن با آن و مسّ آن بوده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به نظر می‌رسد که این قرائن نمی‌تواند ادّعای امام خمینی قدس سره را ثابت کند؛ زیرا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عمل سیف، کار جداگانه‌ای بوده است، پس مراد سائل فقط خصوص جلدسازی است، فقط می‌تواند یک شاهد ظنی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آن‌که افرادی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القاسم صیقل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سؤال را پرسیده‌اند،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بوده‌اند و این شهرت ظاهرش این است که آنها هر دو عمل را انجام می‌داده‌اند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بعید است که بگوییم عدّه‌ای شمشیر را درست می‌کردند و ساخت جلدش را برای دیگری می‌گذاشتند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اساتید</w:t>
      </w:r>
      <w:r>
        <w:rPr>
          <w:rStyle w:val="FootnoteAnchor"/>
          <w:rtl w:val="true"/>
        </w:rPr>
        <w:footnoteReference w:id="593"/>
      </w:r>
      <w:r>
        <w:rPr>
          <w:rFonts w:ascii="IRNazanin" w:hAnsi="IRNazanin" w:eastAsia="IRNazanin"/>
          <w:color w:val="111111"/>
          <w:sz w:val="28"/>
          <w:sz w:val="28"/>
          <w:szCs w:val="28"/>
          <w:rtl w:val="true"/>
          <w:lang w:bidi="fa-IR"/>
        </w:rPr>
        <w:t>در اشکال بر امام خمینی قدس سره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السیوف یطلق علی تصقیلها أیضاً، 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تصقیلها کان بسبب الجلود والخشنة الضخیمة،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علاجنا من جلود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به أنّ عمل التصقیل لا یحصل إلّابها فلیس فی الروایة الاُولی اسم من الإغماد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که این اشکال وارد نیست؛ زیرا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سیوف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اینها را شامل می‌شود؛ یعنی هم ساخت سیوف و هم تصقیل و هم اغتماد را، و شاهدی نداریم که عمل سیوف منحصر به تصقیل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آن است که صاحب دراسات در دنبالۀ همین مطلب آورده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أبا القاسم و ولده کانوا التصدّین لجمیع الأعمال الراجعة إلی السیوف من الصنع والتصقیل والإغماد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دومی که امام خمینی قدس سره به آن اشاره کرده‌اند این است که جناب شیخ انصاری قدس سره این روایت را فقط بر بیع شمشیر، حمل کرده است نه بر بیع غلاف؛ یعنی به اعتقاد ایشان مقصود از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فیحلّ لنا عملها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بیع شمشیر است نه بیع غلاف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امام خمینی قدس سره این سخن را رد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با ظاهر روایت سازگاری ندارد، هرچند در روایت دیگری آمده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إلیه إنّی رجل صیقل، إشتری السیوف وأبیعها من السلطان</w:t>
      </w:r>
      <w:r>
        <w:rPr>
          <w:rFonts w:eastAsia="IRNazanin" w:cs="IRNazanin"/>
          <w:color w:val="111111"/>
          <w:sz w:val="28"/>
          <w:szCs w:val="28"/>
          <w:rtl w:val="true"/>
          <w:lang w:bidi="fa-IR"/>
        </w:rPr>
        <w:t>»</w:t>
      </w:r>
      <w:r>
        <w:rPr>
          <w:rStyle w:val="FootnoteAnchor"/>
          <w:rtl w:val="true"/>
        </w:rPr>
        <w:footnoteReference w:id="594"/>
      </w:r>
      <w:r>
        <w:rPr>
          <w:rFonts w:ascii="IRNazanin" w:hAnsi="IRNazanin" w:eastAsia="IRNazanin"/>
          <w:color w:val="111111"/>
          <w:sz w:val="28"/>
          <w:sz w:val="28"/>
          <w:szCs w:val="28"/>
          <w:rtl w:val="true"/>
          <w:lang w:bidi="fa-IR"/>
        </w:rPr>
        <w:t>که ظاهرش بر بیع خود سیف دلالت دارد؛ لیکن</w:t>
      </w:r>
    </w:p>
    <w:p>
      <w:pPr>
        <w:pStyle w:val="BookText"/>
        <w:rPr/>
      </w:pPr>
      <w:r>
        <w:rPr>
          <w:rFonts w:ascii="IRNazanin" w:hAnsi="IRNazanin" w:eastAsia="IRNazanin"/>
          <w:color w:val="111111"/>
          <w:sz w:val="28"/>
          <w:sz w:val="28"/>
          <w:szCs w:val="28"/>
          <w:rtl w:val="true"/>
          <w:lang w:bidi="fa-IR"/>
        </w:rPr>
        <w:t>در روایت مورد بحث ما این گونه نیست که مقصود از آن فقط فروش شمشیر باشد؛ بلکه قطعاً فروش غلاف نیز مدّ نظر بوده است؛ یعنی از این روایت استفاده می‌شود که ایشان یا شمشیر را درست کرده و با غلاف آن، با هم می‌فروخته‌اند و یا دست‌کم، غلاف آن را به‌طور جداگانه به فروش می‌رسانده‌اند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قدس سره در ادامه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ابو القاسم و فرزندان او یا شمشیرها را می‌خریدند و برای آن غلاف ساخته و سپس به سلطان می‌فروخته‌اند، و یا شغلشان مختلف بوده و در زمانی غلاف و در زمان دیگری شمشیر درست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وی دارای دو گروه از کارگران بوده است که عدّه‌ای از آنها شمشیرها را می‌ساخته و صیقل می‌داده‌اند، و گروه دیگر برای شمشیرها جلد ساخته و می‌فروخته‌اند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به نظر می‌رسد که نه تنها این احتمالات فقط اموری حدسی هستند، بلکه جمع آنها با نکتۀ پیشین نیز دشوار است؛ زیرا ایشان در نکتۀ پیشین فرمود که این روایت فقط دربارۀ غلاف‌سازی برای شمشیر است، در حالی که در این‌جا قبول می‌کند که آن افراد، کار بر روی شمشیر نیز انجام می‌داده‌اند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قدس سره در نکتۀ سوم آورده‌اند که مقصود از اضطرار، آن عنوانی که موجب اباحۀ محرّمات می‌شود نیست؛ بلکه مراد، اضطرار در تجارت است؛ یعنی منظور آنان این بوده است که عمل تجاری ما به این کار وابستگی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با ظاهر کار رجل صقیل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سیوف را به سلطان می‌فروخت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خمینی قدس سره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وجهی ندارد که نسبت به استفاده از میته در بلاد مسلمین در عصر امام رضا و امام جواد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جلود ذکیّه فراوان بوده و ذبائح اهل سنّت، حلال و سوق آنان معتبر شمرده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اضطرار اصطلاحی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ظاهر روایت آن است که ابوالقاسم صیقل و پسرش مضطر به عمل سیوف و اغتماد آنها بوده‌اند، امّا نسبت به خصوص میته اضطراری نداشته‌اند و عبارت</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فی اعمالنا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عمل در خصوص میته نیست؛ بلکه مقصود، آن است که تجارت ما بدون ابتلا به میته نمی‌چرخد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ایشان با اشاره به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مضطروّن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توجیه این عبارت می‌توانیم دو روش را مطرح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نخست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اضطرار در این‌جا، اضطراری نیست که محرّمات را برای انسان مباح کند؛ یعنی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الضرورات تبیح المحذورات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صدق نمی‌کند؛ بلکه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تجارت ما با این کار عجین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مراد از اضطرار، نوعی احتیاج است نه اضطراری که محرّمات را جایز می‌کند؛ چراکه اگر اضطرار اصطلاحی قصد شده باشد، نمی‌توان جواز انتفاع از مردار را از روایت برداشت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دوم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ضمیر در عبارتِ یاد شده، ساختن غلاف شمشیر است؛ یعنی معنای عبارت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مجبوریم غلاف شمشیر بسازیم و انجام کاری غیر از آن برای ما فراهم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روایت این است که افرادِ یاد شده، به اصل اغماد مضطر بوده‌اند، نه به خود مردار؛ یعنی آنها چاره‌ای جز ساختن غلاف شمشیر نداشته‌اند، هرچند می‌توانستند بدون استفاده از مردار آن را بسازند؛ زیرا در 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قومٌ نعمل السیوف لیست لنا معیشة ولا تجارة غیرها ونحن مضطرّون إلیها وإنّما علاجنا جلود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روایت، این است که مورد روایت، اضطرار به پوست مردار است؛ یعنی کسانی که برای امام علیه السلام نامه نوشته‌اند، در کار خود به استفاده از پوست مردار مضطر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امام علیه السلام نیز بر اساس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الضرورات تبیح المحذورات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اجازه داده‌اند که از پوست مردار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مربوط به حالت اضطرار است و ربطی به بحث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امام علیه السلام دو راه مهم را برای حلّ اشکال مطرح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اضطرار، آن اضطراری که در قاعدۀ یاد شده آمده نیست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روایت، اضطرار به شمشیرسازی یا غلاف‌سازی است، نه خصوص</w:t>
      </w:r>
      <w:bookmarkStart w:id="709" w:name="pg13785_135215"/>
    </w:p>
    <w:p>
      <w:pPr>
        <w:pStyle w:val="BookText"/>
        <w:rPr/>
      </w:pPr>
      <w:bookmarkEnd w:id="709"/>
      <w:r>
        <w:rPr>
          <w:rFonts w:ascii="IRNazanin" w:hAnsi="IRNazanin" w:eastAsia="IRNazanin"/>
          <w:color w:val="111111"/>
          <w:sz w:val="28"/>
          <w:sz w:val="28"/>
          <w:szCs w:val="28"/>
          <w:rtl w:val="true"/>
          <w:lang w:bidi="fa-IR"/>
        </w:rPr>
        <w:t>استفاده از مردار؛ یعنی ایشان کارشان ساخت غلاف بوده است، نه این‌که اضطرار به استفاده از مردار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دیدگاه امام خمینی قدس سره،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فی أعمالنا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معنایش این است که تجارت ما با این می‌چرخد، نه این‌که عمل ما فقط با مردار باشد؛ یعنی روایت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غیر از جلد میته نمی‌توانیم کار دیگری کنیم؛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 ساختن جلد است و میته خصوصیتی ندارد، امّا در کارمان باید از میته هم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اساتید نسبت به این قسمت از فرمایش امام خمینی قدس سره تهافت را مطرح نموده‌اند که با دقّت، روشن می‌شود که تهافتی وجود ندارد فراجع</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محدّث بحرانی در الأنوار اللوامع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الحدیث یجب حمله علی الضرورة الشدیدة أو علی التقیّة ومن هنا أعرض عن الجواب صریحاً وإنّما أمره باتّخاذ ثوب لصلاته وما ذلک إلّامن أجلها</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به نظر می‌رسد که این مطلب تمام نیست؛ چرا که مراد از ضرورت همان احتیاج عرفی است و وجهی برای حمل بر تقیّه به 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باید به این نکته توجّه داشت که اگر از روایت، جواز انتفاع را به نحو مطلق استفاده نماییم، باید آن را به وسیلۀ روایات دیگر، به صورت اعلام و قصد منفعت محلّل، مقیّد کنیم</w:t>
      </w:r>
      <w:r>
        <w:rPr>
          <w:rFonts w:eastAsia="IRNazanin" w:cs="IRNazanin"/>
          <w:color w:val="111111"/>
          <w:sz w:val="28"/>
          <w:szCs w:val="28"/>
          <w:rtl w:val="true"/>
          <w:lang w:bidi="fa-IR"/>
        </w:rPr>
        <w:t>.</w:t>
      </w:r>
    </w:p>
    <w:p>
      <w:pPr>
        <w:pStyle w:val="Heading6"/>
        <w:numPr>
          <w:ilvl w:val="5"/>
          <w:numId w:val="1"/>
        </w:numPr>
        <w:rPr/>
      </w:pPr>
      <w:bookmarkStart w:id="710" w:name="__RefHeading___Toc2531235_1468164448"/>
      <w:bookmarkStart w:id="711" w:name="_Toc273"/>
      <w:bookmarkEnd w:id="710"/>
      <w:r>
        <w:rPr>
          <w:rtl w:val="true"/>
        </w:rPr>
        <w:t>ب</w:t>
      </w:r>
      <w:r>
        <w:rPr>
          <w:rtl w:val="true"/>
        </w:rPr>
        <w:t xml:space="preserve">) </w:t>
      </w:r>
      <w:r>
        <w:rPr>
          <w:rtl w:val="true"/>
        </w:rPr>
        <w:t>روایت دوم</w:t>
      </w:r>
      <w:r>
        <w:rPr>
          <w:rtl w:val="true"/>
        </w:rPr>
        <w:t>:</w:t>
      </w:r>
      <w:bookmarkEnd w:id="711"/>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عَلِیِّ بْنِ مَحْبُوبٍ عَنْ یَعْقُوبَ بْنِ یَزِیدَ عَنِ ابْنِ أَبِی عُمَیْرٍ عَنْ أَبِی زِیَادٍ النَّهْدِیِّ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جِلْدِ الْخِنْزِیرِ یُجْعَلُ دَلْواً یُسْتَقَی بِهِ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597"/>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w:t>
      </w:r>
      <w:bookmarkStart w:id="712" w:name="pg13785_135216"/>
    </w:p>
    <w:p>
      <w:pPr>
        <w:pStyle w:val="BookText"/>
        <w:rPr/>
      </w:pPr>
      <w:bookmarkEnd w:id="712"/>
      <w:r>
        <w:rPr>
          <w:rFonts w:ascii="IRNazanin" w:hAnsi="IRNazanin" w:eastAsia="IRNazanin"/>
          <w:color w:val="111111"/>
          <w:sz w:val="28"/>
          <w:sz w:val="28"/>
          <w:szCs w:val="28"/>
          <w:rtl w:val="true"/>
          <w:lang w:bidi="fa-IR"/>
        </w:rPr>
        <w:t>صادق علیه السلام در مورد پوست خوکی که با آن دلو درست شده و توسّط آن، از چاه آب کشیده می‌شود پرسیدم، که ایشان در پاسخ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به این نکته توجّه کنیم که در این روایت، پرسش راوی دربارۀ چیست؟ آیا زراره دربارۀ طهارت و نجاست پرسیده است یا دربارۀ انتفاع از پوست مردار؟ زیرا اگر مقصود او پرسش از طهارت و نجاست باشد، ربطی به بحث ما نخواهد داشت؛ لیکن اگر مقصود او سؤال دربارۀ انتفاع از پوست مردار باشد، این روایت با بحث ما ارتباط پیدا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ظاهراً مقصود راوی سؤال از انتفاع است؛ یعنی او می‌خواهد بداند که اگر بخواهیم از پوست خنزیر که یکی از مصادیق مردار است، برای آب دادن به حیوانات یا برای اشجار استفاده کنیم، چه حکمی دارد؟</w:t>
      </w:r>
    </w:p>
    <w:p>
      <w:pPr>
        <w:pStyle w:val="BookText"/>
        <w:rPr/>
      </w:pPr>
      <w:r>
        <w:rPr>
          <w:rFonts w:ascii="IRNazanin" w:hAnsi="IRNazanin" w:eastAsia="IRNazanin"/>
          <w:color w:val="111111"/>
          <w:sz w:val="28"/>
          <w:sz w:val="28"/>
          <w:szCs w:val="28"/>
          <w:rtl w:val="true"/>
          <w:lang w:bidi="fa-IR"/>
        </w:rPr>
        <w:t>به علاوه، در این روایت باید از خنزیر، الغای خصوصیت کنیم؛ یعنی کسی نباید توهّم کند که روایت فقط دلالت بر جواز انتفاع از پوست خنزیر دارد و اگر پوست کلب یا مردار دیگری بود، روایت شامل آن نمی‌شود؛ چراکه یقین داریم خنزیر خصوصیتی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انتفاعی که جایز است، فقط به مقداری است که موجب محذوری دیگری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موجب تنجّس خوردنی‌ها و آشامیدنی‌ها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این خنزیر دلوی را درست کنند و برای آبیاری زمین یا آب دادن به حیوان استفاده کنند، اشکالی ندارد</w:t>
      </w:r>
      <w:r>
        <w:rPr>
          <w:rFonts w:eastAsia="IRNazanin" w:cs="IRNazanin"/>
          <w:color w:val="111111"/>
          <w:sz w:val="28"/>
          <w:szCs w:val="28"/>
          <w:rtl w:val="true"/>
          <w:lang w:bidi="fa-IR"/>
        </w:rPr>
        <w:t>.</w:t>
      </w:r>
    </w:p>
    <w:p>
      <w:pPr>
        <w:pStyle w:val="Heading6"/>
        <w:numPr>
          <w:ilvl w:val="5"/>
          <w:numId w:val="1"/>
        </w:numPr>
        <w:rPr/>
      </w:pPr>
      <w:bookmarkStart w:id="713" w:name="__RefHeading___Toc2531237_1468164448"/>
      <w:bookmarkStart w:id="714" w:name="_Toc274"/>
      <w:bookmarkEnd w:id="713"/>
      <w:r>
        <w:rPr>
          <w:rtl w:val="true"/>
        </w:rPr>
        <w:t>ج</w:t>
      </w:r>
      <w:r>
        <w:rPr>
          <w:rtl w:val="true"/>
        </w:rPr>
        <w:t xml:space="preserve">) </w:t>
      </w:r>
      <w:r>
        <w:rPr>
          <w:rtl w:val="true"/>
        </w:rPr>
        <w:t>روایت سوم</w:t>
      </w:r>
      <w:r>
        <w:rPr>
          <w:rtl w:val="true"/>
        </w:rPr>
        <w:t>:</w:t>
      </w:r>
      <w:bookmarkEnd w:id="714"/>
    </w:p>
    <w:p>
      <w:pPr>
        <w:pStyle w:val="BookText"/>
        <w:rPr/>
      </w:pPr>
      <w:r>
        <w:rPr>
          <w:rFonts w:ascii="Amiri" w:hAnsi="Amiri" w:eastAsia="Amiri" w:cs="Amiri"/>
          <w:color w:val="111111"/>
          <w:sz w:val="28"/>
          <w:sz w:val="28"/>
          <w:szCs w:val="28"/>
          <w:rtl w:val="true"/>
          <w:lang w:bidi="ar-SA"/>
        </w:rPr>
        <w:t>مُحَمَّدُ بْنُ إِدْرِیسَ فِی آخِرِ السَّرَائِرِ</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نَقْلاً مِنْ جَامِعِ الْبَزَنْطِیِّ صَاحِبِ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تَکُونُ لَهُ الْغَنَمُ یَقْطَعُ مِنْ أَلَیَاتِهَا وَهِیَ أَحْیَاءٌ أَیَصْلُحُ لَهُ أَنْ یَنْتَفِعَ بِمَا قَطَعَ؟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یُذِیبُهَا وَیُسْرِجُ بِهَا وَلَا یَأْکُلُهَا وَلَا یَبِیعُهَا؛</w:t>
      </w:r>
      <w:r>
        <w:rPr>
          <w:rStyle w:val="FootnoteAnchor"/>
          <w:rtl w:val="true"/>
        </w:rPr>
        <w:footnoteReference w:id="598"/>
      </w:r>
      <w:r>
        <w:rPr>
          <w:rFonts w:ascii="IRNazanin" w:hAnsi="IRNazanin" w:eastAsia="IRNazanin"/>
          <w:color w:val="111111"/>
          <w:sz w:val="28"/>
          <w:sz w:val="28"/>
          <w:szCs w:val="28"/>
          <w:rtl w:val="true"/>
          <w:lang w:bidi="fa-IR"/>
        </w:rPr>
        <w:t>از امام رضا علیه السلام پرسیده شده است که آیا می‌توان از دنبه‌ای که از</w:t>
      </w:r>
    </w:p>
    <w:p>
      <w:pPr>
        <w:pStyle w:val="BookText"/>
        <w:rPr/>
      </w:pPr>
      <w:r>
        <w:rPr>
          <w:rFonts w:ascii="IRNazanin" w:hAnsi="IRNazanin" w:eastAsia="IRNazanin"/>
          <w:color w:val="111111"/>
          <w:sz w:val="28"/>
          <w:sz w:val="28"/>
          <w:szCs w:val="28"/>
          <w:rtl w:val="true"/>
          <w:lang w:bidi="fa-IR"/>
        </w:rPr>
        <w:t>گوسفند زنده قطع شده است، استفاده کرد؟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می‌تواند آن را آب کرده و به عنوان روغن چراغ استفاده کند ولی نباید آن را بخورد و یا خرید و فروش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وسائل قدس سره پس از نقل این روایت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رواه الحمیری فی قرب الإسناد بإسناده عن عبداللّه بن حسن عن علیّ بن جعفر عن أخیه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عبداللّه بن حسن مجهول الحال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بزرگان نیز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طریق ابن ادریس إلی جامع البزنطی غیر معلوم لنا</w:t>
      </w:r>
      <w:r>
        <w:rPr>
          <w:rFonts w:eastAsia="IRNazanin" w:cs="IRNazanin"/>
          <w:color w:val="111111"/>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لیکن در پاسخ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ابن ادریس مشکل اصلی این راویت را مخالفت با اجماع و سائر ادلّه قرار داده است، پس معلوم می‌شود که اعتبار این حدیث در نزد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نسبت به اخبار آحاد سخت گیر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بوده است؛ زیرا ایشان پس از نقل این حدیث و حدیثی دیگر، دربارۀ آنها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یلتف إلی هذا الحدیث ولا إلی الحدیث الذی قبله بحدیث لأنّهما وردا فی نوادر الأخبار والأدلّة بخلافهما وهو الإجماع منعقد علی تحریم المیتة والتصرّف فیها بکلّ حال إلّاأکلها للمضطرّ غیر الباغی والعادی</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در مباحث بعدی نسبت به اجماع ادّعا شده بحث خواهیم نمود؛ امّا مخالفت با اخبار را هنگام جمع میان روایات مانعه و روایات مجوّزه، پاسخ خواهیم داد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سبزواری در کفایة الأحکام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والعمل به متّجه</w:t>
      </w:r>
      <w:r>
        <w:rPr>
          <w:rFonts w:eastAsia="IRNazanin" w:cs="IRNazanin"/>
          <w:color w:val="111111"/>
          <w:sz w:val="28"/>
          <w:szCs w:val="28"/>
          <w:rtl w:val="true"/>
          <w:lang w:bidi="fa-IR"/>
        </w:rPr>
        <w:t>»</w:t>
      </w:r>
      <w:r>
        <w:rPr>
          <w:rStyle w:val="FootnoteAnchor"/>
          <w:rtl w:val="true"/>
        </w:rPr>
        <w:footnoteReference w:id="6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قدس سره نیز در برخی از اقوال همین نظر را دارد؛ زیرا سیّد عاملی در مفتاح الکرامة از حواشی شهید قدس سره بر قواعد نقل می‌کند که علّامه قدس سره در مجلس درس، استصباح به دنبۀ قطع شدۀ گوسفند را در زیر آسمان، جایز دانسته است</w:t>
      </w:r>
      <w:r>
        <w:rPr>
          <w:rFonts w:eastAsia="IRNazanin" w:cs="IRNazanin"/>
          <w:color w:val="111111"/>
          <w:sz w:val="28"/>
          <w:szCs w:val="28"/>
          <w:rtl w:val="true"/>
          <w:lang w:bidi="fa-IR"/>
        </w:rPr>
        <w:t>.</w:t>
      </w:r>
      <w:r>
        <w:rPr>
          <w:rStyle w:val="FootnoteAnchor"/>
          <w:rtl w:val="true"/>
        </w:rPr>
        <w:footnoteReference w:id="602"/>
      </w:r>
      <w:bookmarkStart w:id="715" w:name="pg13785_135218"/>
    </w:p>
    <w:p>
      <w:pPr>
        <w:pStyle w:val="BookText"/>
        <w:rPr/>
      </w:pPr>
      <w:bookmarkEnd w:id="715"/>
      <w:r>
        <w:rPr>
          <w:rFonts w:ascii="IRNazanin" w:hAnsi="IRNazanin" w:eastAsia="IRNazanin"/>
          <w:color w:val="111111"/>
          <w:sz w:val="28"/>
          <w:sz w:val="28"/>
          <w:szCs w:val="28"/>
          <w:rtl w:val="true"/>
          <w:lang w:bidi="fa-IR"/>
        </w:rPr>
        <w:t>فاضل هندی قدس سره نیز روایت را حمل بر فرض ضرورت نموده است</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امّا فاضل نراقی قدس سره در مستند</w:t>
      </w:r>
      <w:r>
        <w:rPr>
          <w:rStyle w:val="FootnoteAnchor"/>
          <w:rtl w:val="true"/>
        </w:rPr>
        <w:footnoteReference w:id="604"/>
      </w:r>
      <w:r>
        <w:rPr>
          <w:rFonts w:ascii="IRNazanin" w:hAnsi="IRNazanin" w:eastAsia="IRNazanin"/>
          <w:color w:val="111111"/>
          <w:sz w:val="28"/>
          <w:sz w:val="28"/>
          <w:szCs w:val="28"/>
          <w:rtl w:val="true"/>
          <w:lang w:bidi="fa-IR"/>
        </w:rPr>
        <w:t>دربارۀ این روایت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اصحاب با این روایت، مخالفت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روایت، اخصّ از مدّعاست؛ زیرا به الیات حیوان زنده، اختصاص دارد، در حالی که ادّعا اعم است؛</w:t>
      </w:r>
      <w:r>
        <w:rPr>
          <w:rStyle w:val="FootnoteAnchor"/>
          <w:rtl w:val="true"/>
        </w:rPr>
        <w:footnoteReference w:id="605"/>
      </w:r>
      <w:r>
        <w:rPr>
          <w:rFonts w:ascii="IRNazanin" w:hAnsi="IRNazanin" w:eastAsia="IRNazanin"/>
          <w:color w:val="111111"/>
          <w:sz w:val="28"/>
          <w:sz w:val="28"/>
          <w:szCs w:val="28"/>
          <w:rtl w:val="true"/>
          <w:lang w:bidi="fa-IR"/>
        </w:rPr>
        <w:t>لیکن صاحب مناهل قدس سره در جواب ایشان آورده است که در این مسئله کسی قائل به فرق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سائل حکم جواز یا عدم جواز انتفاع را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یذیبها و یسرج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عنوان نمونه ذکر شده و خصوصیّتی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امام خمینی قدس سره معتقد است که این روایت صحیحه بر جواز انتفاع از مردار دلالت می‌کند و همان گونه که از روغن چراغ الغای خصوصیت می‌شود، دنبه نیز خصوصیّتی ندارد و تنها انتفاعاتی که در شرع، حرام دانسته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خوردن و آشامیدن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Heading6"/>
        <w:numPr>
          <w:ilvl w:val="5"/>
          <w:numId w:val="1"/>
        </w:numPr>
        <w:rPr/>
      </w:pPr>
      <w:bookmarkStart w:id="716" w:name="__RefHeading___Toc2531239_1468164448"/>
      <w:bookmarkStart w:id="717" w:name="_Toc275"/>
      <w:bookmarkEnd w:id="716"/>
      <w:r>
        <w:rPr>
          <w:rtl w:val="true"/>
        </w:rPr>
        <w:t>د</w:t>
      </w:r>
      <w:r>
        <w:rPr>
          <w:rtl w:val="true"/>
        </w:rPr>
        <w:t xml:space="preserve">) </w:t>
      </w:r>
      <w:r>
        <w:rPr>
          <w:rtl w:val="true"/>
        </w:rPr>
        <w:t>روایت چهارم</w:t>
      </w:r>
      <w:r>
        <w:rPr>
          <w:rtl w:val="true"/>
        </w:rPr>
        <w:t>:</w:t>
      </w:r>
      <w:bookmarkEnd w:id="717"/>
    </w:p>
    <w:p>
      <w:pPr>
        <w:pStyle w:val="BookText"/>
        <w:rPr/>
      </w:pPr>
      <w:r>
        <w:rPr>
          <w:rFonts w:ascii="Amiri" w:hAnsi="Amiri" w:eastAsia="Amiri" w:cs="Amiri"/>
          <w:color w:val="111111"/>
          <w:sz w:val="28"/>
          <w:sz w:val="28"/>
          <w:szCs w:val="28"/>
          <w:rtl w:val="true"/>
          <w:lang w:bidi="ar-SA"/>
        </w:rPr>
        <w:t>عَنْهُ 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جِلْدِ الْمَیْتَةِ الْمَمْلُوحِ وَهُوَ الْکَیْمُخْتُ، فَرَخَّصَ فِیهِ وَقَالَ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تَمَسَّهُ فَهُوَ أَفْضَلُ؛</w:t>
      </w:r>
      <w:r>
        <w:rPr>
          <w:rStyle w:val="FootnoteAnchor"/>
          <w:rtl w:val="true"/>
        </w:rPr>
        <w:footnoteReference w:id="606"/>
      </w:r>
      <w:r>
        <w:rPr>
          <w:rFonts w:ascii="IRNazanin" w:hAnsi="IRNazanin" w:eastAsia="IRNazanin"/>
          <w:color w:val="111111"/>
          <w:sz w:val="28"/>
          <w:sz w:val="28"/>
          <w:szCs w:val="28"/>
          <w:rtl w:val="true"/>
          <w:lang w:bidi="fa-IR"/>
        </w:rPr>
        <w:t>سماعه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در مورد پوست مرداری که نمک مالی شده و آن را کیمخت می‌گویند پرسیدم، امام علیه السلام اجازه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دست نزنی بهتر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موثّقه، مرفوعه است و همۀ انتفاعات از پوست نمک مالی شده مردار را اجازه می‌دهد؛ ولی میرزای قمی در غنائم الأیّام</w:t>
      </w:r>
      <w:r>
        <w:rPr>
          <w:rStyle w:val="FootnoteAnchor"/>
          <w:rtl w:val="true"/>
        </w:rPr>
        <w:footnoteReference w:id="607"/>
      </w:r>
      <w:r>
        <w:rPr>
          <w:rFonts w:ascii="IRNazanin" w:hAnsi="IRNazanin" w:eastAsia="IRNazanin"/>
          <w:color w:val="111111"/>
          <w:sz w:val="28"/>
          <w:sz w:val="28"/>
          <w:szCs w:val="28"/>
          <w:rtl w:val="true"/>
          <w:lang w:bidi="fa-IR"/>
        </w:rPr>
        <w:t>این روایت را حمل بر تقیّه نموده است</w:t>
      </w:r>
      <w:r>
        <w:rPr>
          <w:rFonts w:eastAsia="IRNazanin" w:cs="IRNazanin"/>
          <w:color w:val="111111"/>
          <w:sz w:val="28"/>
          <w:szCs w:val="28"/>
          <w:rtl w:val="true"/>
          <w:lang w:bidi="fa-IR"/>
        </w:rPr>
        <w:t>.</w:t>
      </w:r>
      <w:bookmarkStart w:id="718" w:name="pg13785_135219"/>
    </w:p>
    <w:p>
      <w:pPr>
        <w:pStyle w:val="BookText"/>
        <w:rPr/>
      </w:pPr>
      <w:bookmarkEnd w:id="718"/>
      <w:r>
        <w:rPr>
          <w:rFonts w:ascii="IRNazanin" w:hAnsi="IRNazanin" w:eastAsia="IRNazanin"/>
          <w:color w:val="111111"/>
          <w:sz w:val="28"/>
          <w:sz w:val="28"/>
          <w:szCs w:val="28"/>
          <w:rtl w:val="true"/>
          <w:lang w:bidi="fa-IR"/>
        </w:rPr>
        <w:t>در روایات مربوط به مردار، روایاتی هم وجود دارد که بر جواز پوشیدن میته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مکلّف بخواهد پوست خنزیر یا سگ را پس از دبّاغی فقط به عنوان لباس استفاده کند، در روایات، این کار مجاز شمرده شده است و فقط او را از پوشیدن آن در حال نماز منع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مرسله‌ای از امام صادق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سئل عن جلود المیتة یجعل فیها اللبن والسمن والماء ما تری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تجعل فیها ما شئت من ماء أو لبن أو سمن وتتوضّأ منه وتشرب ولکن لا تصلّ فیها</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البتّه در مورد این مرسله و نظائر آن، بحث‌های مختلفی وجود دارد و صاحب جواهر قدس سره احتمال حمل بر تقیّه داده است</w:t>
      </w:r>
      <w:r>
        <w:rPr>
          <w:rFonts w:eastAsia="IRNazanin" w:cs="IRNazanin"/>
          <w:color w:val="111111"/>
          <w:sz w:val="28"/>
          <w:szCs w:val="28"/>
          <w:rtl w:val="true"/>
          <w:lang w:bidi="fa-IR"/>
        </w:rPr>
        <w:t>.</w:t>
      </w:r>
      <w:r>
        <w:rPr>
          <w:rStyle w:val="FootnoteAnchor"/>
          <w:rtl w:val="true"/>
        </w:rPr>
        <w:footnoteReference w:id="609"/>
      </w:r>
      <w:r>
        <w:rPr>
          <w:rFonts w:ascii="IRNazanin" w:hAnsi="IRNazanin" w:eastAsia="IRNazanin"/>
          <w:color w:val="111111"/>
          <w:sz w:val="28"/>
          <w:sz w:val="28"/>
          <w:szCs w:val="28"/>
          <w:rtl w:val="true"/>
          <w:lang w:bidi="fa-IR"/>
        </w:rPr>
        <w:t>شاید هم مقصود پوست حیواناتی است که نفس سائله ندارند</w:t>
      </w:r>
      <w:r>
        <w:rPr>
          <w:rFonts w:eastAsia="IRNazanin" w:cs="IRNazanin"/>
          <w:color w:val="111111"/>
          <w:sz w:val="28"/>
          <w:szCs w:val="28"/>
          <w:rtl w:val="true"/>
          <w:lang w:bidi="fa-IR"/>
        </w:rPr>
        <w:t>.</w:t>
      </w:r>
    </w:p>
    <w:p>
      <w:pPr>
        <w:pStyle w:val="Heading6"/>
        <w:numPr>
          <w:ilvl w:val="5"/>
          <w:numId w:val="1"/>
        </w:numPr>
        <w:rPr/>
      </w:pPr>
      <w:bookmarkStart w:id="719" w:name="__RefHeading___Toc2531241_1468164448"/>
      <w:bookmarkStart w:id="720" w:name="_Toc276"/>
      <w:bookmarkEnd w:id="719"/>
      <w:r>
        <w:rPr>
          <w:rtl w:val="true"/>
        </w:rPr>
        <w:t>ه</w:t>
      </w:r>
      <w:r>
        <w:rPr>
          <w:rtl w:val="true"/>
        </w:rPr>
        <w:t xml:space="preserve">) </w:t>
      </w:r>
      <w:r>
        <w:rPr>
          <w:rtl w:val="true"/>
        </w:rPr>
        <w:t>روایت پنجم</w:t>
      </w:r>
      <w:r>
        <w:rPr>
          <w:rtl w:val="true"/>
        </w:rPr>
        <w:t>:</w:t>
      </w:r>
      <w:bookmarkEnd w:id="720"/>
    </w:p>
    <w:p>
      <w:pPr>
        <w:pStyle w:val="BookText"/>
        <w:rPr/>
      </w:pPr>
      <w:r>
        <w:rPr>
          <w:rFonts w:ascii="Amiri" w:hAnsi="Amiri" w:eastAsia="Amiri" w:cs="Amiri"/>
          <w:color w:val="111111"/>
          <w:sz w:val="28"/>
          <w:sz w:val="28"/>
          <w:szCs w:val="28"/>
          <w:rtl w:val="true"/>
          <w:lang w:bidi="ar-SA"/>
        </w:rPr>
        <w:t>وَعَنْ عَلِیِّ بْنِ مُحَمَّدٍ عَنْ عَبْدِ اللّهِ بْنِ إِسْحَاقَ الْعَلَوِیِّ عَنِ الْحَسَنِ بْنِ عَلِیٍّ عَنْ مُحَمَّدِ بْنِ سُلَیْمَانَ الدَّیْلَمِیِّ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وَأَبَا الْحَسَنِ علیهما السلام عَنْ لِبَاسِ الْفِرَاءِ وَالصَّلَاةِ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لَاتُصَلِّ فِیهَا إِلاَّ فِی مَا کَانَ مِنْهُ ذَکِیّاً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 وَلَیْسَ الذَّکِیُّ مِمَّا ذُکِّیَ بِالْحَدِیدِ؟ قَالَ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بَلَی إِذَا کَانَ مِمَّا یُؤْکَلُ لَحْمُهُ الْحَدِیثَ؛</w:t>
      </w:r>
      <w:r>
        <w:rPr>
          <w:rStyle w:val="FootnoteAnchor"/>
          <w:rtl w:val="true"/>
        </w:rPr>
        <w:footnoteReference w:id="610"/>
      </w:r>
      <w:r>
        <w:rPr>
          <w:rFonts w:ascii="IRNazanin" w:hAnsi="IRNazanin" w:eastAsia="IRNazanin"/>
          <w:color w:val="111111"/>
          <w:sz w:val="28"/>
          <w:sz w:val="28"/>
          <w:szCs w:val="28"/>
          <w:rtl w:val="true"/>
          <w:lang w:bidi="fa-IR"/>
        </w:rPr>
        <w:t>أبی حمزه از امام صادق یا امام کاظم علیهما السلام دربارۀ نماز خواندن با لباسی که از پوستین باشد سؤال کرده است که ایشان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لباس، نماز نخوان، مگر این‌که تذکیه شده باشد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ذکی آن است که با چاقو تذکیه شده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مشروط به این‌که حلال گوشت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به جهت علی بن ابی‌حمزه، ضعیف است، همان‌طور که علّامۀ مجلسی قدس سره در ملاذ الأخیار این روایت را ضعیف دانسته است</w:t>
      </w:r>
      <w:r>
        <w:rPr>
          <w:rFonts w:eastAsia="IRNazanin" w:cs="IRNazanin"/>
          <w:color w:val="111111"/>
          <w:sz w:val="28"/>
          <w:szCs w:val="28"/>
          <w:rtl w:val="true"/>
          <w:lang w:bidi="fa-IR"/>
        </w:rPr>
        <w:t>.</w:t>
      </w:r>
      <w:r>
        <w:rPr>
          <w:rStyle w:val="FootnoteAnchor"/>
          <w:rtl w:val="true"/>
        </w:rPr>
        <w:footnoteReference w:id="611"/>
      </w:r>
      <w:r>
        <w:rPr>
          <w:rFonts w:ascii="IRNazanin" w:hAnsi="IRNazanin" w:eastAsia="IRNazanin"/>
          <w:color w:val="111111"/>
          <w:sz w:val="28"/>
          <w:sz w:val="28"/>
          <w:szCs w:val="28"/>
          <w:rtl w:val="true"/>
          <w:lang w:bidi="fa-IR"/>
        </w:rPr>
        <w:t>وحید بهبهانی قدس سره نیز در مصابیح الظلام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هذه الروایة عدم تذکیة السباع شرعاً لکنّ الظاهر أنّ التذکیة المذکورة فیها لیست بالمعنی المعروف، بل بمعنی حلّیة الصلاة فیه</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ولی به نظر ما مقصود این روایت، همان تذکیۀ مصطلح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مورد سنجاب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سنجاب درنده نیست و گوشت حیوانات دیگر را نمی‌خورد، تذکیه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محقّق داماد در کتاب الصلاة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فی خصوص لباس الفرو فلا یشمل غیر عنوان اللبس ویختصّ بماله نفس سائلة إذ لا یصنع الفرو إلاّ من جلده ولا یعمّ غیر الجلد أیضاً</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لیکن به نظر می‌رسد که اختصاص روایت به لباس صحیح نیست؛ بلکه لباس از جهت این‌که مورد احتیاج بوده در سؤال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اختصاص به نفس سائله هم محلّ تأمّل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استدلال به این روایت، از جهت سکوت امام علیه السلام دربارۀ حرمت لبس پوستین است، چنان‌که امام خمینی</w:t>
      </w:r>
      <w:r>
        <w:rPr>
          <w:rStyle w:val="FootnoteAnchor"/>
          <w:rtl w:val="true"/>
        </w:rPr>
        <w:footnoteReference w:id="614"/>
      </w:r>
      <w:r>
        <w:rPr>
          <w:rFonts w:ascii="IRNazanin" w:hAnsi="IRNazanin" w:eastAsia="IRNazanin"/>
          <w:color w:val="111111"/>
          <w:sz w:val="28"/>
          <w:sz w:val="28"/>
          <w:szCs w:val="28"/>
          <w:rtl w:val="true"/>
          <w:lang w:bidi="fa-IR"/>
        </w:rPr>
        <w:t>نیز به این مطلب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سؤال راوی، هم دربارۀ لباس و هم دربارۀ نماز بوده است، ولی امام علیه السلام فقط در مورد نماز جواب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بر اساس این روایت اگر انسان از پوست حیوان تذکیه نشده، لباسی درست کند، انتفاع از آن اشکالی ندارد، مگر 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لباس‌ها و کفش‌هایی که از بلاد کفر وارد می‌شوند، حتّی اگر</w:t>
      </w:r>
      <w:bookmarkStart w:id="721" w:name="pg13785_135221"/>
    </w:p>
    <w:p>
      <w:pPr>
        <w:pStyle w:val="BookText"/>
        <w:rPr/>
      </w:pPr>
      <w:bookmarkEnd w:id="721"/>
      <w:r>
        <w:rPr>
          <w:rFonts w:ascii="IRNazanin" w:hAnsi="IRNazanin" w:eastAsia="IRNazanin"/>
          <w:color w:val="111111"/>
          <w:sz w:val="28"/>
          <w:sz w:val="28"/>
          <w:szCs w:val="28"/>
          <w:rtl w:val="true"/>
          <w:lang w:bidi="fa-IR"/>
        </w:rPr>
        <w:t>از مردار تهیّه شده باشند،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بدانیم که از مردار است و یا ندانیم که تذکیه شده است یا خیر، نماز خواندن با آن صحیح نیست</w:t>
      </w:r>
      <w:r>
        <w:rPr>
          <w:rFonts w:eastAsia="IRNazanin" w:cs="IRNazanin"/>
          <w:color w:val="111111"/>
          <w:sz w:val="28"/>
          <w:szCs w:val="28"/>
          <w:rtl w:val="true"/>
          <w:lang w:bidi="fa-IR"/>
        </w:rPr>
        <w:t>.</w:t>
      </w:r>
    </w:p>
    <w:p>
      <w:pPr>
        <w:pStyle w:val="Heading6"/>
        <w:numPr>
          <w:ilvl w:val="5"/>
          <w:numId w:val="1"/>
        </w:numPr>
        <w:rPr/>
      </w:pPr>
      <w:bookmarkStart w:id="722" w:name="__RefHeading___Toc2531243_1468164448"/>
      <w:bookmarkStart w:id="723" w:name="_Toc277"/>
      <w:bookmarkEnd w:id="722"/>
      <w:r>
        <w:rPr>
          <w:rtl w:val="true"/>
        </w:rPr>
        <w:t>و</w:t>
      </w:r>
      <w:r>
        <w:rPr>
          <w:rtl w:val="true"/>
        </w:rPr>
        <w:t xml:space="preserve">) </w:t>
      </w:r>
      <w:r>
        <w:rPr>
          <w:rtl w:val="true"/>
        </w:rPr>
        <w:t>روایت ششم</w:t>
      </w:r>
      <w:r>
        <w:rPr>
          <w:rtl w:val="true"/>
        </w:rPr>
        <w:t>:</w:t>
      </w:r>
      <w:bookmarkEnd w:id="723"/>
    </w:p>
    <w:p>
      <w:pPr>
        <w:pStyle w:val="BookText"/>
        <w:rPr/>
      </w:pPr>
      <w:r>
        <w:rPr>
          <w:rFonts w:ascii="Amiri" w:hAnsi="Amiri" w:eastAsia="Amiri" w:cs="Amiri"/>
          <w:color w:val="111111"/>
          <w:sz w:val="28"/>
          <w:sz w:val="28"/>
          <w:szCs w:val="28"/>
          <w:rtl w:val="true"/>
          <w:lang w:bidi="ar-SA"/>
        </w:rPr>
        <w:t xml:space="preserve">أحمد بن محمّد عَنْ مُحَمَّدِ بْنِ زِیَادٍ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ابْنَ أَبِی عُمَیْرٍ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الرَّیَّانِ بْنِ‌الصَّلْتِ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 السلام عَنْ لُبْسِ فِرَاءِ السَّمُّورِ وَالسِّنْجَابِ وَالْحَوَاصِلِ وَ مَا أَشْبَهَهَا وَالْمَنَاطِقِ وَالْکَیْمُخْتِ وَالْمَحْشُوِّ بِالْقَزِّ وَالْخِفَافِ مِنْ أَصْنَافِ الْجُلُودِ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بِهَذَا کُلِّهِ إِلاَّ بِالثَّعَالِبِ</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این روایت، صحیحه است و محمّد بن زیاد همان ابن ابی عمیر است، اگرچه احتمال دارد که محمّد بن الحسن بن زیاد العطّار باشد که ایشان هم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نیز استفاده می‌شود که پوست مردار به عنوان لباس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حکیم قدس سره در مستمسک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فقط حکم تکلیفی لبس استفاده می‌شود و نمی‌توان جواز وضعی صلاة را از آن استفاده کرد</w:t>
      </w:r>
      <w:r>
        <w:rPr>
          <w:rFonts w:eastAsia="IRNazanin" w:cs="IRNazanin"/>
          <w:color w:val="111111"/>
          <w:sz w:val="28"/>
          <w:szCs w:val="28"/>
          <w:rtl w:val="true"/>
          <w:lang w:bidi="fa-IR"/>
        </w:rPr>
        <w:t>.</w:t>
      </w:r>
      <w:r>
        <w:rPr>
          <w:rStyle w:val="FootnoteAnchor"/>
          <w:rtl w:val="true"/>
        </w:rPr>
        <w:footnoteReference w:id="616"/>
      </w:r>
    </w:p>
    <w:p>
      <w:pPr>
        <w:pStyle w:val="Heading6"/>
        <w:numPr>
          <w:ilvl w:val="5"/>
          <w:numId w:val="1"/>
        </w:numPr>
        <w:rPr/>
      </w:pPr>
      <w:bookmarkStart w:id="724" w:name="__RefHeading___Toc2531245_1468164448"/>
      <w:bookmarkStart w:id="725" w:name="_Toc278"/>
      <w:bookmarkEnd w:id="724"/>
      <w:r>
        <w:rPr>
          <w:rtl w:val="true"/>
        </w:rPr>
        <w:t>ز</w:t>
      </w:r>
      <w:r>
        <w:rPr>
          <w:rtl w:val="true"/>
        </w:rPr>
        <w:t xml:space="preserve">) </w:t>
      </w:r>
      <w:r>
        <w:rPr>
          <w:rtl w:val="true"/>
        </w:rPr>
        <w:t>روایت هفتم</w:t>
      </w:r>
      <w:r>
        <w:rPr>
          <w:rtl w:val="true"/>
        </w:rPr>
        <w:t>:</w:t>
      </w:r>
      <w:bookmarkEnd w:id="725"/>
    </w:p>
    <w:p>
      <w:pPr>
        <w:pStyle w:val="BookText"/>
        <w:rPr/>
      </w:pPr>
      <w:r>
        <w:rPr>
          <w:rFonts w:ascii="IRNazanin" w:hAnsi="IRNazanin" w:eastAsia="IRNazanin"/>
          <w:color w:val="111111"/>
          <w:sz w:val="28"/>
          <w:sz w:val="28"/>
          <w:szCs w:val="28"/>
          <w:rtl w:val="true"/>
          <w:lang w:bidi="fa-IR"/>
        </w:rPr>
        <w:t>أخبرنا محمّد حدثنی موسی حدّثنا أبی عن أبیه عن جدّه جعفر بن محمّد عن أبیه أنّ علیّاً علیه السلام کان یصلّی فی سیفه وعلیه الکیمخت</w:t>
      </w:r>
      <w:r>
        <w:rPr>
          <w:rFonts w:eastAsia="IRNazanin" w:cs="IRNazanin"/>
          <w:color w:val="111111"/>
          <w:sz w:val="28"/>
          <w:szCs w:val="28"/>
          <w:rtl w:val="true"/>
          <w:lang w:bidi="fa-IR"/>
        </w:rPr>
        <w:t>.</w:t>
      </w:r>
      <w:r>
        <w:rPr>
          <w:rStyle w:val="FootnoteAnchor"/>
          <w:rtl w:val="true"/>
        </w:rPr>
        <w:footnoteReference w:id="617"/>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مختلفی به کار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استفاده می‌شود که کیمخت مخصوص پوست حیوانات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دیگر استفاده می‌شود که هم نوع تذکیه شده دارد و هم غیر مذکّی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روایت آمده است که از امام علیه السلام سؤال شد که آیا می‌توان در کیمخت نماز خواند؟ 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کیمخت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پوست جنبندگان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پوست حیواناتی که</w:t>
      </w:r>
      <w:bookmarkStart w:id="726" w:name="pg13785_135222"/>
    </w:p>
    <w:p>
      <w:pPr>
        <w:pStyle w:val="BookText"/>
        <w:rPr/>
      </w:pPr>
      <w:bookmarkEnd w:id="726"/>
      <w:r>
        <w:rPr>
          <w:rFonts w:ascii="IRNazanin" w:hAnsi="IRNazanin" w:eastAsia="IRNazanin"/>
          <w:color w:val="111111"/>
          <w:sz w:val="28"/>
          <w:sz w:val="28"/>
          <w:szCs w:val="28"/>
          <w:rtl w:val="true"/>
          <w:lang w:bidi="fa-IR"/>
        </w:rPr>
        <w:t>برخی از آنها تذکیه شده و برخی دیگر مردار هستند</w:t>
      </w:r>
      <w:r>
        <w:rPr>
          <w:rFonts w:eastAsia="IRNazanin" w:cs="IRNazanin"/>
          <w:color w:val="111111"/>
          <w:sz w:val="28"/>
          <w:szCs w:val="28"/>
          <w:rtl w:val="true"/>
          <w:lang w:bidi="fa-IR"/>
        </w:rPr>
        <w:t>.</w:t>
      </w:r>
      <w:r>
        <w:rPr>
          <w:rStyle w:val="FootnoteAnchor"/>
          <w:rtl w:val="true"/>
        </w:rPr>
        <w:footnoteReference w:id="618"/>
      </w:r>
    </w:p>
    <w:p>
      <w:pPr>
        <w:pStyle w:val="Heading5"/>
        <w:numPr>
          <w:ilvl w:val="4"/>
          <w:numId w:val="1"/>
        </w:numPr>
        <w:rPr/>
      </w:pPr>
      <w:bookmarkStart w:id="727" w:name="__RefHeading___Toc2531247_1468164448"/>
      <w:bookmarkStart w:id="728" w:name="_Toc279"/>
      <w:bookmarkEnd w:id="727"/>
      <w:r>
        <w:rPr>
          <w:rtl w:val="true"/>
        </w:rPr>
        <w:t>بند سوم</w:t>
      </w:r>
      <w:r>
        <w:rPr>
          <w:rtl w:val="true"/>
        </w:rPr>
        <w:t xml:space="preserve">: </w:t>
      </w:r>
      <w:r>
        <w:rPr>
          <w:rtl w:val="true"/>
        </w:rPr>
        <w:t>جمع میان روایات مانعه و مجوّزه</w:t>
      </w:r>
      <w:bookmarkEnd w:id="728"/>
    </w:p>
    <w:p>
      <w:pPr>
        <w:pStyle w:val="Heading6"/>
        <w:numPr>
          <w:ilvl w:val="5"/>
          <w:numId w:val="1"/>
        </w:numPr>
        <w:rPr/>
      </w:pPr>
      <w:bookmarkStart w:id="729" w:name="__RefHeading___Toc2531249_1468164448"/>
      <w:bookmarkStart w:id="730" w:name="_Toc280"/>
      <w:bookmarkEnd w:id="729"/>
      <w:r>
        <w:rPr>
          <w:rtl w:val="true"/>
        </w:rPr>
        <w:t>اشارة</w:t>
      </w:r>
      <w:bookmarkEnd w:id="730"/>
    </w:p>
    <w:p>
      <w:pPr>
        <w:pStyle w:val="BookText"/>
        <w:rPr/>
      </w:pPr>
      <w:r>
        <w:rPr>
          <w:rFonts w:ascii="IRNazanin" w:hAnsi="IRNazanin" w:eastAsia="IRNazanin"/>
          <w:color w:val="111111"/>
          <w:sz w:val="28"/>
          <w:sz w:val="28"/>
          <w:szCs w:val="28"/>
          <w:rtl w:val="true"/>
          <w:lang w:bidi="fa-IR"/>
        </w:rPr>
        <w:t>در میان کلمات فقها، شش راه برای جمع میان این دو گروه از روایات مطرح شده است که در ادامه، به بررسی این روش‌ها می‌پردازیم</w:t>
      </w:r>
      <w:r>
        <w:rPr>
          <w:rFonts w:eastAsia="IRNazanin" w:cs="IRNazanin"/>
          <w:color w:val="111111"/>
          <w:sz w:val="28"/>
          <w:szCs w:val="28"/>
          <w:rtl w:val="true"/>
          <w:lang w:bidi="fa-IR"/>
        </w:rPr>
        <w:t>:</w:t>
      </w:r>
    </w:p>
    <w:p>
      <w:pPr>
        <w:pStyle w:val="Heading6"/>
        <w:numPr>
          <w:ilvl w:val="5"/>
          <w:numId w:val="1"/>
        </w:numPr>
        <w:rPr/>
      </w:pPr>
      <w:bookmarkStart w:id="731" w:name="__RefHeading___Toc2531251_1468164448"/>
      <w:bookmarkStart w:id="732" w:name="_Toc281"/>
      <w:bookmarkEnd w:id="731"/>
      <w:r>
        <w:rPr>
          <w:rtl w:val="true"/>
        </w:rPr>
        <w:t>الف</w:t>
      </w:r>
      <w:r>
        <w:rPr>
          <w:rtl w:val="true"/>
        </w:rPr>
        <w:t xml:space="preserve">) </w:t>
      </w:r>
      <w:r>
        <w:rPr>
          <w:rtl w:val="true"/>
        </w:rPr>
        <w:t>روش نخست</w:t>
      </w:r>
      <w:r>
        <w:rPr>
          <w:rtl w:val="true"/>
        </w:rPr>
        <w:t>:</w:t>
      </w:r>
      <w:bookmarkEnd w:id="732"/>
    </w:p>
    <w:p>
      <w:pPr>
        <w:pStyle w:val="BookText"/>
        <w:rPr/>
      </w:pPr>
      <w:r>
        <w:rPr>
          <w:rFonts w:ascii="IRNazanin" w:hAnsi="IRNazanin" w:eastAsia="IRNazanin"/>
          <w:color w:val="111111"/>
          <w:sz w:val="28"/>
          <w:sz w:val="28"/>
          <w:szCs w:val="28"/>
          <w:rtl w:val="true"/>
          <w:lang w:bidi="fa-IR"/>
        </w:rPr>
        <w:t>امام خمینی</w:t>
      </w:r>
      <w:r>
        <w:rPr>
          <w:rStyle w:val="FootnoteAnchor"/>
          <w:rtl w:val="true"/>
        </w:rPr>
        <w:footnoteReference w:id="619"/>
      </w:r>
      <w:r>
        <w:rPr>
          <w:rFonts w:ascii="IRNazanin" w:hAnsi="IRNazanin" w:eastAsia="IRNazanin"/>
          <w:color w:val="111111"/>
          <w:sz w:val="28"/>
          <w:sz w:val="28"/>
          <w:szCs w:val="28"/>
          <w:rtl w:val="true"/>
          <w:lang w:bidi="fa-IR"/>
        </w:rPr>
        <w:t>و محقّق خویی قدس سرهما</w:t>
      </w:r>
      <w:r>
        <w:rPr>
          <w:rStyle w:val="FootnoteAnchor"/>
          <w:rtl w:val="true"/>
        </w:rPr>
        <w:footnoteReference w:id="620"/>
      </w:r>
      <w:r>
        <w:rPr>
          <w:rFonts w:ascii="IRNazanin" w:hAnsi="IRNazanin" w:eastAsia="IRNazanin"/>
          <w:color w:val="111111"/>
          <w:sz w:val="28"/>
          <w:sz w:val="28"/>
          <w:szCs w:val="28"/>
          <w:rtl w:val="true"/>
          <w:lang w:bidi="fa-IR"/>
        </w:rPr>
        <w:t>معتقدند که روایات مجوّزه، یا حاکم بر روایات مانعه هستند و یا آنها را تخصیص می‌زنند؛ زیرا روایات مانعه به صورت اجمالی بر عدم جواز انتفاع از مردار دلالت می‌کنند؛ ولی از روایات مجوّزه می‌توان استفاده کرد که اگر از مردار به منظور کشیدن آب یا درست کردن روغن چراغ و یا لباس، استفاده شود، مانعی ندارد؛ چراکه در این روایات، قیدی وجود دارد که انتفاع از مردار را در غیر از مواردی که طهارت شرط است، جایز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اگرچه نمی‌توان از مردار برای خوردن و آشامیدن و نماز خواندن استفاده نمود، ولی در سایر موارد، انتفاع از آن اشکالی ندارد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اگر این جمع پذیرفته شود، تعارضی میان این دو گروه از روایات وجود نخواهد داشت؛ چراکه یک جمع عرفی روشن میان آنها قابل تصوّر است که باید بر طبق آن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آن‌که در برخی از روایات مانعه، مانند روایت ابو القاسم صیقل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آن را در زمرۀ روایات مانعه قرار داده‌اند و برخی دیگر در شمار روایات مجوّزه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از امام علیه السلام دربارۀ انتفاع از پوست مردار سؤال می‌کند که</w:t>
      </w:r>
      <w:bookmarkStart w:id="733" w:name="pg13785_135223"/>
    </w:p>
    <w:p>
      <w:pPr>
        <w:pStyle w:val="BookText"/>
        <w:rPr/>
      </w:pPr>
      <w:bookmarkEnd w:id="733"/>
      <w:r>
        <w:rPr>
          <w:rFonts w:ascii="IRNazanin" w:hAnsi="IRNazanin" w:eastAsia="IRNazanin"/>
          <w:color w:val="111111"/>
          <w:sz w:val="28"/>
          <w:sz w:val="28"/>
          <w:szCs w:val="28"/>
          <w:rtl w:val="true"/>
          <w:lang w:bidi="fa-IR"/>
        </w:rPr>
        <w:t>حضرت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إتّخذ للصّلاه ثوباً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امام علیه السلام فقط مسئلۀ نماز را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اصل انتفاع از مردار در غیر مسئلۀ نماز اشکالی ندارد</w:t>
      </w:r>
      <w:r>
        <w:rPr>
          <w:rFonts w:eastAsia="IRNazanin" w:cs="IRNazanin"/>
          <w:color w:val="111111"/>
          <w:sz w:val="28"/>
          <w:szCs w:val="28"/>
          <w:rtl w:val="true"/>
          <w:lang w:bidi="fa-IR"/>
        </w:rPr>
        <w:t>.</w:t>
      </w:r>
    </w:p>
    <w:p>
      <w:pPr>
        <w:pStyle w:val="Heading6"/>
        <w:numPr>
          <w:ilvl w:val="5"/>
          <w:numId w:val="1"/>
        </w:numPr>
        <w:rPr/>
      </w:pPr>
      <w:bookmarkStart w:id="734" w:name="__RefHeading___Toc2531253_1468164448"/>
      <w:bookmarkStart w:id="735" w:name="_Toc282"/>
      <w:bookmarkEnd w:id="734"/>
      <w:r>
        <w:rPr>
          <w:rtl w:val="true"/>
        </w:rPr>
        <w:t>ب</w:t>
      </w:r>
      <w:r>
        <w:rPr>
          <w:rtl w:val="true"/>
        </w:rPr>
        <w:t xml:space="preserve">) </w:t>
      </w:r>
      <w:r>
        <w:rPr>
          <w:rtl w:val="true"/>
        </w:rPr>
        <w:t>روش دوم</w:t>
      </w:r>
      <w:r>
        <w:rPr>
          <w:rtl w:val="true"/>
        </w:rPr>
        <w:t>:</w:t>
      </w:r>
      <w:bookmarkEnd w:id="735"/>
    </w:p>
    <w:p>
      <w:pPr>
        <w:pStyle w:val="BookText"/>
        <w:rPr/>
      </w:pPr>
      <w:r>
        <w:rPr>
          <w:rFonts w:ascii="IRNazanin" w:hAnsi="IRNazanin" w:eastAsia="IRNazanin"/>
          <w:color w:val="111111"/>
          <w:sz w:val="28"/>
          <w:sz w:val="28"/>
          <w:szCs w:val="28"/>
          <w:rtl w:val="true"/>
          <w:lang w:bidi="fa-IR"/>
        </w:rPr>
        <w:t>دومین روش جمع میان روایات مانعه و مجوّزه، این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مانعه به قرینۀ روایات مجوّزه، حمل بر کراهت می‌شود؛ زیرا روایات مجوّزه، نصّ در جوازند و به روشنی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آمده است؛ لیکن روایات مانعه نهایتاً می‌توانند ظهور در منع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به قرینۀ روایات مجوّزه ظهور را حمل بر کراهت می‌کنیم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انتفاع از میته جایز است، ولی کراهت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جمع، موثّقۀ سماعه است که در آن امام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تمسّه فهو أفضل</w:t>
      </w:r>
      <w:r>
        <w:rPr>
          <w:rFonts w:eastAsia="IRNazanin" w:cs="IRNazanin"/>
          <w:color w:val="111111"/>
          <w:sz w:val="28"/>
          <w:szCs w:val="28"/>
          <w:rtl w:val="true"/>
          <w:lang w:bidi="fa-IR"/>
        </w:rPr>
        <w:t>».</w:t>
      </w:r>
      <w:r>
        <w:rPr>
          <w:rStyle w:val="FootnoteAnchor"/>
          <w:rtl w:val="true"/>
        </w:rPr>
        <w:footnoteReference w:id="621"/>
      </w:r>
      <w:r>
        <w:rPr>
          <w:rFonts w:ascii="IRNazanin" w:hAnsi="IRNazanin" w:eastAsia="IRNazanin"/>
          <w:color w:val="111111"/>
          <w:sz w:val="28"/>
          <w:sz w:val="28"/>
          <w:szCs w:val="28"/>
          <w:rtl w:val="true"/>
          <w:lang w:bidi="fa-IR"/>
        </w:rPr>
        <w:t>معنایش این است که انتفاعات دیگر از شیء نجس، اشکالی ندارد، ولی اگر به آن دست نزنید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دربارۀ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تمسّه فهو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باشد؛ یعنی امام علیه السلام مقصودشان این است که از مردار استفاده کن، ولی به آن دست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حمل آن از دستکش استفاده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دوم، این است که این عبارت کنایه از این باشد که اگر سر و کارت با مردار نباشد بهتر است؛ زیرا در این روایت، سؤال دربارۀ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و از این رو، بعید نیست که نهی از مس را بر استفاده نکردن از مردار حمل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احتمال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مس را به معنای مسّ ظاهری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شاهدی برای کراهت استفاده نمی‌شود؛ ولی طبق احتمال دوم، این روایت، شاهد بر کراهت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دوم بر کراهت نیز همان روایت حسن بن وشاء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روایت آمده بود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أنّ أهل الجبل تثقل عندهم ألیات الغنم فیقطعونها؟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bookmarkStart w:id="736" w:name="pg13785_135224"/>
    </w:p>
    <w:p>
      <w:pPr>
        <w:pStyle w:val="BookText"/>
        <w:rPr/>
      </w:pPr>
      <w:bookmarkEnd w:id="736"/>
      <w:r>
        <w:rPr>
          <w:rFonts w:ascii="IRNazanin" w:hAnsi="IRNazanin" w:eastAsia="IRNazanin"/>
          <w:color w:val="111111"/>
          <w:sz w:val="28"/>
          <w:sz w:val="28"/>
          <w:szCs w:val="28"/>
          <w:rtl w:val="true"/>
          <w:lang w:bidi="fa-IR"/>
        </w:rPr>
        <w:t>حرام،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فنصطبح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تعلم أنّه یصیب الید و الثوب</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البتّه ما پیش‌تر در سند این روایت خدشه کردیم و آن را قابل اعتماد ندانستیم؛ لیکن با این وجود از این روایت استفاده می‌کنیم که علّت نهی امام علیه السلام از دنبۀ گوسفند، این است که این دنبه، موجب تنجّس بدن و لباس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قطع نظر از تنجّس، استفاده از آن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علّت نهی را تنجّس قرار می‌دهیم، این روایت فقط بر کراهت، دلالت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قائل شدیم به این‌که روایات مانعه، ظهوری در حرمت انتفاع از مردار ندارند، روایات مجوّزه حاکم خواهند شد؛ ولی اگر ظهورِ یاد شده را برای روایات مانعه ثابت دانستیم، در این صورت به وسیلۀ روایات مجوّزه در آنها تصرّف نموده و آنها را بر کراهت حمل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سبزواری قدس سره نیز در ذخیرة المعاد این احتمال را که اخبار منع را حمل بر کراهت کنیم، ذکر نموده است</w:t>
      </w:r>
      <w:r>
        <w:rPr>
          <w:rFonts w:eastAsia="IRNazanin" w:cs="IRNazanin"/>
          <w:color w:val="111111"/>
          <w:sz w:val="28"/>
          <w:szCs w:val="28"/>
          <w:rtl w:val="true"/>
          <w:lang w:bidi="fa-IR"/>
        </w:rPr>
        <w:t>.</w:t>
      </w:r>
      <w:r>
        <w:rPr>
          <w:rStyle w:val="FootnoteAnchor"/>
          <w:rtl w:val="true"/>
        </w:rPr>
        <w:footnoteReference w:id="623"/>
      </w:r>
    </w:p>
    <w:p>
      <w:pPr>
        <w:pStyle w:val="Heading6"/>
        <w:numPr>
          <w:ilvl w:val="5"/>
          <w:numId w:val="1"/>
        </w:numPr>
        <w:rPr/>
      </w:pPr>
      <w:bookmarkStart w:id="737" w:name="__RefHeading___Toc2531255_1468164448"/>
      <w:bookmarkStart w:id="738" w:name="_Toc283"/>
      <w:bookmarkEnd w:id="737"/>
      <w:r>
        <w:rPr>
          <w:rtl w:val="true"/>
        </w:rPr>
        <w:t>ج</w:t>
      </w:r>
      <w:r>
        <w:rPr>
          <w:rtl w:val="true"/>
        </w:rPr>
        <w:t xml:space="preserve">) </w:t>
      </w:r>
      <w:r>
        <w:rPr>
          <w:rtl w:val="true"/>
        </w:rPr>
        <w:t>روش سوم</w:t>
      </w:r>
      <w:r>
        <w:rPr>
          <w:rtl w:val="true"/>
        </w:rPr>
        <w:t>:</w:t>
      </w:r>
      <w:bookmarkEnd w:id="738"/>
    </w:p>
    <w:p>
      <w:pPr>
        <w:pStyle w:val="BookText"/>
        <w:rPr/>
      </w:pPr>
      <w:r>
        <w:rPr>
          <w:rFonts w:ascii="IRNazanin" w:hAnsi="IRNazanin" w:eastAsia="IRNazanin"/>
          <w:color w:val="111111"/>
          <w:sz w:val="28"/>
          <w:sz w:val="28"/>
          <w:szCs w:val="28"/>
          <w:rtl w:val="true"/>
          <w:lang w:bidi="fa-IR"/>
        </w:rPr>
        <w:t>سومین روش برای جمع بین روایات،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مجوّزه اختصاص به پوست و دنبه دارد، ولی روایات مانعه مطلقاً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میته نمی‌توان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استفاده از پوست و چربی مردار، جایز است، ولی استفاده از چیزهای دیگری که در مردار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استخوان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به نظر می‌رسد که این روش درست نیست؛ زیرا هیچ کس دربارۀ اجزای مردار، قائل به تفصیل نشده است و فرق گذاشتن میان آنها امکان ندارد</w:t>
      </w:r>
      <w:r>
        <w:rPr>
          <w:rFonts w:eastAsia="IRNazanin" w:cs="IRNazanin"/>
          <w:color w:val="111111"/>
          <w:sz w:val="28"/>
          <w:szCs w:val="28"/>
          <w:rtl w:val="true"/>
          <w:lang w:bidi="fa-IR"/>
        </w:rPr>
        <w:t>.</w:t>
      </w:r>
    </w:p>
    <w:p>
      <w:pPr>
        <w:pStyle w:val="Heading6"/>
        <w:numPr>
          <w:ilvl w:val="5"/>
          <w:numId w:val="1"/>
        </w:numPr>
        <w:rPr/>
      </w:pPr>
      <w:bookmarkStart w:id="739" w:name="__RefHeading___Toc2531257_1468164448"/>
      <w:bookmarkStart w:id="740" w:name="_Toc284"/>
      <w:bookmarkEnd w:id="739"/>
      <w:r>
        <w:rPr>
          <w:rtl w:val="true"/>
        </w:rPr>
        <w:t>د</w:t>
      </w:r>
      <w:r>
        <w:rPr>
          <w:rtl w:val="true"/>
        </w:rPr>
        <w:t xml:space="preserve">) </w:t>
      </w:r>
      <w:r>
        <w:rPr>
          <w:rtl w:val="true"/>
        </w:rPr>
        <w:t>روش چهارم</w:t>
      </w:r>
      <w:r>
        <w:rPr>
          <w:rtl w:val="true"/>
        </w:rPr>
        <w:t>:</w:t>
      </w:r>
      <w:bookmarkEnd w:id="740"/>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چهارم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مانعه بازگوکنندۀ حکم واقعی‌اند، ولی</w:t>
      </w:r>
      <w:bookmarkStart w:id="741" w:name="pg13785_135225"/>
    </w:p>
    <w:p>
      <w:pPr>
        <w:pStyle w:val="BookText"/>
        <w:rPr/>
      </w:pPr>
      <w:bookmarkEnd w:id="741"/>
      <w:r>
        <w:rPr>
          <w:rFonts w:ascii="IRNazanin" w:hAnsi="IRNazanin" w:eastAsia="IRNazanin"/>
          <w:color w:val="111111"/>
          <w:sz w:val="28"/>
          <w:sz w:val="28"/>
          <w:szCs w:val="28"/>
          <w:rtl w:val="true"/>
          <w:lang w:bidi="fa-IR"/>
        </w:rPr>
        <w:t>روایات مجوّزه بر حسب شرایط تقیّه بیان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نیز در کلمات محقّق سبزواری در ذخیرة المعاد آمده است</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لیکن در نقد این روش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صورتی این جمع، صحیح است که اهل‌سنّت انتفاع از مردار را جایز بدانند، در حالی که فتوای بیشتر علمای اهل‌سنّت، عدم جواز انتفاع از مردار است</w:t>
      </w:r>
      <w:r>
        <w:rPr>
          <w:rFonts w:eastAsia="IRNazanin" w:cs="IRNazanin"/>
          <w:color w:val="111111"/>
          <w:sz w:val="28"/>
          <w:szCs w:val="28"/>
          <w:rtl w:val="true"/>
          <w:lang w:bidi="fa-IR"/>
        </w:rPr>
        <w:t>.</w:t>
      </w:r>
    </w:p>
    <w:p>
      <w:pPr>
        <w:pStyle w:val="Heading6"/>
        <w:numPr>
          <w:ilvl w:val="5"/>
          <w:numId w:val="1"/>
        </w:numPr>
        <w:rPr/>
      </w:pPr>
      <w:bookmarkStart w:id="742" w:name="__RefHeading___Toc2531259_1468164448"/>
      <w:bookmarkStart w:id="743" w:name="_Toc285"/>
      <w:bookmarkEnd w:id="742"/>
      <w:r>
        <w:rPr>
          <w:rtl w:val="true"/>
        </w:rPr>
        <w:t>ه</w:t>
      </w:r>
      <w:r>
        <w:rPr>
          <w:rtl w:val="true"/>
        </w:rPr>
        <w:t xml:space="preserve">) </w:t>
      </w:r>
      <w:r>
        <w:rPr>
          <w:rtl w:val="true"/>
        </w:rPr>
        <w:t>روش پنجم</w:t>
      </w:r>
      <w:bookmarkEnd w:id="743"/>
    </w:p>
    <w:p>
      <w:pPr>
        <w:pStyle w:val="BookText"/>
        <w:rPr/>
      </w:pPr>
      <w:r>
        <w:rPr>
          <w:rFonts w:ascii="IRNazanin" w:hAnsi="IRNazanin" w:eastAsia="IRNazanin"/>
          <w:color w:val="111111"/>
          <w:sz w:val="28"/>
          <w:sz w:val="28"/>
          <w:szCs w:val="28"/>
          <w:rtl w:val="true"/>
          <w:lang w:bidi="fa-IR"/>
        </w:rPr>
        <w:t>محقّق ایروانی قدس سره در حاشیة المکاسب برای جمع میان این دو دسته از روایات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أحسن جمع بینها وبین الطائفة المانعة عن الإنتفاع، حملُ المانعة علی صورة التلویث؛</w:t>
      </w:r>
      <w:r>
        <w:rPr>
          <w:rStyle w:val="FootnoteAnchor"/>
          <w:rtl w:val="true"/>
        </w:rPr>
        <w:footnoteReference w:id="625"/>
      </w:r>
      <w:r>
        <w:rPr>
          <w:rFonts w:ascii="IRNazanin" w:hAnsi="IRNazanin" w:eastAsia="IRNazanin"/>
          <w:color w:val="111111"/>
          <w:sz w:val="28"/>
          <w:sz w:val="28"/>
          <w:szCs w:val="28"/>
          <w:rtl w:val="true"/>
          <w:lang w:bidi="fa-IR"/>
        </w:rPr>
        <w:t>بهترین جمع میان روایات مجوّزه و روایات مانعه، این است که روایات مانعه را بر جایی حمل کنیم که دست انسان به‌واسطۀ تماس با مردار آلوده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نقد این روش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تلویث، یعنی انسان دست خود را به مردار بزند و آن را نجس کند، در حالی که از نگاه شارع این کار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نمی‌توان آن را دلیل بر عدم جواز انتفاع از مردار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روش برای جمع بین روایات مانعه و مجوّزه صحیح نیست</w:t>
      </w:r>
      <w:r>
        <w:rPr>
          <w:rFonts w:eastAsia="IRNazanin" w:cs="IRNazanin"/>
          <w:color w:val="111111"/>
          <w:sz w:val="28"/>
          <w:szCs w:val="28"/>
          <w:rtl w:val="true"/>
          <w:lang w:bidi="fa-IR"/>
        </w:rPr>
        <w:t>.</w:t>
      </w:r>
    </w:p>
    <w:p>
      <w:pPr>
        <w:pStyle w:val="Heading6"/>
        <w:numPr>
          <w:ilvl w:val="5"/>
          <w:numId w:val="1"/>
        </w:numPr>
        <w:rPr/>
      </w:pPr>
      <w:bookmarkStart w:id="744" w:name="__RefHeading___Toc2531261_1468164448"/>
      <w:bookmarkStart w:id="745" w:name="_Toc286"/>
      <w:bookmarkEnd w:id="744"/>
      <w:r>
        <w:rPr>
          <w:rtl w:val="true"/>
        </w:rPr>
        <w:t>و</w:t>
      </w:r>
      <w:r>
        <w:rPr>
          <w:rtl w:val="true"/>
        </w:rPr>
        <w:t xml:space="preserve">) </w:t>
      </w:r>
      <w:r>
        <w:rPr>
          <w:rtl w:val="true"/>
        </w:rPr>
        <w:t>روش ششم</w:t>
      </w:r>
      <w:r>
        <w:rPr>
          <w:rtl w:val="true"/>
        </w:rPr>
        <w:t>:</w:t>
      </w:r>
      <w:bookmarkEnd w:id="745"/>
    </w:p>
    <w:p>
      <w:pPr>
        <w:pStyle w:val="BookText"/>
        <w:rPr/>
      </w:pPr>
      <w:r>
        <w:rPr>
          <w:rFonts w:ascii="IRNazanin" w:hAnsi="IRNazanin" w:eastAsia="IRNazanin"/>
          <w:color w:val="111111"/>
          <w:sz w:val="28"/>
          <w:sz w:val="28"/>
          <w:szCs w:val="28"/>
          <w:rtl w:val="true"/>
          <w:lang w:bidi="fa-IR"/>
        </w:rPr>
        <w:t>روش دیگری که برای جمع میان این دو دسته از روایات مطرح شده، این است که روایات مجوّزه را ناظر به اجزای بدون روح مردار و روایات مانعه را ناظر به اجزای دارای حیات مردار بدانیم</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به نظر می‌رسد که این جمع نیز مانند دو جمع پیشین صحیح نیست؛ زیرا</w:t>
      </w:r>
      <w:bookmarkStart w:id="746" w:name="pg13785_135226"/>
    </w:p>
    <w:p>
      <w:pPr>
        <w:pStyle w:val="BookText"/>
        <w:rPr/>
      </w:pPr>
      <w:bookmarkEnd w:id="746"/>
      <w:r>
        <w:rPr>
          <w:rFonts w:ascii="IRNazanin" w:hAnsi="IRNazanin" w:eastAsia="IRNazanin"/>
          <w:color w:val="111111"/>
          <w:sz w:val="28"/>
          <w:sz w:val="28"/>
          <w:szCs w:val="28"/>
          <w:rtl w:val="true"/>
          <w:lang w:bidi="fa-IR"/>
        </w:rPr>
        <w:t>اجزای بدون روح را مردار نمی‌گویند، در حالی که روایات مجوّزه همگی دربارۀ مردار وارد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آنچه گفته شد، دانستیم که از میان شش روش یاد شده، برخی قابل قبول نیستند و فقط می‌توان روش اوّل یا دوم را برگزید؛ یعنی یا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مجوّزه حاکم بر روایات مانعه و یا مخصّص آنها هستند، و یا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مجوّزه قرینه هستند بر این‌که روایات مانعه باید بر کراهت حمل شوند</w:t>
      </w:r>
      <w:r>
        <w:rPr>
          <w:rFonts w:eastAsia="IRNazanin" w:cs="IRNazanin"/>
          <w:color w:val="111111"/>
          <w:sz w:val="28"/>
          <w:szCs w:val="28"/>
          <w:rtl w:val="true"/>
          <w:lang w:bidi="fa-IR"/>
        </w:rPr>
        <w:t>.</w:t>
      </w:r>
    </w:p>
    <w:p>
      <w:pPr>
        <w:pStyle w:val="Heading5"/>
        <w:numPr>
          <w:ilvl w:val="4"/>
          <w:numId w:val="1"/>
        </w:numPr>
        <w:rPr/>
      </w:pPr>
      <w:bookmarkStart w:id="747" w:name="__RefHeading___Toc2531263_1468164448"/>
      <w:bookmarkStart w:id="748" w:name="_Toc287"/>
      <w:bookmarkEnd w:id="747"/>
      <w:r>
        <w:rPr>
          <w:rtl w:val="true"/>
        </w:rPr>
        <w:t>بند چهارم</w:t>
      </w:r>
      <w:r>
        <w:rPr>
          <w:rtl w:val="true"/>
        </w:rPr>
        <w:t xml:space="preserve">: </w:t>
      </w:r>
      <w:r>
        <w:rPr>
          <w:rtl w:val="true"/>
        </w:rPr>
        <w:t>بررسی اجماع در مسئله</w:t>
      </w:r>
      <w:bookmarkEnd w:id="748"/>
    </w:p>
    <w:p>
      <w:pPr>
        <w:pStyle w:val="Heading6"/>
        <w:numPr>
          <w:ilvl w:val="5"/>
          <w:numId w:val="1"/>
        </w:numPr>
        <w:rPr/>
      </w:pPr>
      <w:bookmarkStart w:id="749" w:name="__RefHeading___Toc2531265_1468164448"/>
      <w:bookmarkStart w:id="750" w:name="_Toc288"/>
      <w:bookmarkEnd w:id="749"/>
      <w:r>
        <w:rPr>
          <w:rtl w:val="true"/>
        </w:rPr>
        <w:t>اشارة</w:t>
      </w:r>
      <w:bookmarkEnd w:id="750"/>
    </w:p>
    <w:p>
      <w:pPr>
        <w:pStyle w:val="BookText"/>
        <w:rPr/>
      </w:pPr>
      <w:r>
        <w:rPr>
          <w:rFonts w:ascii="IRNazanin" w:hAnsi="IRNazanin" w:eastAsia="IRNazanin"/>
          <w:color w:val="111111"/>
          <w:sz w:val="28"/>
          <w:sz w:val="28"/>
          <w:szCs w:val="28"/>
          <w:rtl w:val="true"/>
          <w:lang w:bidi="fa-IR"/>
        </w:rPr>
        <w:t>پس از بررسی روایات، این نتیجه حاصل شد که استفاده از مردار در منافع حلال آن، جایز است و در خوردن و آشامیدن و نماز خواندن نمی‌توان از آن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فقها به‌طور جزم و یقین فتوا به جواز انتفاع مردار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امام خمینی قدس سره در کتاب المکاسب المحرّمة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یمنعنا عن الجرأة إلی الذهاب إلی الجواز، هو دعاوی الإجماع وعدم الخلاف وعدم وجدان الخلاف والشهرة فی المسألة؛</w:t>
      </w:r>
      <w:r>
        <w:rPr>
          <w:rStyle w:val="FootnoteAnchor"/>
          <w:rtl w:val="true"/>
        </w:rPr>
        <w:footnoteReference w:id="626"/>
      </w:r>
      <w:r>
        <w:rPr>
          <w:rFonts w:ascii="IRNazanin" w:hAnsi="IRNazanin" w:eastAsia="IRNazanin"/>
          <w:color w:val="111111"/>
          <w:sz w:val="28"/>
          <w:sz w:val="28"/>
          <w:szCs w:val="28"/>
          <w:rtl w:val="true"/>
          <w:lang w:bidi="fa-IR"/>
        </w:rPr>
        <w:t>آنچه که جرأت فتوا دادن به جواز را از ما سلب می‌کند، این است که در این مسئله، ادّعای اجماع، عدم خلاف، پیدا نکردن خلاف و شهرت بر عدم انتفاع از مردار،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برای روشن شدن این مطلب، ابتدا سخن برخی از فقها را بررسی می‌کنیم و در نهایت با جمع‌بندی سخن ایشان، بحث را ادامه خواهیم داد</w:t>
      </w:r>
      <w:r>
        <w:rPr>
          <w:rFonts w:eastAsia="IRNazanin" w:cs="IRNazanin"/>
          <w:color w:val="111111"/>
          <w:sz w:val="28"/>
          <w:szCs w:val="28"/>
          <w:rtl w:val="true"/>
          <w:lang w:bidi="fa-IR"/>
        </w:rPr>
        <w:t>.</w:t>
      </w:r>
    </w:p>
    <w:p>
      <w:pPr>
        <w:pStyle w:val="Heading6"/>
        <w:numPr>
          <w:ilvl w:val="5"/>
          <w:numId w:val="1"/>
        </w:numPr>
        <w:rPr/>
      </w:pPr>
      <w:bookmarkStart w:id="751" w:name="__RefHeading___Toc2531267_1468164448"/>
      <w:bookmarkStart w:id="752" w:name="_Toc289"/>
      <w:bookmarkEnd w:id="751"/>
      <w:r>
        <w:rPr>
          <w:rtl w:val="true"/>
        </w:rPr>
        <w:t>الف</w:t>
      </w:r>
      <w:r>
        <w:rPr>
          <w:rtl w:val="true"/>
        </w:rPr>
        <w:t xml:space="preserve">) </w:t>
      </w:r>
      <w:r>
        <w:rPr>
          <w:rtl w:val="true"/>
        </w:rPr>
        <w:t>فقیهانی که ادّعای اجماع کرده‌اند</w:t>
      </w:r>
      <w:bookmarkEnd w:id="752"/>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سخن، کلامی است که ابن ادریس قدس سره در کتاب السرائر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نقل صحیحۀ بزنطی، این روایت را دالّ بر جواز انتفاع از مردار می‌داند، ولی به این</w:t>
      </w:r>
    </w:p>
    <w:p>
      <w:pPr>
        <w:pStyle w:val="BookText"/>
        <w:rPr/>
      </w:pPr>
      <w:r>
        <w:rPr>
          <w:rFonts w:ascii="IRNazanin" w:hAnsi="IRNazanin" w:eastAsia="IRNazanin"/>
          <w:color w:val="111111"/>
          <w:sz w:val="28"/>
          <w:sz w:val="28"/>
          <w:szCs w:val="28"/>
          <w:rtl w:val="true"/>
          <w:lang w:bidi="fa-IR"/>
        </w:rPr>
        <w:t>دلیل که این روایت جزء نوادر است، به آن اعتنا نکرده و ادّعا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تصرّف در مردار در هر صورتی بجز خوردن در حال اضطرار، اجماعی است</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همچنین شهید ثانی قدس سره نیز در مسالک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انتفاع از دنبۀ گوسفند زنده که حکم مردار را دارد، مورد توافق فقهاست</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نیز صاحب مفتاح الکرامة از محقّق حلّی، علاّمۀ حلّی، شهید اوّل، شهید ثانی و فاضل هندی قدس سرهم نقل می‌کند که انتفاع از مردار جایز نیست</w:t>
      </w:r>
      <w:r>
        <w:rPr>
          <w:rFonts w:eastAsia="IRNazanin" w:cs="IRNazanin"/>
          <w:color w:val="111111"/>
          <w:sz w:val="28"/>
          <w:szCs w:val="28"/>
          <w:rtl w:val="true"/>
          <w:lang w:bidi="fa-IR"/>
        </w:rPr>
        <w:t>.</w:t>
      </w:r>
      <w:r>
        <w:rPr>
          <w:rStyle w:val="FootnoteAnchor"/>
          <w:rtl w:val="true"/>
        </w:rPr>
        <w:footnoteReference w:id="629"/>
      </w:r>
      <w:r>
        <w:rPr>
          <w:rFonts w:ascii="IRNazanin" w:hAnsi="IRNazanin" w:eastAsia="IRNazanin"/>
          <w:color w:val="111111"/>
          <w:sz w:val="28"/>
          <w:sz w:val="28"/>
          <w:szCs w:val="28"/>
          <w:rtl w:val="true"/>
          <w:lang w:bidi="fa-IR"/>
        </w:rPr>
        <w:t>وی در ادامه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کلام بقیۀ فقها نیز همین است که انتفاع از مردار، جز برای خوردن در حالت اضطرار جایز نباشد؛ چراکه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مفهوم لقب در عبارت‌های فقها اجماعی است و به‌وسیلۀ آن می‌توان موافقت یا مخالفت فقیه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و قرائنی که در کلام فقها وجود دارد، بر این دیدگاه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نخست ایشان مطلب جدیدی است؛ زیرا اصولیان در بحث مفاهیم تلاش می‌کنند مفهوم شرط را تا حدّی اثبات کنند، ولی یکی از چیزهایی که به صورت قطعی مفهوم داشتن آن را قبول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30"/>
      </w:r>
      <w:r>
        <w:rPr>
          <w:rFonts w:ascii="IRNazanin" w:hAnsi="IRNazanin" w:eastAsia="IRNazanin"/>
          <w:color w:val="111111"/>
          <w:sz w:val="28"/>
          <w:sz w:val="28"/>
          <w:szCs w:val="28"/>
          <w:rtl w:val="true"/>
          <w:lang w:bidi="fa-IR"/>
        </w:rPr>
        <w:t>مثلاً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نیست که عمرو نیامد، و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نیامدن جاهل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مرحوم عاملی قدس سره در مفتاح الکرامة قدس سره ادّعا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فقهایی که در بحث مربوط به لقب می‌گویند لقب مفهوم ندارد، در عبارت‌های خودشان برای لقب، مفهوم را در نظر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ایشان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اکله للمضطر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 که استفاده از مردار برای غیر مضطر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می‌توانیم از راه مفهوم لقب، موافقت و مخالفت فقها با حکم را استفاده کنیم</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دلیل دوم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سیاق و قرائن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نهایتاً به یک روش</w:t>
      </w:r>
    </w:p>
    <w:p>
      <w:pPr>
        <w:pStyle w:val="BookText"/>
        <w:rPr/>
      </w:pPr>
      <w:r>
        <w:rPr>
          <w:rFonts w:ascii="IRNazanin" w:hAnsi="IRNazanin" w:eastAsia="IRNazanin"/>
          <w:color w:val="111111"/>
          <w:sz w:val="28"/>
          <w:sz w:val="28"/>
          <w:szCs w:val="28"/>
          <w:rtl w:val="true"/>
          <w:lang w:bidi="fa-IR"/>
        </w:rPr>
        <w:t>اجتهادی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اجماعی که ایشان ادّعا می‌کند یک اجماع اجتهادی است و در نتیجه نمی‌توان به آن اعتنا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و صاحب جواهر قدس سرهما نیز با وجود این‌که ادّعای اجماع ندارند، به عدم انتفاع مردار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کتاب الخلاف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الرهن شاة فماتت زال ملک الراهن عنها؛ دلیلنا اجماع الفرقة علی أنّ جلد المیتة لایطهر بالدباغ؛</w:t>
      </w:r>
      <w:r>
        <w:rPr>
          <w:rStyle w:val="FootnoteAnchor"/>
          <w:rtl w:val="true"/>
        </w:rPr>
        <w:footnoteReference w:id="631"/>
      </w:r>
      <w:r>
        <w:rPr>
          <w:rFonts w:ascii="IRNazanin" w:hAnsi="IRNazanin" w:eastAsia="IRNazanin"/>
          <w:color w:val="111111"/>
          <w:sz w:val="28"/>
          <w:sz w:val="28"/>
          <w:szCs w:val="28"/>
          <w:rtl w:val="true"/>
          <w:lang w:bidi="fa-IR"/>
        </w:rPr>
        <w:t>اگر گوسفندی که مال مرهون است بمیرد، مالکیت راهن بر آن از بین می‌رود و دلیل آن اجماع فقهای امامیّه بر پاک نشدن پوست مردار با دبّاغی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سخن، از آن‌جا که شیخ طوسی با مرگ گوسفند، مالکیت راهن را زائل می‌داند،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گوسفند مرده هیچ منفعتی را در نظر نگرفته است، وگرنه نباید مالکیت راهن را زائل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ایشان در کتاب النهایة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مالم یذّک ومات لم یجز استعمال جلده فی شیءٍ من الأشیاء لا قبلَ الدّباغ ولا بعده؛</w:t>
      </w:r>
      <w:r>
        <w:rPr>
          <w:rStyle w:val="FootnoteAnchor"/>
          <w:rtl w:val="true"/>
        </w:rPr>
        <w:footnoteReference w:id="632"/>
      </w:r>
      <w:r>
        <w:rPr>
          <w:rFonts w:ascii="IRNazanin" w:hAnsi="IRNazanin" w:eastAsia="IRNazanin"/>
          <w:color w:val="111111"/>
          <w:sz w:val="28"/>
          <w:sz w:val="28"/>
          <w:szCs w:val="28"/>
          <w:rtl w:val="true"/>
          <w:lang w:bidi="fa-IR"/>
        </w:rPr>
        <w:t>از پوست حیوانی که پیش از تذکیه مرده است، نمی‌توان هیچ استفاده‌ای کرد، چه پیش از دبّاغی و چه بعد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قدس سره نیز در کتاب خود چنین آورده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یجوز الإنتفاع بشیءٍ منها ممّا تحلّه الحیات فضلاً عن التکسّب سواء کانت میتة نجس العین أو طاهرها؛</w:t>
      </w:r>
      <w:r>
        <w:rPr>
          <w:rStyle w:val="FootnoteAnchor"/>
          <w:rtl w:val="true"/>
        </w:rPr>
        <w:footnoteReference w:id="633"/>
      </w:r>
      <w:r>
        <w:rPr>
          <w:rFonts w:ascii="IRNazanin" w:hAnsi="IRNazanin" w:eastAsia="IRNazanin"/>
          <w:color w:val="111111"/>
          <w:sz w:val="28"/>
          <w:sz w:val="28"/>
          <w:szCs w:val="28"/>
          <w:rtl w:val="true"/>
          <w:lang w:bidi="fa-IR"/>
        </w:rPr>
        <w:t>انتفاع از جزء دارای روح مردار جایز نیست چه رسد به معاملۀ آن، خواه مردارِ نجس العین باشد و خواه مردارِ حیوان طاهر</w:t>
      </w:r>
      <w:r>
        <w:rPr>
          <w:rFonts w:eastAsia="IRNazanin" w:cs="IRNazanin"/>
          <w:color w:val="111111"/>
          <w:sz w:val="28"/>
          <w:szCs w:val="28"/>
          <w:rtl w:val="true"/>
          <w:lang w:bidi="fa-IR"/>
        </w:rPr>
        <w:t>.</w:t>
      </w:r>
      <w:bookmarkStart w:id="753" w:name="pg13785_135229"/>
    </w:p>
    <w:p>
      <w:pPr>
        <w:pStyle w:val="Heading6"/>
        <w:numPr>
          <w:ilvl w:val="5"/>
          <w:numId w:val="1"/>
        </w:numPr>
        <w:rPr/>
      </w:pPr>
      <w:bookmarkStart w:id="754" w:name="__RefHeading___Toc2531269_1468164448"/>
      <w:bookmarkStart w:id="755" w:name="_Toc290"/>
      <w:bookmarkEnd w:id="753"/>
      <w:bookmarkEnd w:id="754"/>
      <w:r>
        <w:rPr>
          <w:rtl w:val="true"/>
        </w:rPr>
        <w:t>ب</w:t>
      </w:r>
      <w:r>
        <w:rPr>
          <w:rtl w:val="true"/>
        </w:rPr>
        <w:t xml:space="preserve">) </w:t>
      </w:r>
      <w:r>
        <w:rPr>
          <w:rtl w:val="true"/>
        </w:rPr>
        <w:t>شهرت در مسئله</w:t>
      </w:r>
      <w:bookmarkEnd w:id="755"/>
    </w:p>
    <w:p>
      <w:pPr>
        <w:pStyle w:val="BookText"/>
        <w:rPr/>
      </w:pPr>
      <w:r>
        <w:rPr>
          <w:rFonts w:ascii="IRNazanin" w:hAnsi="IRNazanin" w:eastAsia="IRNazanin"/>
          <w:color w:val="111111"/>
          <w:sz w:val="28"/>
          <w:sz w:val="28"/>
          <w:szCs w:val="28"/>
          <w:rtl w:val="true"/>
          <w:lang w:bidi="fa-IR"/>
        </w:rPr>
        <w:t>این سخنان، کلمات فقیهانی بود که انتفاع از مردار را جایز نمی‌دانند، هرچند برخی از ایشان ادّعای اجماع را نیز مطرح کرده و برخی دیگر به فتوا بسنده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کلمات، برای این است که اگر ما نتوانستیم اجماعی بر این مسئله به دست بیاوریم، در مرحلۀ بعد باید ببینیم که آیا شهرتی در این مسئله وجود دارد یا نه؟</w:t>
      </w:r>
    </w:p>
    <w:p>
      <w:pPr>
        <w:pStyle w:val="BookText"/>
        <w:rPr/>
      </w:pPr>
      <w:r>
        <w:rPr>
          <w:rFonts w:ascii="IRNazanin" w:hAnsi="IRNazanin" w:eastAsia="IRNazanin"/>
          <w:color w:val="111111"/>
          <w:sz w:val="28"/>
          <w:sz w:val="28"/>
          <w:szCs w:val="28"/>
          <w:rtl w:val="true"/>
          <w:lang w:bidi="fa-IR"/>
        </w:rPr>
        <w:t>همان طور که گفته شد، شیخ طوسی و علاّمۀ حلّی و محقّق حلّی و شهید اوّل و شهید ثانی و فاضل هندی قدس سرهم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انتفاع به میته مطلقاً جایز نیست؛ لیکن در مقابل، برخی از فقها نیز قائل‌اند به این‌که انتفاع از مردارجایز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شیخ صدوق قدس سره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أن تتوضّأ من الماء إذا کان فی رقٍ من جلد المیتة ولا بأس أن یشربه؛</w:t>
      </w:r>
      <w:r>
        <w:rPr>
          <w:rStyle w:val="FootnoteAnchor"/>
          <w:rtl w:val="true"/>
        </w:rPr>
        <w:footnoteReference w:id="634"/>
      </w:r>
      <w:r>
        <w:rPr>
          <w:rFonts w:ascii="IRNazanin" w:hAnsi="IRNazanin" w:eastAsia="IRNazanin"/>
          <w:color w:val="111111"/>
          <w:sz w:val="28"/>
          <w:sz w:val="28"/>
          <w:szCs w:val="28"/>
          <w:rtl w:val="true"/>
          <w:lang w:bidi="fa-IR"/>
        </w:rPr>
        <w:t>وضو گرفتن با آبی که در ظرف ساخته شده از پوست مردار است، اشکال ندارد و خوردن آن نیز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ایشان روایتی را از امام صادق علیه السلام نقل می‌کند که حضرت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می‌توانید شیر و آب را در ظرفی که از پوست میته درست شده است،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به این نکته توجّه کرد که شیخ صدوق قدس سره در آغاز کتاب من لا یحضره الفقیه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أقصد فیه قصد المصنّفین فی ایراد جمیع ما رواه، بل قصدت إلی ایراد ما أفتی به وأحکم بصحّته واعتقد فیه أنّه حجة بینی وبین ربّی؛</w:t>
      </w:r>
      <w:r>
        <w:rPr>
          <w:rStyle w:val="FootnoteAnchor"/>
          <w:rtl w:val="true"/>
        </w:rPr>
        <w:footnoteReference w:id="635"/>
      </w:r>
      <w:r>
        <w:rPr>
          <w:rFonts w:ascii="IRNazanin" w:hAnsi="IRNazanin" w:eastAsia="IRNazanin"/>
          <w:color w:val="111111"/>
          <w:sz w:val="28"/>
          <w:sz w:val="28"/>
          <w:szCs w:val="28"/>
          <w:rtl w:val="true"/>
          <w:lang w:bidi="fa-IR"/>
        </w:rPr>
        <w:t>قصد من از ذکر این روایات، تنها جمع کردن آنها نیست؛ بلکه قصد من جمع کردن روایاتی است که می‌خواهم بر طبق آنها فتوا بدهم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گویا ایشان به این عهدی که در اوّل کتاب کرده است، در برخی از موارد وفا</w:t>
      </w:r>
      <w:bookmarkStart w:id="756" w:name="pg13785_135230"/>
    </w:p>
    <w:p>
      <w:pPr>
        <w:pStyle w:val="BookText"/>
        <w:rPr/>
      </w:pPr>
      <w:bookmarkEnd w:id="756"/>
      <w:r>
        <w:rPr>
          <w:rFonts w:ascii="IRNazanin" w:hAnsi="IRNazanin" w:eastAsia="IRNazanin"/>
          <w:color w:val="111111"/>
          <w:sz w:val="28"/>
          <w:sz w:val="28"/>
          <w:szCs w:val="28"/>
          <w:rtl w:val="true"/>
          <w:lang w:bidi="fa-IR"/>
        </w:rPr>
        <w:t>نکرده است؛ یعنی این گونه نیست که بر طبق هر روایتی که نقل کرده فتوا داده باشد، و اتّفاقاً این‌جا نیز یکی از همان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از وحید بهبهانی و ایشان از جدّ خویش نقل می‌کند که شیخ صدوق از آنچه که در اوّل کتاب آورده، رجوع و عدول نموده است و به خاطر همین روایاتی را آورده است که بر طبق آنها فتوا نمی‌دهد</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البتّه باید دانست که منظور ایشان از جواز نوشیدن یا وضو گرفتن با آبی که در پوست مردار قرار گرفته، در جایی است که آب به اندازۀ کر باشد؛ چنان‌که علاّمۀ حلّی قدس سره نیز در کتاب قواعد الإحکام به جواز وضو گرفتن از حوضی که از پوست مردار ساخته شده و اندازۀ آب آن به مقدار کر است، تصریح می‌کند</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محقّق حلّی قدس سره نیز در کتاب شرائع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الإستسقاء بجلود المیتة وإن کان نجساً ولا یصلّی من مائها وترک الإستسقاء أفضل؛</w:t>
      </w:r>
      <w:r>
        <w:rPr>
          <w:rStyle w:val="FootnoteAnchor"/>
          <w:rtl w:val="true"/>
        </w:rPr>
        <w:footnoteReference w:id="638"/>
      </w:r>
      <w:r>
        <w:rPr>
          <w:rFonts w:ascii="IRNazanin" w:hAnsi="IRNazanin" w:eastAsia="IRNazanin"/>
          <w:color w:val="111111"/>
          <w:sz w:val="28"/>
          <w:sz w:val="28"/>
          <w:szCs w:val="28"/>
          <w:rtl w:val="true"/>
          <w:lang w:bidi="fa-IR"/>
        </w:rPr>
        <w:t>هرچند آبی که در پوست مردار ریخته شده نجس است، لیکن این‌که از آن برای آب دادن به حیوان یا درخت از آن استفاده کنیم جایز است، ولی برای نماز نمی‌توان از آن استفاده کرد، و ترک آبیاری با آن نیز بهتر است</w:t>
      </w:r>
      <w:r>
        <w:rPr>
          <w:rFonts w:eastAsia="IRNazanin" w:cs="IRNazanin"/>
          <w:color w:val="111111"/>
          <w:sz w:val="28"/>
          <w:szCs w:val="28"/>
          <w:rtl w:val="true"/>
          <w:lang w:bidi="fa-IR"/>
        </w:rPr>
        <w:t>.</w:t>
      </w:r>
    </w:p>
    <w:p>
      <w:pPr>
        <w:pStyle w:val="Heading5"/>
        <w:numPr>
          <w:ilvl w:val="4"/>
          <w:numId w:val="1"/>
        </w:numPr>
        <w:rPr/>
      </w:pPr>
      <w:bookmarkStart w:id="757" w:name="__RefHeading___Toc2531271_1468164448"/>
      <w:bookmarkStart w:id="758" w:name="_Toc291"/>
      <w:bookmarkEnd w:id="757"/>
      <w:r>
        <w:rPr>
          <w:rtl w:val="true"/>
        </w:rPr>
        <w:t>بند پنجم</w:t>
      </w:r>
      <w:r>
        <w:rPr>
          <w:rtl w:val="true"/>
        </w:rPr>
        <w:t xml:space="preserve">: </w:t>
      </w:r>
      <w:r>
        <w:rPr>
          <w:rtl w:val="true"/>
        </w:rPr>
        <w:t>دیدگاه برگزیده</w:t>
      </w:r>
      <w:bookmarkEnd w:id="758"/>
    </w:p>
    <w:p>
      <w:pPr>
        <w:pStyle w:val="Heading6"/>
        <w:numPr>
          <w:ilvl w:val="5"/>
          <w:numId w:val="1"/>
        </w:numPr>
        <w:rPr/>
      </w:pPr>
      <w:bookmarkStart w:id="759" w:name="__RefHeading___Toc2531273_1468164448"/>
      <w:bookmarkStart w:id="760" w:name="_Toc292"/>
      <w:bookmarkEnd w:id="759"/>
      <w:r>
        <w:rPr>
          <w:rtl w:val="true"/>
        </w:rPr>
        <w:t>اشارة</w:t>
      </w:r>
      <w:bookmarkEnd w:id="760"/>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 عبارات فقها می‌توان نتیجه گرفت که اجماعی مبنی بر عدم جواز از مردار وجود ندارد و حتّی اگر چنین اجماعی ثابت شود، مدرکی و فاقد حجّیت است</w:t>
      </w:r>
      <w:r>
        <w:rPr>
          <w:rFonts w:eastAsia="IRNazanin" w:cs="IRNazanin"/>
          <w:color w:val="111111"/>
          <w:sz w:val="28"/>
          <w:szCs w:val="28"/>
          <w:rtl w:val="true"/>
          <w:lang w:bidi="fa-IR"/>
        </w:rPr>
        <w:t>.</w:t>
      </w:r>
      <w:r>
        <w:rPr>
          <w:rStyle w:val="FootnoteAnchor"/>
          <w:rtl w:val="true"/>
        </w:rPr>
        <w:footnoteReference w:id="639"/>
      </w:r>
      <w:r>
        <w:rPr>
          <w:rFonts w:ascii="IRNazanin" w:hAnsi="IRNazanin" w:eastAsia="IRNazanin"/>
          <w:color w:val="111111"/>
          <w:sz w:val="28"/>
          <w:sz w:val="28"/>
          <w:szCs w:val="28"/>
          <w:rtl w:val="true"/>
          <w:lang w:bidi="fa-IR"/>
        </w:rPr>
        <w:t>بنا بر این، دیدگاه امام خمینی قدس سره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فالأشبه الجواز، و الأحوط 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0"/>
      </w:r>
      <w:r>
        <w:rPr>
          <w:rFonts w:ascii="IRNazanin" w:hAnsi="IRNazanin" w:eastAsia="IRNazanin"/>
          <w:color w:val="111111"/>
          <w:sz w:val="28"/>
          <w:sz w:val="28"/>
          <w:szCs w:val="28"/>
          <w:rtl w:val="true"/>
          <w:lang w:bidi="fa-IR"/>
        </w:rPr>
        <w:t>مورد قبول ما نیز است</w:t>
      </w:r>
      <w:r>
        <w:rPr>
          <w:rFonts w:eastAsia="IRNazanin" w:cs="IRNazanin"/>
          <w:color w:val="111111"/>
          <w:sz w:val="28"/>
          <w:szCs w:val="28"/>
          <w:rtl w:val="true"/>
          <w:lang w:bidi="fa-IR"/>
        </w:rPr>
        <w:t>.</w:t>
      </w:r>
      <w:bookmarkStart w:id="761" w:name="pg13785_135231"/>
    </w:p>
    <w:p>
      <w:pPr>
        <w:pStyle w:val="BookText"/>
        <w:rPr/>
      </w:pPr>
      <w:bookmarkEnd w:id="761"/>
      <w:r>
        <w:rPr>
          <w:rFonts w:ascii="IRNazanin" w:hAnsi="IRNazanin" w:eastAsia="IRNazanin"/>
          <w:color w:val="111111"/>
          <w:sz w:val="28"/>
          <w:sz w:val="28"/>
          <w:szCs w:val="28"/>
          <w:rtl w:val="true"/>
          <w:lang w:bidi="fa-IR"/>
        </w:rPr>
        <w:t xml:space="preserve">البتّه باید دانست که در این عبارت،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کلماتی است که به عنوان فتوا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منظور از احتیاط در عبارت یاد شده، احتیاط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منظور از قاعده نیز تقدّم روایات مجوّزه بر مانعه از باب تخصیص یا حکومت و یا اصل حلّیت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دیدگاه ما این است که انتفاع از مردار جایز و احتیاط مستحب در ترک آن است</w:t>
      </w:r>
      <w:r>
        <w:rPr>
          <w:rFonts w:eastAsia="IRNazanin" w:cs="IRNazanin"/>
          <w:color w:val="111111"/>
          <w:sz w:val="28"/>
          <w:szCs w:val="28"/>
          <w:rtl w:val="true"/>
          <w:lang w:bidi="fa-IR"/>
        </w:rPr>
        <w:t>.</w:t>
      </w:r>
    </w:p>
    <w:p>
      <w:pPr>
        <w:pStyle w:val="Heading6"/>
        <w:numPr>
          <w:ilvl w:val="5"/>
          <w:numId w:val="1"/>
        </w:numPr>
        <w:rPr/>
      </w:pPr>
      <w:bookmarkStart w:id="762" w:name="__RefHeading___Toc2531275_1468164448"/>
      <w:bookmarkStart w:id="763" w:name="_Toc293"/>
      <w:bookmarkEnd w:id="762"/>
      <w:r>
        <w:rPr>
          <w:rtl w:val="true"/>
        </w:rPr>
        <w:t>نکته‌ای دربارۀ شهرت فتوایی</w:t>
      </w:r>
      <w:bookmarkEnd w:id="763"/>
    </w:p>
    <w:p>
      <w:pPr>
        <w:pStyle w:val="BookText"/>
        <w:rPr/>
      </w:pPr>
      <w:r>
        <w:rPr>
          <w:rFonts w:ascii="IRNazanin" w:hAnsi="IRNazanin" w:eastAsia="IRNazanin"/>
          <w:color w:val="111111"/>
          <w:sz w:val="28"/>
          <w:sz w:val="28"/>
          <w:szCs w:val="28"/>
          <w:rtl w:val="true"/>
          <w:lang w:bidi="fa-IR"/>
        </w:rPr>
        <w:t>خودِ امام خمینی قدس سره در موارد تعارض میان دو گروه از روایات، آن روایاتی که شهرت فتوایی دارند را مقدّم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توجّه به این‌که دربارۀ انتفاع از مردار نیز حتّی اگر اجماع نداشته باشیم، دست‌کم شهرت بر منع داریم، این پرسش مطرح می‌شود که چرا ایشان در این‌جا روایات مانعه را مقدّم نمی‌کند؟</w:t>
      </w:r>
    </w:p>
    <w:p>
      <w:pPr>
        <w:pStyle w:val="BookText"/>
        <w:rPr/>
      </w:pPr>
      <w:r>
        <w:rPr>
          <w:rFonts w:ascii="IRNazanin" w:hAnsi="IRNazanin" w:eastAsia="IRNazanin"/>
          <w:color w:val="111111"/>
          <w:sz w:val="28"/>
          <w:sz w:val="28"/>
          <w:szCs w:val="28"/>
          <w:rtl w:val="true"/>
          <w:lang w:bidi="fa-IR"/>
        </w:rPr>
        <w:t xml:space="preserve">پاسخ این است که حتّی اگر ما شهرت فتوایی هم داشته باشیم، از آن‌جا که میان روایات دو گروه، تعارض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هنگامی که می‌گوییم روایات مجوّزه بر روایات مانعه حاکم است، معنایش این است که تعارضی بین آنها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قاعده اقتضا می‌کند که ما به روایات مجوّزه عمل کنیم اگرچه شهرت فتوایی بر منع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این نکتۀ مهم توجّه کرد که در برخی از موارد، با این‌که شهرت فتوایی وجود دارد، ولی نمی‌تواند مرجّح باشد؛ زیرا ترجیح به‌وسیلۀ شهرت فتوایی، فقط در موارد تعارض است؛ امّا در مواردی که یک دسته از روایات حاکم بر دستۀ دیگر است، دیگر مجالی برای شهرت فتوایی و یا سائر مرجّحات باقی نمی‌ماند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باید به این مطلب اشاره نمود که امروزه انواع پیوند اعضای بدن انسان همچون پیوند کلیّه، قلب و مانند آن از مصادیق بحث انتفاع از مردار است که اهمّیت ویژۀ این بحث را نشان می‌دهد</w:t>
      </w:r>
      <w:r>
        <w:rPr>
          <w:rFonts w:eastAsia="IRNazanin" w:cs="IRNazanin"/>
          <w:color w:val="111111"/>
          <w:sz w:val="28"/>
          <w:szCs w:val="28"/>
          <w:rtl w:val="true"/>
          <w:lang w:bidi="fa-IR"/>
        </w:rPr>
        <w:t>.</w:t>
      </w:r>
      <w:bookmarkStart w:id="764" w:name="pg13785_135232"/>
    </w:p>
    <w:p>
      <w:pPr>
        <w:pStyle w:val="Heading4"/>
        <w:numPr>
          <w:ilvl w:val="3"/>
          <w:numId w:val="1"/>
        </w:numPr>
        <w:rPr/>
      </w:pPr>
      <w:bookmarkStart w:id="765" w:name="__RefHeading___Toc2531277_1468164448"/>
      <w:bookmarkStart w:id="766" w:name="_Toc294"/>
      <w:bookmarkEnd w:id="764"/>
      <w:bookmarkEnd w:id="765"/>
      <w:r>
        <w:rPr>
          <w:rtl w:val="true"/>
        </w:rPr>
        <w:t>گفتار دوم</w:t>
      </w:r>
      <w:r>
        <w:rPr>
          <w:rtl w:val="true"/>
        </w:rPr>
        <w:t xml:space="preserve">: </w:t>
      </w:r>
      <w:r>
        <w:rPr>
          <w:rtl w:val="true"/>
        </w:rPr>
        <w:t>حکم معاملۀ مردار</w:t>
      </w:r>
      <w:bookmarkEnd w:id="766"/>
    </w:p>
    <w:p>
      <w:pPr>
        <w:pStyle w:val="Heading5"/>
        <w:numPr>
          <w:ilvl w:val="4"/>
          <w:numId w:val="1"/>
        </w:numPr>
        <w:rPr/>
      </w:pPr>
      <w:bookmarkStart w:id="767" w:name="__RefHeading___Toc2531279_1468164448"/>
      <w:bookmarkStart w:id="768" w:name="_Toc295"/>
      <w:bookmarkEnd w:id="767"/>
      <w:r>
        <w:rPr>
          <w:rtl w:val="true"/>
        </w:rPr>
        <w:t>اشارة</w:t>
      </w:r>
      <w:bookmarkEnd w:id="768"/>
    </w:p>
    <w:p>
      <w:pPr>
        <w:pStyle w:val="BookText"/>
        <w:rPr/>
      </w:pPr>
      <w:r>
        <w:rPr>
          <w:rFonts w:ascii="IRNazanin" w:hAnsi="IRNazanin" w:eastAsia="IRNazanin"/>
          <w:color w:val="111111"/>
          <w:sz w:val="28"/>
          <w:sz w:val="28"/>
          <w:szCs w:val="28"/>
          <w:rtl w:val="true"/>
          <w:lang w:bidi="fa-IR"/>
        </w:rPr>
        <w:t>حرمت معاملۀ مردار، به حرمت تکلیفی و وضعی، مورد اتّفاق فقهای امامیّه و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فقهای شیعه که به حرمت معاملۀ مردار فتوا داده‌اند می‌توان به شیخ طوسی در الخلاف</w:t>
      </w:r>
      <w:r>
        <w:rPr>
          <w:rStyle w:val="FootnoteAnchor"/>
          <w:rtl w:val="true"/>
        </w:rPr>
        <w:footnoteReference w:id="641"/>
      </w:r>
      <w:r>
        <w:rPr>
          <w:rFonts w:ascii="IRNazanin" w:hAnsi="IRNazanin" w:eastAsia="IRNazanin"/>
          <w:color w:val="111111"/>
          <w:sz w:val="28"/>
          <w:sz w:val="28"/>
          <w:szCs w:val="28"/>
          <w:rtl w:val="true"/>
          <w:lang w:bidi="fa-IR"/>
        </w:rPr>
        <w:t>و النهایة،</w:t>
      </w:r>
      <w:r>
        <w:rPr>
          <w:rStyle w:val="FootnoteAnchor"/>
          <w:rtl w:val="true"/>
        </w:rPr>
        <w:footnoteReference w:id="642"/>
      </w:r>
      <w:r>
        <w:rPr>
          <w:rFonts w:ascii="IRNazanin" w:hAnsi="IRNazanin" w:eastAsia="IRNazanin"/>
          <w:color w:val="111111"/>
          <w:sz w:val="28"/>
          <w:sz w:val="28"/>
          <w:szCs w:val="28"/>
          <w:rtl w:val="true"/>
          <w:lang w:bidi="fa-IR"/>
        </w:rPr>
        <w:t>علاّمۀ حلّی در تذکرة الفقهاء،</w:t>
      </w:r>
      <w:r>
        <w:rPr>
          <w:rStyle w:val="FootnoteAnchor"/>
          <w:rtl w:val="true"/>
        </w:rPr>
        <w:footnoteReference w:id="643"/>
      </w:r>
      <w:r>
        <w:rPr>
          <w:rFonts w:ascii="IRNazanin" w:hAnsi="IRNazanin" w:eastAsia="IRNazanin"/>
          <w:color w:val="111111"/>
          <w:sz w:val="28"/>
          <w:sz w:val="28"/>
          <w:szCs w:val="28"/>
          <w:rtl w:val="true"/>
          <w:lang w:bidi="fa-IR"/>
        </w:rPr>
        <w:t>شیخ سلاّر در المراسم،</w:t>
      </w:r>
      <w:r>
        <w:rPr>
          <w:rStyle w:val="FootnoteAnchor"/>
          <w:rtl w:val="true"/>
        </w:rPr>
        <w:footnoteReference w:id="644"/>
      </w:r>
      <w:r>
        <w:rPr>
          <w:rFonts w:ascii="IRNazanin" w:hAnsi="IRNazanin" w:eastAsia="IRNazanin"/>
          <w:color w:val="111111"/>
          <w:sz w:val="28"/>
          <w:sz w:val="28"/>
          <w:szCs w:val="28"/>
          <w:rtl w:val="true"/>
          <w:lang w:bidi="fa-IR"/>
        </w:rPr>
        <w:t>صاحب جواهر</w:t>
      </w:r>
      <w:r>
        <w:rPr>
          <w:rStyle w:val="FootnoteAnchor"/>
          <w:rtl w:val="true"/>
        </w:rPr>
        <w:footnoteReference w:id="645"/>
      </w:r>
      <w:r>
        <w:rPr>
          <w:rFonts w:ascii="IRNazanin" w:hAnsi="IRNazanin" w:eastAsia="IRNazanin"/>
          <w:color w:val="111111"/>
          <w:sz w:val="28"/>
          <w:sz w:val="28"/>
          <w:szCs w:val="28"/>
          <w:rtl w:val="true"/>
          <w:lang w:bidi="fa-IR"/>
        </w:rPr>
        <w:t>و شیخ انصاری قدس سرهم</w:t>
      </w:r>
      <w:r>
        <w:rPr>
          <w:rStyle w:val="FootnoteAnchor"/>
          <w:rtl w:val="true"/>
        </w:rPr>
        <w:footnoteReference w:id="646"/>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متأخّرین نیز شیخ انصاری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مردار جایز نیست؛ ولی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شدیم به این‌که انتفاع از مردار جایز است، بیع آن نیز جایز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خویی قدس سره دربارۀ این روایات اصلاً بحث انتفاع را مطرح نمی‌کند؛ بلکه در نهایت به این نتیجه می‌رسند که بیع مردار، باطل و حرام است، مگر به کسی که این میته را حلال بداند</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امام خمینی قدس سره نیز هرچند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جواز بیع مردار است؛ ولی آن را به جایی اختصاص می‌دهد که مردار، یک منفعت محلّل غالبه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عدم جواز بیع مردار تقریباً بین عامّه و خاصّه مورد اتّفاق است؛ زیرا علمای عامّه نیز بیع میته را حرام می‌دانند، هرچند معلوم نیست که به حرمت تکلیفی نیز قائل باشند</w:t>
      </w:r>
      <w:r>
        <w:rPr>
          <w:rFonts w:eastAsia="IRNazanin" w:cs="IRNazanin"/>
          <w:color w:val="111111"/>
          <w:sz w:val="28"/>
          <w:szCs w:val="28"/>
          <w:rtl w:val="true"/>
          <w:lang w:bidi="fa-IR"/>
        </w:rPr>
        <w:t>.</w:t>
      </w:r>
    </w:p>
    <w:p>
      <w:pPr>
        <w:pStyle w:val="Heading5"/>
        <w:numPr>
          <w:ilvl w:val="4"/>
          <w:numId w:val="1"/>
        </w:numPr>
        <w:rPr/>
      </w:pPr>
      <w:bookmarkStart w:id="769" w:name="__RefHeading___Toc2531281_1468164448"/>
      <w:bookmarkStart w:id="770" w:name="_Toc296"/>
      <w:bookmarkEnd w:id="769"/>
      <w:r>
        <w:rPr>
          <w:rtl w:val="true"/>
        </w:rPr>
        <w:t>بند اوّل</w:t>
      </w:r>
      <w:r>
        <w:rPr>
          <w:rtl w:val="true"/>
        </w:rPr>
        <w:t xml:space="preserve">: </w:t>
      </w:r>
      <w:r>
        <w:rPr>
          <w:rtl w:val="true"/>
        </w:rPr>
        <w:t>ادلّۀ حرمت معاملۀ مردار</w:t>
      </w:r>
      <w:bookmarkEnd w:id="770"/>
    </w:p>
    <w:p>
      <w:pPr>
        <w:pStyle w:val="Heading6"/>
        <w:numPr>
          <w:ilvl w:val="5"/>
          <w:numId w:val="1"/>
        </w:numPr>
        <w:rPr/>
      </w:pPr>
      <w:bookmarkStart w:id="771" w:name="__RefHeading___Toc2531283_1468164448"/>
      <w:bookmarkStart w:id="772" w:name="_Toc297"/>
      <w:bookmarkEnd w:id="771"/>
      <w:r>
        <w:rPr>
          <w:rtl w:val="true"/>
        </w:rPr>
        <w:t>الف</w:t>
      </w:r>
      <w:r>
        <w:rPr>
          <w:rtl w:val="true"/>
        </w:rPr>
        <w:t xml:space="preserve">) </w:t>
      </w:r>
      <w:r>
        <w:rPr>
          <w:rtl w:val="true"/>
        </w:rPr>
        <w:t>اجماع</w:t>
      </w:r>
      <w:bookmarkEnd w:id="772"/>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دلایلی که برای اثبات حرمت بیع مردار مطرح شده، اجماع است؛ امّا باید توجّه داشت که نمی‌توان از این اجماع، به عنوان یک دلیل مستقل استفاده کرد؛ زیرا</w:t>
      </w:r>
      <w:bookmarkStart w:id="773" w:name="pg13785_135233"/>
    </w:p>
    <w:p>
      <w:pPr>
        <w:pStyle w:val="BookText"/>
        <w:rPr/>
      </w:pPr>
      <w:bookmarkEnd w:id="773"/>
      <w:r>
        <w:rPr>
          <w:rFonts w:ascii="IRNazanin" w:hAnsi="IRNazanin" w:eastAsia="IRNazanin"/>
          <w:color w:val="111111"/>
          <w:sz w:val="28"/>
          <w:sz w:val="28"/>
          <w:szCs w:val="28"/>
          <w:rtl w:val="true"/>
          <w:lang w:bidi="fa-IR"/>
        </w:rPr>
        <w:t>این اجماع، یقینی المدرک یا محتمل المدرک است و بر پایۀ استناد به بعضی از روایاتی شکل گرفته است که در این بحث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اجماع تعبّدی نیست و اصالتی ندارد و نمی‌تواند معتبر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کسی اجماع مدرکی را حجّت بداند از این جهت اشکالی وارد نیست</w:t>
      </w:r>
      <w:r>
        <w:rPr>
          <w:rFonts w:eastAsia="IRNazanin" w:cs="IRNazanin"/>
          <w:color w:val="111111"/>
          <w:sz w:val="28"/>
          <w:szCs w:val="28"/>
          <w:rtl w:val="true"/>
          <w:lang w:bidi="fa-IR"/>
        </w:rPr>
        <w:t>.</w:t>
      </w:r>
    </w:p>
    <w:p>
      <w:pPr>
        <w:pStyle w:val="Heading6"/>
        <w:numPr>
          <w:ilvl w:val="5"/>
          <w:numId w:val="1"/>
        </w:numPr>
        <w:rPr/>
      </w:pPr>
      <w:bookmarkStart w:id="774" w:name="__RefHeading___Toc2531285_1468164448"/>
      <w:bookmarkStart w:id="775" w:name="_Toc298"/>
      <w:bookmarkEnd w:id="774"/>
      <w:r>
        <w:rPr>
          <w:rtl w:val="true"/>
        </w:rPr>
        <w:t>ب</w:t>
      </w:r>
      <w:r>
        <w:rPr>
          <w:rtl w:val="true"/>
        </w:rPr>
        <w:t xml:space="preserve">) </w:t>
      </w:r>
      <w:r>
        <w:rPr>
          <w:rtl w:val="true"/>
        </w:rPr>
        <w:t>عدم مالیّت مردار</w:t>
      </w:r>
      <w:bookmarkEnd w:id="775"/>
    </w:p>
    <w:p>
      <w:pPr>
        <w:pStyle w:val="BookText"/>
        <w:rPr/>
      </w:pPr>
      <w:r>
        <w:rPr>
          <w:rFonts w:ascii="IRNazanin" w:hAnsi="IRNazanin" w:eastAsia="IRNazanin"/>
          <w:color w:val="111111"/>
          <w:sz w:val="28"/>
          <w:sz w:val="28"/>
          <w:szCs w:val="28"/>
          <w:rtl w:val="true"/>
          <w:lang w:bidi="fa-IR"/>
        </w:rPr>
        <w:t>شیخ انصاری قدس سره در کتاب المکاسب، یکی از دلایل حرمت بیع مردار را عدم مالیّت آن می‌داند،</w:t>
      </w:r>
      <w:r>
        <w:rPr>
          <w:rStyle w:val="FootnoteAnchor"/>
          <w:rtl w:val="true"/>
        </w:rPr>
        <w:footnoteReference w:id="648"/>
      </w:r>
      <w:r>
        <w:rPr>
          <w:rFonts w:ascii="IRNazanin" w:hAnsi="IRNazanin" w:eastAsia="IRNazanin"/>
          <w:color w:val="111111"/>
          <w:sz w:val="28"/>
          <w:sz w:val="28"/>
          <w:szCs w:val="28"/>
          <w:rtl w:val="true"/>
          <w:lang w:bidi="fa-IR"/>
        </w:rPr>
        <w:t>بدین بیان که مردار قابلیت انتفاع ندارد و این امر موجب عدم مالیّت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معاملۀ چیزی که مالیّت ندارد، حرام است؛ زیرا مصداق أکل مال به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به نظر می‌رسد که با توجّه به مطالب فصل اوّل همین بحث، انتفاع از مردار جایز است و با توجّه به منفعت حلال مردار، باید آن را مال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همان گونه که بارها اشاره شد، محقّق خویی قدس سره مالیّت عوضین را شرط نمی‌داند؛ یعنی از نظر ایشان این‌که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 مبادلۀ مال بمال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 نیست؛ بلکه در عوضین معامله، همین مقدار که در طرفین، غرض صحیح عقلایی وجود داشته باشد کافی است، مانند لباس پاره‌ای که پدری زیر پای خود می‌انداخته و یکی از وارثانش آن را از بقیّۀ وارثان می‌خرد، در حالی که در بازار یک ریال برای آن لباس پاره نمی‌پردازند و مالیّت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محقّق خویی قدس سره معتقد است که ما فقط دلیل داریم بر این‌که طرفین معامله نباید سفیه باشند؛ لیکن دلیلی بر بطلان بیع سفیهانه نداریم</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دیگر در سخن محقّق خویی این 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به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 إِلاّ أَنْ تَکُونَ تِجارَةً عَنْ تَراضٍ مِنْکُمْ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بگوییم در عوضین، مالیّت معتبر است، استدلال درستی نیست؛ چراکه این آیۀ شریفه</w:t>
      </w:r>
      <w:bookmarkStart w:id="776" w:name="pg13785_135234"/>
    </w:p>
    <w:p>
      <w:pPr>
        <w:pStyle w:val="BookText"/>
        <w:rPr/>
      </w:pPr>
      <w:bookmarkEnd w:id="776"/>
      <w:r>
        <w:rPr>
          <w:rFonts w:ascii="IRNazanin" w:hAnsi="IRNazanin" w:eastAsia="IRNazanin"/>
          <w:color w:val="111111"/>
          <w:sz w:val="28"/>
          <w:sz w:val="28"/>
          <w:szCs w:val="28"/>
          <w:rtl w:val="true"/>
          <w:lang w:bidi="fa-IR"/>
        </w:rPr>
        <w:t>کاری به عوضین ندارد و در مقام این نیست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و معوّض باید چه چیزی باشند؛ بلکه آیه در مقام بیان سبب اکل و تصرّف است؛ یعنی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اکل و تصرّف باید به‌واسطۀ یک سبب صحیح شرعی باشد؛ امّا بر این‌که عوضین چه شریطی داشته باشند، دلالتی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شاهد بر مدّعای ایشان این باشد که گاهی به همین آیۀ شریفه برای بطلان قمار استدلال می‌شود؛ یعنی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نیز از مصادیق اکل به باطل است، یا مثلاً برای اثبات حرمت غصب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اکل مال به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به نظر می‌رسد که هرچند در این آیۀ شریفه، مستثنی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اسباب است، ولی مستثنی‌منه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دارد؛ یعنی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را از راه باطل یا در مقابل عوض باطل، به دست آوردید بر شما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دلیلی ندارد که آیه را فقط به اسباب منحصر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مدلول آیه این است که به دست آوردن مال نباید از راه باطل باشد و این، اطلاق دارد و هم سبب باطل را در بر می‌گیرد و هم عوض باطل را</w:t>
      </w:r>
      <w:r>
        <w:rPr>
          <w:rFonts w:eastAsia="IRNazanin" w:cs="IRNazanin"/>
          <w:color w:val="111111"/>
          <w:sz w:val="28"/>
          <w:szCs w:val="28"/>
          <w:rtl w:val="true"/>
          <w:lang w:bidi="fa-IR"/>
        </w:rPr>
        <w:t>.</w:t>
      </w:r>
    </w:p>
    <w:p>
      <w:pPr>
        <w:pStyle w:val="Heading6"/>
        <w:numPr>
          <w:ilvl w:val="5"/>
          <w:numId w:val="1"/>
        </w:numPr>
        <w:rPr/>
      </w:pPr>
      <w:bookmarkStart w:id="777" w:name="__RefHeading___Toc2531287_1468164448"/>
      <w:bookmarkStart w:id="778" w:name="_Toc299"/>
      <w:bookmarkEnd w:id="777"/>
      <w:r>
        <w:rPr>
          <w:rtl w:val="true"/>
        </w:rPr>
        <w:t>ج</w:t>
      </w:r>
      <w:r>
        <w:rPr>
          <w:rtl w:val="true"/>
        </w:rPr>
        <w:t xml:space="preserve">) </w:t>
      </w:r>
      <w:r>
        <w:rPr>
          <w:rtl w:val="true"/>
        </w:rPr>
        <w:t>نجاست مردار</w:t>
      </w:r>
      <w:bookmarkEnd w:id="778"/>
    </w:p>
    <w:p>
      <w:pPr>
        <w:pStyle w:val="BookText"/>
        <w:rPr/>
      </w:pPr>
      <w:r>
        <w:rPr>
          <w:rFonts w:ascii="IRNazanin" w:hAnsi="IRNazanin" w:eastAsia="IRNazanin"/>
          <w:color w:val="111111"/>
          <w:sz w:val="28"/>
          <w:sz w:val="28"/>
          <w:szCs w:val="28"/>
          <w:rtl w:val="true"/>
          <w:lang w:bidi="fa-IR"/>
        </w:rPr>
        <w:t>دلیل دیگر حرمت معاملۀ مردار، نجاست آن است؛ امّا همان‌گونه که پیش از این گفته شد، نمی‌توان نجاست را دلیل حرمت معامله دانست و نیز نجاست از حیث نجاست بودنش، نمی‌تواند سبب بطلان بیع باشد</w:t>
      </w:r>
      <w:r>
        <w:rPr>
          <w:rFonts w:eastAsia="IRNazanin" w:cs="IRNazanin"/>
          <w:color w:val="111111"/>
          <w:sz w:val="28"/>
          <w:szCs w:val="28"/>
          <w:rtl w:val="true"/>
          <w:lang w:bidi="fa-IR"/>
        </w:rPr>
        <w:t>.</w:t>
      </w:r>
    </w:p>
    <w:p>
      <w:pPr>
        <w:pStyle w:val="Heading6"/>
        <w:numPr>
          <w:ilvl w:val="5"/>
          <w:numId w:val="1"/>
        </w:numPr>
        <w:rPr/>
      </w:pPr>
      <w:bookmarkStart w:id="779" w:name="__RefHeading___Toc2531289_1468164448"/>
      <w:bookmarkStart w:id="780" w:name="_Toc300"/>
      <w:bookmarkEnd w:id="779"/>
      <w:r>
        <w:rPr>
          <w:rtl w:val="true"/>
        </w:rPr>
        <w:t>د</w:t>
      </w:r>
      <w:r>
        <w:rPr>
          <w:rtl w:val="true"/>
        </w:rPr>
        <w:t xml:space="preserve">) </w:t>
      </w:r>
      <w:r>
        <w:rPr>
          <w:rtl w:val="true"/>
        </w:rPr>
        <w:t>روایات عام</w:t>
      </w:r>
      <w:bookmarkEnd w:id="780"/>
    </w:p>
    <w:p>
      <w:pPr>
        <w:pStyle w:val="BookText"/>
        <w:rPr/>
      </w:pPr>
      <w:r>
        <w:rPr>
          <w:rFonts w:ascii="IRNazanin" w:hAnsi="IRNazanin" w:eastAsia="IRNazanin"/>
          <w:color w:val="111111"/>
          <w:sz w:val="28"/>
          <w:sz w:val="28"/>
          <w:szCs w:val="28"/>
          <w:rtl w:val="true"/>
          <w:lang w:bidi="fa-IR"/>
        </w:rPr>
        <w:t>از دیگر دلایل حرمت بیع مردار، می‌توان به روایات عامّی اشاره کرد که در ابتدای کتاب المکاسب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روایت تحف العقول، روایت دعائم الاسلام و نبوی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حرّم شیئاً حرّم ثمنه</w:t>
      </w:r>
      <w:r>
        <w:rPr>
          <w:rFonts w:eastAsia="Amiri" w:cs="Amiri" w:ascii="Amiri" w:hAnsi="Amiri"/>
          <w:color w:val="111111"/>
          <w:sz w:val="28"/>
          <w:szCs w:val="28"/>
          <w:rtl w:val="true"/>
          <w:lang w:bidi="ar-SA"/>
        </w:rPr>
        <w:t>».</w:t>
      </w:r>
      <w:r>
        <w:rPr>
          <w:rStyle w:val="FootnoteAnchor"/>
          <w:rtl w:val="true"/>
        </w:rPr>
        <w:footnoteReference w:id="649"/>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روایت نبوی صلی الله علیه و آله، بر فرض که بتوانیم به‌وسیلۀ این روایت، حرمت وضعی</w:t>
      </w:r>
      <w:bookmarkStart w:id="781" w:name="pg13785_135235"/>
    </w:p>
    <w:p>
      <w:pPr>
        <w:pStyle w:val="BookText"/>
        <w:rPr/>
      </w:pPr>
      <w:bookmarkEnd w:id="781"/>
      <w:r>
        <w:rPr>
          <w:rFonts w:ascii="IRNazanin" w:hAnsi="IRNazanin" w:eastAsia="IRNazanin"/>
          <w:color w:val="111111"/>
          <w:sz w:val="28"/>
          <w:sz w:val="28"/>
          <w:szCs w:val="28"/>
          <w:rtl w:val="true"/>
          <w:lang w:bidi="fa-IR"/>
        </w:rPr>
        <w:t>را اثبات کنیم، امّا نمی‌توانیم حرمت تکلیفی را اثبات کنیم، در حالی که مدّعای ما اثبات هر دو نوع حرمت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 اساس روایات تحف العقول و دعائم الاسلام، معاملۀ شیء نجس به صورت وضعی و تکلیفی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سند روایت دعائم الاسلام با اشکالاتی مواجه بود و سند روایت تحف العقول نیز از سوی بزرگانی همچون محقّق خویی و شاگردانشان و بسیاری از فقهای معاصر، مورد اشکال واقع شده است؛ لیکن در جای خود ثابت شد که این روایت در نزد ما معتبر و قابل استناد است و مقتضای آن، حرمت معاملۀ شیء نجس به قصد منفعت حرام است؛ ولی اگر منفعت حرام قصد نشود، حرمت نیز ثابت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نمی‌توان این روایات را مبنای حرمت بیع مردار قرار داد</w:t>
      </w:r>
      <w:r>
        <w:rPr>
          <w:rFonts w:eastAsia="IRNazanin" w:cs="IRNazanin"/>
          <w:color w:val="111111"/>
          <w:sz w:val="28"/>
          <w:szCs w:val="28"/>
          <w:rtl w:val="true"/>
          <w:lang w:bidi="fa-IR"/>
        </w:rPr>
        <w:t>.</w:t>
      </w:r>
    </w:p>
    <w:p>
      <w:pPr>
        <w:pStyle w:val="Heading6"/>
        <w:numPr>
          <w:ilvl w:val="5"/>
          <w:numId w:val="1"/>
        </w:numPr>
        <w:rPr/>
      </w:pPr>
      <w:bookmarkStart w:id="782" w:name="__RefHeading___Toc2531291_1468164448"/>
      <w:bookmarkStart w:id="783" w:name="_Toc301"/>
      <w:bookmarkEnd w:id="782"/>
      <w:r>
        <w:rPr>
          <w:rtl w:val="true"/>
        </w:rPr>
        <w:t>ه</w:t>
      </w:r>
      <w:r>
        <w:rPr>
          <w:rtl w:val="true"/>
        </w:rPr>
        <w:t xml:space="preserve">) </w:t>
      </w:r>
      <w:r>
        <w:rPr>
          <w:rtl w:val="true"/>
        </w:rPr>
        <w:t>روایات خاص</w:t>
      </w:r>
      <w:bookmarkEnd w:id="783"/>
    </w:p>
    <w:p>
      <w:pPr>
        <w:pStyle w:val="BookText"/>
        <w:rPr/>
      </w:pPr>
      <w:r>
        <w:rPr>
          <w:rFonts w:ascii="IRNazanin" w:hAnsi="IRNazanin" w:eastAsia="IRNazanin"/>
          <w:color w:val="111111"/>
          <w:sz w:val="28"/>
          <w:sz w:val="28"/>
          <w:szCs w:val="28"/>
          <w:rtl w:val="true"/>
          <w:lang w:bidi="fa-IR"/>
        </w:rPr>
        <w:t>اصلی‌ترین دلیل برای اثبات حرمت معاملۀ مردار، روایات خاصّ این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از روایات، بیع مردار را حرام دانسته‌اند و از دسته‌ای دیگر، جواز بیع مردار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بحث، این دو دسته از روایات مطرح شده و سپس راه جمع میان آنها مورد مطالعه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در شیوۀ اجتهادی محقّق خویی و امام خمینی قدس سرهما هنگام برخورد با این روایات دقّت کنیم؛ ولی نه به‌خاطر این‌که ببینیم کدام یک قوی‌تر است، بلکه از این جهت که این بحث می‌تواند برای طلبه‌ای که در مسیر فقه و اجتهاد است، به عنوان یک تمرین شمرده شود</w:t>
      </w:r>
      <w:r>
        <w:rPr>
          <w:rFonts w:eastAsia="IRNazanin" w:cs="IRNazanin"/>
          <w:color w:val="111111"/>
          <w:sz w:val="28"/>
          <w:szCs w:val="28"/>
          <w:rtl w:val="true"/>
          <w:lang w:bidi="fa-IR"/>
        </w:rPr>
        <w:t>.</w:t>
      </w:r>
    </w:p>
    <w:p>
      <w:pPr>
        <w:pStyle w:val="Heading5"/>
        <w:numPr>
          <w:ilvl w:val="4"/>
          <w:numId w:val="1"/>
        </w:numPr>
        <w:rPr/>
      </w:pPr>
      <w:bookmarkStart w:id="784" w:name="__RefHeading___Toc2531293_1468164448"/>
      <w:bookmarkStart w:id="785" w:name="_Toc302"/>
      <w:bookmarkEnd w:id="784"/>
      <w:r>
        <w:rPr>
          <w:rtl w:val="true"/>
        </w:rPr>
        <w:t>بند دوم</w:t>
      </w:r>
      <w:r>
        <w:rPr>
          <w:rtl w:val="true"/>
        </w:rPr>
        <w:t xml:space="preserve">: </w:t>
      </w:r>
      <w:r>
        <w:rPr>
          <w:rtl w:val="true"/>
        </w:rPr>
        <w:t>بررسی روایات مربوط به معاملۀ مردار</w:t>
      </w:r>
      <w:bookmarkEnd w:id="785"/>
    </w:p>
    <w:p>
      <w:pPr>
        <w:pStyle w:val="Heading6"/>
        <w:numPr>
          <w:ilvl w:val="5"/>
          <w:numId w:val="1"/>
        </w:numPr>
        <w:rPr/>
      </w:pPr>
      <w:bookmarkStart w:id="786" w:name="__RefHeading___Toc2531295_1468164448"/>
      <w:bookmarkStart w:id="787" w:name="_Toc303"/>
      <w:bookmarkEnd w:id="786"/>
      <w:r>
        <w:rPr>
          <w:rtl w:val="true"/>
        </w:rPr>
        <w:t>الف</w:t>
      </w:r>
      <w:r>
        <w:rPr>
          <w:rtl w:val="true"/>
        </w:rPr>
        <w:t xml:space="preserve">) </w:t>
      </w:r>
      <w:r>
        <w:rPr>
          <w:rtl w:val="true"/>
        </w:rPr>
        <w:t>روایات مانعه</w:t>
      </w:r>
      <w:bookmarkEnd w:id="7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نخست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إِدْرِیسَ فِی آخِرِ السَّرَائِرِ</w:t>
      </w:r>
    </w:p>
    <w:p>
      <w:pPr>
        <w:pStyle w:val="BookText"/>
        <w:rPr/>
      </w:pPr>
      <w:r>
        <w:rPr>
          <w:rFonts w:ascii="Amiri" w:hAnsi="Amiri" w:eastAsia="Amiri" w:cs="Amiri"/>
          <w:color w:val="111111"/>
          <w:sz w:val="28"/>
          <w:sz w:val="28"/>
          <w:szCs w:val="28"/>
          <w:rtl w:val="true"/>
          <w:lang w:bidi="ar-SA"/>
        </w:rPr>
        <w:t>نَقْلاً مِنْ جَامِعِ الْبَزَنْطِیِّ</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الرِّضَا علیه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تَکُونُ لَهُ الْغَنَمُ یَقْطَعُ مِنْ أَلَیَاتِهَا وَهِیَ أَحْیَاءٌ أَ یَصْلُحُ لَهُ أَنْ یَنْتَفِعَ بِمَا قَطَعَ؟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یُذِیبُهَا وَیُسْرِجُ بِهَا وَلَا یَأْکُلُهَا وَلَا یَبِیعُها</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 xml:space="preserve">در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بحث انتفاع از مردار نیز مطرح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اگرچه اشکال شده است که طریق ابن ادریس به بزنطی مشخّص نیست و نمی‌دانیم چه افرادی در سند آن وجود دارند، امّا قبلاً این اشکال را پاسخ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می‌توان از این روایت استفاده کرد که شاهد در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حرمت معامله دلالت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السُّحْتُ ثَمَنُ الْمَیْتَةِ وَثَمَنُ الْکَلْبِ وَثَمَنُ الْخَمْرِ وَمَهْرُ الْبَغِیِّ وَالرِّشْوَةُ فِی الْحُکْمِ وَأَجْرُ الْکَاهِنِ</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علّامۀ حلّی قدس سره در مختلف</w:t>
      </w:r>
      <w:r>
        <w:rPr>
          <w:rStyle w:val="FootnoteAnchor"/>
          <w:rtl w:val="true"/>
        </w:rPr>
        <w:footnoteReference w:id="652"/>
      </w:r>
      <w:r>
        <w:rPr>
          <w:rFonts w:ascii="IRNazanin" w:hAnsi="IRNazanin" w:eastAsia="IRNazanin"/>
          <w:color w:val="111111"/>
          <w:sz w:val="28"/>
          <w:sz w:val="28"/>
          <w:szCs w:val="28"/>
          <w:rtl w:val="true"/>
          <w:lang w:bidi="fa-IR"/>
        </w:rPr>
        <w:t>و فخر المحقّقین قدس سره در ایضاح</w:t>
      </w:r>
      <w:r>
        <w:rPr>
          <w:rStyle w:val="FootnoteAnchor"/>
          <w:rtl w:val="true"/>
        </w:rPr>
        <w:footnoteReference w:id="653"/>
      </w:r>
      <w:r>
        <w:rPr>
          <w:rFonts w:ascii="IRNazanin" w:hAnsi="IRNazanin" w:eastAsia="IRNazanin"/>
          <w:color w:val="111111"/>
          <w:sz w:val="28"/>
          <w:sz w:val="28"/>
          <w:szCs w:val="28"/>
          <w:rtl w:val="true"/>
          <w:lang w:bidi="fa-IR"/>
        </w:rPr>
        <w:t>این روایت را موثّق دانسته‌اند و مجلسی اوّل در روضة المتّقین نیز آن را قوی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القوی عن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همچون والد محقّق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العالی </w:t>
      </w:r>
      <w:r>
        <w:rPr>
          <w:rFonts w:eastAsia="IRNazanin" w:cs="IRNazanin"/>
          <w:color w:val="111111"/>
          <w:sz w:val="28"/>
          <w:szCs w:val="28"/>
          <w:rtl w:val="true"/>
          <w:lang w:bidi="fa-IR"/>
        </w:rPr>
        <w:t xml:space="preserve">- </w:t>
      </w:r>
      <w:r>
        <w:rPr>
          <w:rStyle w:val="FootnoteAnchor"/>
          <w:rtl w:val="true"/>
        </w:rPr>
        <w:footnoteReference w:id="654"/>
      </w:r>
      <w:r>
        <w:rPr>
          <w:rFonts w:ascii="IRNazanin" w:hAnsi="IRNazanin" w:eastAsia="IRNazanin"/>
          <w:color w:val="111111"/>
          <w:sz w:val="28"/>
          <w:sz w:val="28"/>
          <w:szCs w:val="28"/>
          <w:rtl w:val="true"/>
          <w:lang w:bidi="fa-IR"/>
        </w:rPr>
        <w:t>این روایت را موثّق می‌دانیم؛ هر چند مجلسی دوّم در ملاذ الأخیار</w:t>
      </w:r>
      <w:r>
        <w:rPr>
          <w:rStyle w:val="FootnoteAnchor"/>
          <w:rtl w:val="true"/>
        </w:rPr>
        <w:footnoteReference w:id="655"/>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علی المشهور</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مال حرام است؛ ولی برخی آورده‌اند که سحت، شدیدترین نوع حرام است</w:t>
      </w:r>
      <w:r>
        <w:rPr>
          <w:rFonts w:eastAsia="IRNazanin" w:cs="IRNazanin"/>
          <w:color w:val="111111"/>
          <w:sz w:val="28"/>
          <w:szCs w:val="28"/>
          <w:rtl w:val="true"/>
          <w:lang w:bidi="fa-IR"/>
        </w:rPr>
        <w:t>.</w:t>
      </w:r>
      <w:r>
        <w:rPr>
          <w:rStyle w:val="FootnoteAnchor"/>
          <w:rtl w:val="true"/>
        </w:rPr>
        <w:footnoteReference w:id="657"/>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که در مقابل مردار گرفته می‌شود،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w:t>
      </w:r>
    </w:p>
    <w:p>
      <w:pPr>
        <w:pStyle w:val="BookText"/>
        <w:rPr/>
      </w:pPr>
      <w:r>
        <w:rPr>
          <w:rFonts w:ascii="IRNazanin" w:hAnsi="IRNazanin" w:eastAsia="IRNazanin"/>
          <w:color w:val="111111"/>
          <w:sz w:val="28"/>
          <w:sz w:val="28"/>
          <w:szCs w:val="28"/>
          <w:rtl w:val="true"/>
          <w:lang w:bidi="fa-IR"/>
        </w:rPr>
        <w:t>می‌توان حرمت معاملۀ مردار را از این روایت برداشت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 أَجْرُ الزَّانِیَةِ سُحْتٌ وَثَمَنُ الْکَلْبِ الَّذِی لَیْسَ بِکَلْبِ الصَّیْدِ سُحْتٌ وَثَمَنُ الْخَمْرِ سُحْتٌ وَأَجْرُ الْکَاهِنِ سُحْتٌ وَثَمَنُ الْمَیْتَةِ سُحْتٌ، فَأَمَّا الرِّشَا فِی الْحُکْمِ فَهُوَ الْکُفْرُ بِاللّهِ الْعَظِیمِ</w:t>
      </w:r>
      <w:r>
        <w:rPr>
          <w:rFonts w:eastAsia="Amiri" w:cs="Amiri" w:ascii="Amiri" w:hAnsi="Amiri"/>
          <w:color w:val="111111"/>
          <w:sz w:val="28"/>
          <w:szCs w:val="28"/>
          <w:rtl w:val="true"/>
          <w:lang w:bidi="ar-SA"/>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در این روایت، امام علیه السلام پولی که در مقابل مردار اخذ می‌شود را سحت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روایت، مرسل است و چنانچه مرسلات کتاب من لا یحضره الفقیه را به صورت مطلق و یا در مواردی را که شیخ صدوق قدس سره به صورت قطعی، اسناد داده است بپذیریم، روایت معتبر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وَبِإِسْنَادِهِ عَنْ حَمَّادِ بْنِ عَمْرٍو وَأَنَسِ بْنِ مُحَمَّدٍ عَنْ أَبِیهِ جَمِیعاً عَنْ جَعْفَرِ بْنِ مُحَمَّدٍ عَنْ آبَائِهِ علیهم السلام فِی وَصِیَّةِ النَّبِیِّ صلی الله علیه و آله لِعَلِیٍّ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مِنَ السُّحْتِ ثَمَنُ الْمَیْتَةِ وَثَمَنُ الْکَلْبِ وَثَمَنُ الْخَمْرِ وَمَهْرُ الزَّانِیَةِ وَالرِّشْوَةُ فِی الْحُکْمِ وَأَجْرُ الْکَاهِنِ</w:t>
      </w:r>
      <w:r>
        <w:rPr>
          <w:rFonts w:eastAsia="Amiri" w:cs="Amiri" w:ascii="Amiri" w:hAnsi="Amiri"/>
          <w:color w:val="111111"/>
          <w:sz w:val="28"/>
          <w:szCs w:val="28"/>
          <w:rtl w:val="true"/>
          <w:lang w:bidi="ar-SA"/>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این روایت چهارم همان روایت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نیز ثمن مردار، حرام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سند این سه روایت اخیر، محقّق خویی قدس سره در یک‌جا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این روایات اعتماد کرد؛ ولی در جای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مجهول و غیر قابل اعتماد است</w:t>
      </w:r>
      <w:r>
        <w:rPr>
          <w:rFonts w:eastAsia="IRNazanin" w:cs="IRNazanin"/>
          <w:color w:val="111111"/>
          <w:sz w:val="28"/>
          <w:szCs w:val="28"/>
          <w:rtl w:val="true"/>
          <w:lang w:bidi="fa-IR"/>
        </w:rPr>
        <w:t>.</w:t>
      </w:r>
      <w:r>
        <w:rPr>
          <w:rStyle w:val="FootnoteAnchor"/>
          <w:rtl w:val="true"/>
        </w:rPr>
        <w:footnoteReference w:id="660"/>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به نظر می‌رسد که تعبیر به سحت بودن، تقریباً نوعی تواتر معنوی دارد؛</w:t>
      </w:r>
    </w:p>
    <w:p>
      <w:pPr>
        <w:pStyle w:val="BookText"/>
        <w:rPr/>
      </w:pPr>
      <w:r>
        <w:rPr>
          <w:rFonts w:ascii="IRNazanin" w:hAnsi="IRNazanin" w:eastAsia="IRNazanin"/>
          <w:color w:val="111111"/>
          <w:sz w:val="28"/>
          <w:sz w:val="28"/>
          <w:szCs w:val="28"/>
          <w:rtl w:val="true"/>
          <w:lang w:bidi="fa-IR"/>
        </w:rPr>
        <w:t xml:space="preserve">یعنی در روایات بسیاری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المیتة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دیگر در این‌جا نیازی به سند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نکته‌ای که دربارۀ این سه روایت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دوم تا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اهمّیت دارد، این است که در آنها تعبیر سحت آمده است؛ یعنی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 المیته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السحت ثمن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تعبیر، از این جهت مهم است که اگر ما فقط روایت نخست را در نظر بگیریم، بحث ما در این‌جا در بیع مردار، منحصر می‌شود و فقط حرمت خرید و فروش مردار ثابت می‌شود؛ ولی اگر تعبیر یاد شده در این سه روایت اخیر را در نظر بگیریم، دایرۀ بحث گسترده‌تر می‌شود و شامل معاملات دیگری همچون هبۀ معوّضه یا مصالحه نیز می‌شود؛ چراکه بر اساس این روایات، اگر مردار را به کسی هبه یا صلح نموده و در مقابل آن پولی دریافت کنیم، این پول حرام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بویژه آن‌که در فتوای برخی از مراجع بزرگوار معاصر نیز فروختن مردار حرام، ولی پول گرفتن در برابر آن جایز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والد بزرگوار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معتقد بودند که مردار را نمی‌توان فروخت، ولی می‌توان برای رفع ید کردن از آن پولی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مردار یک گوسفند در خانۀ شما افتاده است که گوشتش حرام و غیر قابل استفاده است و به خاطر همین، فروش آن صحیح نیست؛ امّا می‌توانید پولی را بگیرید تا از آن رفع ید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دیدگاه ما نیز این است که بیع، خصوصیّتی ندارد و روایات مطلق‌اند و شامل مطلق معاوضۀ مردار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الْمَاشِیَةِ تَکُونُ لِلرَّجُلِ فَیَمُوتُ بَعْضُهَا یَصْلُحُ لَهُ بَیْعُ جُلُودِهَا وَدِبَاغُهَا وَلُبْسُهَا؟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لَاوَلَوْ</w:t>
      </w:r>
      <w:bookmarkStart w:id="788" w:name="pg13785_135239"/>
    </w:p>
    <w:p>
      <w:pPr>
        <w:pStyle w:val="BookText"/>
        <w:rPr/>
      </w:pPr>
      <w:bookmarkEnd w:id="788"/>
      <w:r>
        <w:rPr>
          <w:rFonts w:ascii="Amiri" w:hAnsi="Amiri" w:eastAsia="Amiri" w:cs="Amiri"/>
          <w:color w:val="111111"/>
          <w:sz w:val="28"/>
          <w:sz w:val="28"/>
          <w:szCs w:val="28"/>
          <w:rtl w:val="true"/>
          <w:lang w:bidi="ar-SA"/>
        </w:rPr>
        <w:t>لَبِسَهَا فَلَا یُصَلِّ فِیهَا</w:t>
      </w:r>
      <w:r>
        <w:rPr>
          <w:rFonts w:eastAsia="Amiri" w:cs="Amiri" w:ascii="Amiri" w:hAnsi="Amiri"/>
          <w:color w:val="111111"/>
          <w:sz w:val="28"/>
          <w:szCs w:val="28"/>
          <w:rtl w:val="true"/>
          <w:lang w:bidi="ar-SA"/>
        </w:rPr>
        <w:t>.</w:t>
      </w:r>
      <w:r>
        <w:rPr>
          <w:rStyle w:val="FootnoteAnchor"/>
          <w:rtl w:val="true"/>
        </w:rPr>
        <w:footnoteReference w:id="661"/>
      </w:r>
      <w:r>
        <w:rPr>
          <w:rFonts w:ascii="IRNazanin" w:hAnsi="IRNazanin" w:eastAsia="IRNazanin"/>
          <w:color w:val="111111"/>
          <w:sz w:val="28"/>
          <w:sz w:val="28"/>
          <w:szCs w:val="28"/>
          <w:rtl w:val="true"/>
          <w:lang w:bidi="fa-IR"/>
        </w:rPr>
        <w:t>علی بن جعفر از برادرش موسی بن جعفر علیهما السلام سؤال می‌کند که آیا پوست مردار را می‌توان فروخت و پوشید؟ حضرت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نمی‌شود و اگر هم پوشید با آن نماز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قبل پیرامون این روایت، مباحثی را مطرح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روایات مانعه، روایاتی است که اهل سنّت در کتاب‌های خود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جابر، سمعت رسول اللّه صلی الله علیه و آله عامَّ الفتح وهو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إنّ اللّه ورسوله حرّم بیع الخمر والمیتة والخنزیر والأصنام؛</w:t>
      </w:r>
      <w:r>
        <w:rPr>
          <w:rStyle w:val="FootnoteAnchor"/>
          <w:rtl w:val="true"/>
        </w:rPr>
        <w:footnoteReference w:id="662"/>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 الله علیه و آله در سال فتح در مکّه شنیدم که خدا و رسول او فروختن شراب و مردار را حرام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بررسی روایات مانعه، تذکّر این نکته ضروری است که حرمت بیع مردار به صورت تواتر اجمالی از روایات برداشت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دیگر نیازی به بررسی این روایات وجود ندارد؛ زیرا اطمینان پیدا می‌کنیم که قطعاً یکی از این روایات از معصوم علیه السلام صادر شده است</w:t>
      </w:r>
      <w:r>
        <w:rPr>
          <w:rFonts w:eastAsia="IRNazanin" w:cs="IRNazanin"/>
          <w:color w:val="111111"/>
          <w:sz w:val="28"/>
          <w:szCs w:val="28"/>
          <w:rtl w:val="true"/>
          <w:lang w:bidi="fa-IR"/>
        </w:rPr>
        <w:t>.</w:t>
      </w:r>
    </w:p>
    <w:p>
      <w:pPr>
        <w:pStyle w:val="Heading6"/>
        <w:numPr>
          <w:ilvl w:val="5"/>
          <w:numId w:val="1"/>
        </w:numPr>
        <w:rPr/>
      </w:pPr>
      <w:bookmarkStart w:id="789" w:name="__RefHeading___Toc2531297_1468164448"/>
      <w:bookmarkStart w:id="790" w:name="_Toc304"/>
      <w:bookmarkEnd w:id="789"/>
      <w:r>
        <w:rPr>
          <w:rtl w:val="true"/>
        </w:rPr>
        <w:t>ب</w:t>
      </w:r>
      <w:r>
        <w:rPr>
          <w:rtl w:val="true"/>
        </w:rPr>
        <w:t xml:space="preserve">) </w:t>
      </w:r>
      <w:r>
        <w:rPr>
          <w:rtl w:val="true"/>
        </w:rPr>
        <w:t>روایات مجوّزه</w:t>
      </w:r>
      <w:bookmarkEnd w:id="790"/>
    </w:p>
    <w:p>
      <w:pPr>
        <w:pStyle w:val="BookText"/>
        <w:rPr/>
      </w:pPr>
      <w:r>
        <w:rPr>
          <w:rFonts w:ascii="IRNazanin" w:hAnsi="IRNazanin" w:eastAsia="IRNazanin"/>
          <w:color w:val="111111"/>
          <w:sz w:val="28"/>
          <w:sz w:val="28"/>
          <w:szCs w:val="28"/>
          <w:rtl w:val="true"/>
          <w:lang w:bidi="fa-IR"/>
        </w:rPr>
        <w:t>مهم‌ترین روایتی که می‌توان با استناد به آن، جواز معاملۀ مردار را ثابت نمود، روایت محمّد بن عیسی از ابوالقاسم صیقل و فرزندش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وَبِإِسْنَادِهِ عَنْ مُحَمَّدِ بْنِ الْحَسَنِ الصَّفَّارِ عَنْ مُحَمَّدِ بْنِ عِیسَی بْنِ عُبَیْدٍ عَنْ أَبِی الْقَاسِمِ الصَّیْقَلِ وَوَلَدِهِ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کَتَبُوا إِلَی الرَّجُلِ علیه السلام جَعَلَنَا اللّهُ فِدَاکَ إِنَّا</w:t>
      </w:r>
      <w:bookmarkStart w:id="791" w:name="pg13785_135240"/>
    </w:p>
    <w:p>
      <w:pPr>
        <w:pStyle w:val="BookText"/>
        <w:rPr/>
      </w:pPr>
      <w:bookmarkEnd w:id="791"/>
      <w:r>
        <w:rPr>
          <w:rFonts w:ascii="Amiri" w:hAnsi="Amiri" w:eastAsia="Amiri" w:cs="Amiri"/>
          <w:color w:val="111111"/>
          <w:sz w:val="28"/>
          <w:sz w:val="28"/>
          <w:szCs w:val="28"/>
          <w:rtl w:val="true"/>
          <w:lang w:bidi="ar-SA"/>
        </w:rPr>
        <w:t>قَوْمٌ نَعْمَلُ السُّیُوفَ لَیْسَتْ لَنَا مَعِیشَةٌ وَلَا تِجَارَةٌ غَیْرُهَا وَنَحْنُ مُضْطَرُّونَ إِلَیْهَا وَإِنَّمَا عِلَاجُنَا جُلُودُ الْمَیْتَةِ وَالْبِغَالِ وَالْحَمِیرِ الْأَهْلِیَّةِ لَایَجُوزُ فِی أَعْمَالِنَا غَیْرُهَا فَیَحِلُّ لَنَا عَمَلُهَا وَشِرَاؤُهَا وَبَیْعُهَا وَمَسُّهَا بِأَیْدِینَا وَثِیَابِنَا وَنَحْنُ نُصَلِّی فِی ثِیَابِنَا وَنَحْنُ مُحْتَاجُونَ إِلَی جَوَابِکَ فِی هَذِهِ الْمَسْأَلَةِ یَا سَیِّدَنَا لِضَرُورَتِنَا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فَکَتَبَ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ثَوْباً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وَکَتَبَ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وَقَوَائِمُ السُّیُوفِ الَّتِی تُسَمَّی السَّفَنَ نَتَّخِذُهَا مِنْ جُلُودِ السَّمَکِ فَهَلْ یَجُوزُ لِیَ الْعَمَلُ بِهَا وَلَسْنَا نَأْکُلُ لُحُومَهَا؟ فَکَتَبَ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Style w:val="FootnoteAnchor"/>
          <w:rtl w:val="true"/>
        </w:rPr>
        <w:footnoteReference w:id="663"/>
      </w:r>
      <w:r>
        <w:rPr>
          <w:rFonts w:ascii="IRNazanin" w:hAnsi="IRNazanin" w:eastAsia="IRNazanin"/>
          <w:color w:val="111111"/>
          <w:sz w:val="28"/>
          <w:sz w:val="28"/>
          <w:szCs w:val="28"/>
          <w:rtl w:val="true"/>
          <w:lang w:bidi="fa-IR"/>
        </w:rPr>
        <w:t>محمّد بن عیسی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صیقل و فرزندش به امام علیه السلام نامه‌ای نوشتند که شغل ما شمشیر سازی است، لیکن ما غلاف هم درست می‌کنیم و باید در این سیوف خودمان از پوست مردار و پوست الاغ و قاطر استفاده کنیم، در حالی که دست و بدن ما هم با آنها تماس پیدا می‌کند، سپس با همین لباس نماز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نمازت لباس دیگری قرار بده و</w:t>
      </w:r>
      <w:r>
        <w:rPr>
          <w:rFonts w:eastAsia="IRNazanin" w:cs="IRNazanin"/>
          <w:color w:val="111111"/>
          <w:sz w:val="28"/>
          <w:szCs w:val="28"/>
          <w:rtl w:val="true"/>
          <w:lang w:bidi="fa-IR"/>
        </w:rPr>
        <w:t>...</w:t>
      </w:r>
    </w:p>
    <w:p>
      <w:pPr>
        <w:pStyle w:val="Heading6"/>
        <w:numPr>
          <w:ilvl w:val="5"/>
          <w:numId w:val="1"/>
        </w:numPr>
        <w:rPr/>
      </w:pPr>
      <w:bookmarkStart w:id="792" w:name="__RefHeading___Toc2531299_1468164448"/>
      <w:bookmarkStart w:id="793" w:name="_Toc305"/>
      <w:bookmarkEnd w:id="792"/>
      <w:r>
        <w:rPr/>
        <w:t>1</w:t>
      </w:r>
      <w:r>
        <w:rPr>
          <w:rtl w:val="true"/>
        </w:rPr>
        <w:t xml:space="preserve">- </w:t>
      </w:r>
      <w:r>
        <w:rPr>
          <w:rtl w:val="true"/>
        </w:rPr>
        <w:t>بحث سندی</w:t>
      </w:r>
      <w:bookmarkEnd w:id="793"/>
    </w:p>
    <w:p>
      <w:pPr>
        <w:pStyle w:val="BookText"/>
        <w:rPr/>
      </w:pPr>
      <w:r>
        <w:rPr>
          <w:rFonts w:ascii="IRNazanin" w:hAnsi="IRNazanin" w:eastAsia="IRNazanin"/>
          <w:color w:val="111111"/>
          <w:sz w:val="28"/>
          <w:sz w:val="28"/>
          <w:szCs w:val="28"/>
          <w:rtl w:val="true"/>
          <w:lang w:bidi="fa-IR"/>
        </w:rPr>
        <w:t>در بحث انتفاع از مردار، دربارۀ همین روایت گفته شد که هرچند خود ابوالقاسم صیقل مجهول است، امّا روایتش را محمّد بن عیسی نقل می‌کند و ما در حجّیت خبر می‌گوییم راوی باید موثّق باشد؛ یعنی اگر خود ابوالقاسم صیقل، این مکاتبه را نقل می‌کرد، می‌گفتیم او مجهول است و روایت او معتبر نیست؛ لیکن اکنون که محمّد بن عیسی، انجام این مکاتبه را میان این افراد و امام علیه السلام نقل می‌کند، این روایت معتبر است و حتّی فرض فاسق بودن نویسندگان نامه نیز ضرری به اعتبار آن نمی‌زند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روایت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 عن أبی القاسم الصیقل و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 در این دارد که محمّد بن عیسی از</w:t>
      </w:r>
      <w:bookmarkStart w:id="794" w:name="pg13785_135241"/>
    </w:p>
    <w:p>
      <w:pPr>
        <w:pStyle w:val="BookText"/>
        <w:rPr/>
      </w:pPr>
      <w:bookmarkEnd w:id="794"/>
      <w:r>
        <w:rPr>
          <w:rFonts w:ascii="IRNazanin" w:hAnsi="IRNazanin" w:eastAsia="IRNazanin"/>
          <w:color w:val="111111"/>
          <w:sz w:val="28"/>
          <w:sz w:val="28"/>
          <w:szCs w:val="28"/>
          <w:rtl w:val="true"/>
          <w:lang w:bidi="fa-IR"/>
        </w:rPr>
        <w:t>ابوالقاسم صیقل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اگر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نشده بود، فرمایش امام خمینی قدس سره درست بود؛ چون در این‌صورت روشن بود که محمّد بن عیسی مکاتبه را از ابوالقاسم نقل نکرده است، بلکه خودش آن را نقل می‌کند؛ لیکن اکنون که این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ذکر شده است، معلوم می‌شود که محمّد بن عیسی از خود صیقل، جریان مکاتبه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روایت به جای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عیسی عن أبی القاسم الصیقل کتبنا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در این صورت اشکال شما وارد بود؛ لیکن از آن‌جا که 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القاسم الصیقل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قال محمّد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یا عدم ذکر ابوالقاسم صیقل در این‌جا فرقی ندارد؛ چون مانند این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محمّد بن عیسی کتبوا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کرده بود، معلوم می‌شد که ابوالقاسم ناقل است و اگر ابوالقاسم ناقل بود، می‌گفتیم مجهول الحال است و اعتباری ندارد؛ لیکن اکنون که محمّد بن عیسی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 معنایش این است که من خودم دیدم که آنها نامه نوشتند و امام علیه السلام به آنها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بود و نبود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مساوی است و قرینۀ بر این تساوی،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همۀ اینها محدّث نوری در خاتمۀ مستدرک ایشان را توثیق نموده است</w:t>
      </w:r>
      <w:r>
        <w:rPr>
          <w:rFonts w:eastAsia="IRNazanin" w:cs="IRNazanin"/>
          <w:color w:val="111111"/>
          <w:sz w:val="28"/>
          <w:szCs w:val="28"/>
          <w:rtl w:val="true"/>
          <w:lang w:bidi="fa-IR"/>
        </w:rPr>
        <w:t>.</w:t>
      </w:r>
    </w:p>
    <w:p>
      <w:pPr>
        <w:pStyle w:val="Heading6"/>
        <w:numPr>
          <w:ilvl w:val="5"/>
          <w:numId w:val="1"/>
        </w:numPr>
        <w:rPr/>
      </w:pPr>
      <w:bookmarkStart w:id="795" w:name="__RefHeading___Toc2531301_1468164448"/>
      <w:bookmarkStart w:id="796" w:name="_Toc306"/>
      <w:bookmarkEnd w:id="795"/>
      <w:r>
        <w:rPr/>
        <w:t>2</w:t>
      </w:r>
      <w:r>
        <w:rPr>
          <w:rtl w:val="true"/>
        </w:rPr>
        <w:t xml:space="preserve">- </w:t>
      </w:r>
      <w:r>
        <w:rPr>
          <w:rtl w:val="true"/>
        </w:rPr>
        <w:t>بحث دلالی</w:t>
      </w:r>
      <w:bookmarkEnd w:id="796"/>
    </w:p>
    <w:p>
      <w:pPr>
        <w:pStyle w:val="BookText"/>
        <w:rPr/>
      </w:pPr>
      <w:r>
        <w:rPr>
          <w:rFonts w:ascii="IRNazanin" w:hAnsi="IRNazanin" w:eastAsia="IRNazanin"/>
          <w:color w:val="111111"/>
          <w:sz w:val="28"/>
          <w:sz w:val="28"/>
          <w:szCs w:val="28"/>
          <w:rtl w:val="true"/>
          <w:lang w:bidi="fa-IR"/>
        </w:rPr>
        <w:t>روش استدلال به این روایت، برای اثبات جواز معاملۀ مردار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سؤال سائل آمده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فیحلّ لنا عملها وشرائها و بیعها ومسّها بأیدینا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آیا کار کردن، خرید و فروش، و دست مالیدن به مردار برای ما جایز است؟ ولی امام علیه السلام در پاسخ او به این جمله بسنده می‌کنند که برای نماز خواندن لباس دیگری بپوش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می‌شود که ایشان خرید و فروش مردار را تقریر نموده‌اند و تقریر نشانۀ رضایت است؛ زیرا امام علیه السلام در مقام بیان بوده‌اند و اگر در پاسخ سؤال 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دربارۀ</w:t>
      </w:r>
    </w:p>
    <w:p>
      <w:pPr>
        <w:pStyle w:val="BookText"/>
        <w:rPr/>
      </w:pPr>
      <w:r>
        <w:rPr>
          <w:rFonts w:ascii="IRNazanin" w:hAnsi="IRNazanin" w:eastAsia="IRNazanin"/>
          <w:color w:val="111111"/>
          <w:sz w:val="28"/>
          <w:sz w:val="28"/>
          <w:szCs w:val="28"/>
          <w:rtl w:val="true"/>
          <w:lang w:bidi="fa-IR"/>
        </w:rPr>
        <w:t xml:space="preserve">بیع مردار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نگویند، تأخیر بیان از وقت حاجت پیش می‌آید که در شأن معصوم علیه السلام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شیخ انصاری</w:t>
      </w:r>
    </w:p>
    <w:p>
      <w:pPr>
        <w:pStyle w:val="BookText"/>
        <w:rPr/>
      </w:pPr>
      <w:r>
        <w:rPr>
          <w:rFonts w:ascii="IRNazanin" w:hAnsi="IRNazanin" w:eastAsia="IRNazanin"/>
          <w:color w:val="111111"/>
          <w:sz w:val="28"/>
          <w:sz w:val="28"/>
          <w:szCs w:val="28"/>
          <w:rtl w:val="true"/>
          <w:lang w:bidi="fa-IR"/>
        </w:rPr>
        <w:t>شیخ انصاری قدس سره، دلالت این روایت بر جواز معاملۀ مردار را نمی‌پذیرد؛ چراکه معتقد است استدلال به این روایت دو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از روایت استفاده کنیم که سؤال راوی دربارۀ غلاف بوده است؛ چون ضمیر در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فیحلّ لنا عملها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سیوف بر می‌گردد و سؤال دربارۀ خرید و فروش شمشیر است؛ یعنی راوی نمی‌خواهد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 شمشیر را به همراه غلاف و یا غلاف‌ها را جداگانه می‌فروشیم و بخشی از ثمن در مقابل غلاف قرار می‌گیرد، آیا این پول حلال است یا نه؟</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 دیگر روایت را با دقّت مورد بررسی قرار دهیم، این اشکال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قَوْمٌ نَعْمَلُ السُّیُوفَ وَلَیْسَتْ لَنَا مَعِیشَةٌ وَلَا تِجَارَةٌ غَیْرُهَا وَنَحْنُ مُضْطَرُّونَ إِلَیْهَا وَإِنَّمَا عِلَاجُنَا مِنْ جُلُودِ الْمَیْتَةِ مِنَ الْبِغَالِ وَالْحَمِیرِ الْأَهْلِیَّةِ لَا یَجُوزُ فِی أَعْمَالِنَا غَیْرُهَا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راوی سؤال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فَیَحِلُّ لَنَا عَمَلُهَا وَشِرَاؤُهَا وَبَیْعُهَا وَمَسُّهَا بِأَیْدِینَا وَثِیَابِنَا؟</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اگر ضمیر عملها، شرائها، بیعها و مسّها را فقط به سیوف بازگردانیم، سخن شیخ انصاری قدس سره صحیح خواهد بود؛ لیکن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ضمیر به جلود بازمی‌گردند، نه به سیوف؛ چراکه پرسش اصلی در این بخش از روایت، دربارۀ پوست مردار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روشن است که نسبت به عمل سیوف، مجال و</w:t>
      </w:r>
    </w:p>
    <w:p>
      <w:pPr>
        <w:pStyle w:val="BookText"/>
        <w:rPr/>
      </w:pPr>
      <w:r>
        <w:rPr>
          <w:rFonts w:ascii="IRNazanin" w:hAnsi="IRNazanin" w:eastAsia="IRNazanin"/>
          <w:color w:val="111111"/>
          <w:sz w:val="28"/>
          <w:sz w:val="28"/>
          <w:szCs w:val="28"/>
          <w:rtl w:val="true"/>
          <w:lang w:bidi="fa-IR"/>
        </w:rPr>
        <w:t>تردیدی برای سؤال نیست و آنچه که محلّ سؤال است، جلود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مسّها بأیدینا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روشن است که دربارۀ جلود و یا سیوف همراه با جلود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نخستین اشکال شیخ انصاری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این روایت، دلالت بر جواز بیع مردار داشته باشد، دلالتش از راه تقریر است، در حالی که نه تنها اصل کاشفیت تقریر از رضایت معصوم علیه السلام محلّ تردید است، بلکه در خصوص مورد این روایت، به مراتب این کاشفیت دشوارتر است؛ زیرا مورد این روایت مکاتبه‌ای است که احتمال تقیّه در آن بیشتر از سایر روایات است؛ چراکه نامه می‌ماند و در آینده می‌توانند به آن استناد کنند</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به نظر می‌رسد که اشکال دوم نیز صحیح نیست؛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تقریر، کاشف از رضایت است و یکی از امارات و حجج شرعی به شمار می‌رود، تردیدی وجود ندارد، که البتّه جای اثبات آن در اصول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در صورتی است که روایت، موافق با عامّه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اجماع بین عامّه این است که بیع مردار و پوست آن باطل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عامّه قائل به جواز بیع بودند می‌گفتیم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امام علیه السلام نیز موافق با آنهاست و احتمال تقیّه وجود دارد؛ ولی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اگر مسئلۀ تقیّه مطرح بود، دیگر وجهی نداشت که امام علیه السلام بفرماید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إجعل ثوباً للصلاة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اطلاق مقامی</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بزرگان</w:t>
      </w:r>
      <w:r>
        <w:rPr>
          <w:rStyle w:val="FootnoteAnchor"/>
          <w:rtl w:val="true"/>
        </w:rPr>
        <w:footnoteReference w:id="666"/>
      </w:r>
      <w:r>
        <w:rPr>
          <w:rFonts w:ascii="IRNazanin" w:hAnsi="IRNazanin" w:eastAsia="IRNazanin"/>
          <w:color w:val="111111"/>
          <w:sz w:val="28"/>
          <w:sz w:val="28"/>
          <w:szCs w:val="28"/>
          <w:rtl w:val="true"/>
          <w:lang w:bidi="fa-IR"/>
        </w:rPr>
        <w:t>برای استدلال به این روایت، به جای استفاده از تقریر معصوم علیه السلام، به اطلاق مقامی</w:t>
      </w:r>
      <w:r>
        <w:rPr>
          <w:rStyle w:val="FootnoteAnchor"/>
          <w:rtl w:val="true"/>
        </w:rPr>
        <w:footnoteReference w:id="667"/>
      </w:r>
      <w:r>
        <w:rPr>
          <w:rFonts w:ascii="IRNazanin" w:hAnsi="IRNazanin" w:eastAsia="IRNazanin"/>
          <w:color w:val="111111"/>
          <w:sz w:val="28"/>
          <w:sz w:val="28"/>
          <w:szCs w:val="28"/>
          <w:rtl w:val="true"/>
          <w:lang w:bidi="fa-IR"/>
        </w:rPr>
        <w:t>تمسّک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معتقدند که این روایت از طریق اطلاق مقامی، برجواز دلالت دارد نه از طریق تقریر؛ زیرا امام علیه السلام در مقام بیان بوده‌اند</w:t>
      </w:r>
      <w:bookmarkStart w:id="797" w:name="pg13785_135244"/>
    </w:p>
    <w:p>
      <w:pPr>
        <w:pStyle w:val="BookText"/>
        <w:rPr/>
      </w:pPr>
      <w:bookmarkEnd w:id="797"/>
      <w:r>
        <w:rPr>
          <w:rFonts w:ascii="IRNazanin" w:hAnsi="IRNazanin" w:eastAsia="IRNazanin"/>
          <w:color w:val="111111"/>
          <w:sz w:val="28"/>
          <w:sz w:val="28"/>
          <w:szCs w:val="28"/>
          <w:rtl w:val="true"/>
          <w:lang w:bidi="fa-IR"/>
        </w:rPr>
        <w:t>و نسبت به نماز، دستوری داده‌اند؛ ولی دربارۀ ردّ معاملۀ مردار، سخنی به میان نیاورده‌اند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تمسّک به اطلاق مقامی با تقریر، این است که تقریر در صورتی است که در اعتقاد سائل، همین جواز بیع باشد و امام علیه السلام آن را تقریر فرموده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نظر می‌رسد که این سخن صحیح نیست؛ زیرا هرچند امام علیه السلام در مقام بیان بوده‌اند، ولی این احتمال وجود دارد که ایشان در مقام بیان همۀ خصوصیات نباشند؛ یعنی ممکن است ایشان فقط می‌خواسته‌اند تکلیف نماز را روشن کنند و به خاطر همین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إجعل ثوباً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نسبت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 لنا بیعها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ظاهر سکوت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سکوت، تقریری است که می‌تواند کاشف از رضایت باشد، یا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سکوت به خاطر مصلحت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هرگز در اطلاق مقامی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علیه السلام حکمی را بیان نکرده‌اند، به خاطر وجود یک مصلحت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این‌جا جای اطلاق مقامی نیست؛ بلکه اطلاق مقامی در جایی است که امام علیه السلام در مقام بیان همۀ خصوصیات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آن‌که در روایات مربوط به مردار، گاهی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پوشیدی، هنگام نماز دربیاور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سر و کارت با این گونه امور است، سعی کن به آنها دست نزنی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شاید ویژگی‌های دیگری نیز در مسئله دخیل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اتّفاقاً چه بسا این‌که شیخ انصاری قدس سره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تقریر کاشف از رضایت نیست، به خاطر همین ویژگی‌هایی باشد که در این روایت وجود دارد</w:t>
      </w:r>
      <w:r>
        <w:rPr>
          <w:rFonts w:eastAsia="IRNazanin" w:cs="IRNazanin"/>
          <w:color w:val="111111"/>
          <w:sz w:val="28"/>
          <w:szCs w:val="28"/>
          <w:rtl w:val="true"/>
          <w:lang w:bidi="fa-IR"/>
        </w:rPr>
        <w:t>.</w:t>
      </w:r>
    </w:p>
    <w:p>
      <w:pPr>
        <w:pStyle w:val="Heading6"/>
        <w:numPr>
          <w:ilvl w:val="5"/>
          <w:numId w:val="1"/>
        </w:numPr>
        <w:rPr/>
      </w:pPr>
      <w:bookmarkStart w:id="798" w:name="__RefHeading___Toc2531303_1468164448"/>
      <w:bookmarkStart w:id="799" w:name="_Toc307"/>
      <w:bookmarkEnd w:id="798"/>
      <w:r>
        <w:rPr>
          <w:rtl w:val="true"/>
        </w:rPr>
        <w:t>ج</w:t>
      </w:r>
      <w:r>
        <w:rPr>
          <w:rtl w:val="true"/>
        </w:rPr>
        <w:t xml:space="preserve">) </w:t>
      </w:r>
      <w:r>
        <w:rPr>
          <w:rtl w:val="true"/>
        </w:rPr>
        <w:t>جمع میان روایات مانعه و مجوّزه</w:t>
      </w:r>
      <w:bookmarkEnd w:id="799"/>
    </w:p>
    <w:p>
      <w:pPr>
        <w:pStyle w:val="Heading6"/>
        <w:numPr>
          <w:ilvl w:val="5"/>
          <w:numId w:val="1"/>
        </w:numPr>
        <w:rPr/>
      </w:pPr>
      <w:bookmarkStart w:id="800" w:name="__RefHeading___Toc2531305_1468164448"/>
      <w:bookmarkStart w:id="801" w:name="_Toc308"/>
      <w:bookmarkEnd w:id="800"/>
      <w:r>
        <w:rPr/>
        <w:t>1</w:t>
      </w:r>
      <w:r>
        <w:rPr>
          <w:rtl w:val="true"/>
        </w:rPr>
        <w:t xml:space="preserve">- </w:t>
      </w:r>
      <w:r>
        <w:rPr>
          <w:rtl w:val="true"/>
        </w:rPr>
        <w:t>دیدگاه محقّق خویی</w:t>
      </w:r>
      <w:r>
        <w:rPr>
          <w:rtl w:val="true"/>
        </w:rPr>
        <w:t>:</w:t>
      </w:r>
      <w:bookmarkEnd w:id="801"/>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خویی قدس سره دو روش را برای جمع بین روایات مانعه و مجوّزه، پیشنهاد می‌کند که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مانعه، ظهور در حرمت معامله دارند، ولی روایات مجوّزه، نص و صریح در جواز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از باب تقدیم نص بر ظاهر یا از باب تقدیم اظهر بر ظاهر باید روایات مجوّزه را مقدّم دانست</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لیکن در نقد این روش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روایت محمّد بن عیسی از ابوالقاسم صیقل، که مهم‌ترین روایت از روایات مجوّزه بود، از راه تقریر بود و هیچ نص و صراحتی در آن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اشکالاتی بر متن و سند این روایت وارد شده است و هرچند این اشکالات، پاسخ داده شد، ولی می‌توان گفت که این روایت، صریح در جواز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میان روایات مجوّزه، غیر از روایت ابوالقاسم صیقل، روایت دیگری نیز از امام سجاد علیه السلام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روایت آمده است که گاهی حضرت علیه السلام کسی را به عراق می‌فرستادند تا از پوست‌های خوبی که در عراق به فروش می‌رسید و برای جلوگیری از سرماخوردگی سودمند بود، برای ایشان تهیّه کنند؛ در حالی که در آن زمان در عراق پوست مردار بسیار زیاد بوده است و بسیاری از افراد، مردار را دبّاغی کرده و پوست آن را می‌فروختند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امام سجاد علیه السلام از آن پوست‌ها تهیّه می‌کردند، نشانۀ جواز بیع مردار است، هرچند ایشان هنگام نماز آن را در کنار می‌گذاشتند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این روایت نیز صریح در جواز نیست؛ زیرا بازار عراق نیز سوق مسلمین بوده است و شاید امام علیه السلام بر اساس اعتماد به سوق مسلمین این کار را کرده‌اند، نه این‌که واقعاً یقین داشته‌اند که پوست آورده شده، پوست مردار است و این‌که هنگام نماز آن را از بدن خارج می‌کرده‌اند، شاید از باب احتیاط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ما روایتی را که صریح در جواز بیع مردار باشد نیافتیم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دومی که محقّق خویی قدس سره برای رفع تعارض میان این روایات</w:t>
      </w:r>
      <w:bookmarkStart w:id="802" w:name="pg13785_135246"/>
    </w:p>
    <w:p>
      <w:pPr>
        <w:pStyle w:val="BookText"/>
        <w:rPr/>
      </w:pPr>
      <w:bookmarkEnd w:id="802"/>
      <w:r>
        <w:rPr>
          <w:rFonts w:ascii="IRNazanin" w:hAnsi="IRNazanin" w:eastAsia="IRNazanin"/>
          <w:color w:val="111111"/>
          <w:sz w:val="28"/>
          <w:sz w:val="28"/>
          <w:szCs w:val="28"/>
          <w:rtl w:val="true"/>
          <w:lang w:bidi="fa-IR"/>
        </w:rPr>
        <w:t>مطرح می‌کند، این است که به قرینۀ روایات مجوّزه، روایات مانعه بر کراهت حمل شوند</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ولی به نظر می‌رسد که این روش نیز صحیح نیست؛ زیرا اگر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کراهت حمل نماییم،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بر کراهت حمل شود، در حالی که حرمت اکل مردار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همان‌گونه که پیش‌تر نیز گفته شد، در روایات مانعه، همیشه عبارت نهی وجود ندارد؛ بلکه به صورت تواتر اجمالی از ثمن مردار،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نمی‌توان سحت را بر کراهت حمل نمود؛ چراکه ظهور اوّلیِ سحت در حرمت است و بدون وجود قرینه، نمی‌توان از این ظهور دست کشید و آن را بر کراهت حمل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نهایت، محقّق خویی قدس سره روایات مانعه را به علّت ضعف سند روایت مجوّزه، مقدّم می‌داند و به حرمت معاملۀ مردار فتوا می‌دهد؛ لیکن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آینده خواهیم گفت که بیع مردار مختلط با مذکّی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پوست‌هایی که برخی از آنها مردار و برخی تذکیه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مردار را حلال می‌داند،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نهایت، ایشان فتوا می‌دهند که بیع مردار حرام است، مگر به کسی که آن را حلال می‌داند، مانند اهل کتاب که مردار و گوشت آن را حلال می‌دانند</w:t>
      </w:r>
      <w:r>
        <w:rPr>
          <w:rFonts w:eastAsia="IRNazanin" w:cs="IRNazanin"/>
          <w:color w:val="111111"/>
          <w:sz w:val="28"/>
          <w:szCs w:val="28"/>
          <w:rtl w:val="true"/>
          <w:lang w:bidi="fa-IR"/>
        </w:rPr>
        <w:t>.</w:t>
      </w:r>
      <w:r>
        <w:rPr>
          <w:rStyle w:val="FootnoteAnchor"/>
          <w:rtl w:val="true"/>
        </w:rPr>
        <w:footnoteReference w:id="670"/>
      </w:r>
    </w:p>
    <w:p>
      <w:pPr>
        <w:pStyle w:val="Heading6"/>
        <w:numPr>
          <w:ilvl w:val="5"/>
          <w:numId w:val="1"/>
        </w:numPr>
        <w:rPr/>
      </w:pPr>
      <w:bookmarkStart w:id="803" w:name="__RefHeading___Toc2531307_1468164448"/>
      <w:bookmarkStart w:id="804" w:name="_Toc309"/>
      <w:bookmarkEnd w:id="803"/>
      <w:r>
        <w:rPr/>
        <w:t>2</w:t>
      </w:r>
      <w:r>
        <w:rPr>
          <w:rtl w:val="true"/>
        </w:rPr>
        <w:t xml:space="preserve">- </w:t>
      </w:r>
      <w:r>
        <w:rPr>
          <w:rtl w:val="true"/>
        </w:rPr>
        <w:t>دیدگاه امام خمینی</w:t>
      </w:r>
      <w:bookmarkEnd w:id="804"/>
    </w:p>
    <w:p>
      <w:pPr>
        <w:pStyle w:val="BookText"/>
        <w:rPr/>
      </w:pPr>
      <w:r>
        <w:rPr>
          <w:rFonts w:ascii="IRNazanin" w:hAnsi="IRNazanin" w:eastAsia="IRNazanin"/>
          <w:color w:val="111111"/>
          <w:sz w:val="28"/>
          <w:sz w:val="28"/>
          <w:szCs w:val="28"/>
          <w:rtl w:val="true"/>
          <w:lang w:bidi="fa-IR"/>
        </w:rPr>
        <w:t>امام خمینی قدس سره نه مسئلۀ نص و ظاهر را مطرح فرموده است و نه مسئلۀ کراهت را؛ ایشان معتقد است که روایات مجوّزه، روایات مانعه را تخصیص می‌زنند؛ زیرا روایات مانعه، هم شامل مواردی می‌شوند که معامله به قصد منفعت حرام صورت گیرد و هم شامل مواردی که معامله به قصد منفعت حلال است، در حالی که روایت مجوّزه فقط مربوط به معامله‌ای است که به قصد انتفاع حلال منعقد شود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برای اثبات ادّعای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مکاتبۀ صیقل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صحیحۀ</w:t>
      </w:r>
    </w:p>
    <w:p>
      <w:pPr>
        <w:pStyle w:val="BookText"/>
        <w:rPr/>
      </w:pPr>
      <w:r>
        <w:rPr>
          <w:rFonts w:ascii="IRNazanin" w:hAnsi="IRNazanin" w:eastAsia="IRNazanin"/>
          <w:color w:val="111111"/>
          <w:sz w:val="28"/>
          <w:sz w:val="28"/>
          <w:szCs w:val="28"/>
          <w:rtl w:val="true"/>
          <w:lang w:bidi="fa-IR"/>
        </w:rPr>
        <w:t xml:space="preserve">محمّد بن عیسی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71"/>
      </w:r>
      <w:r>
        <w:rPr>
          <w:rFonts w:ascii="IRNazanin" w:hAnsi="IRNazanin" w:eastAsia="IRNazanin"/>
          <w:color w:val="111111"/>
          <w:sz w:val="28"/>
          <w:sz w:val="28"/>
          <w:szCs w:val="28"/>
          <w:rtl w:val="true"/>
          <w:lang w:bidi="fa-IR"/>
        </w:rPr>
        <w:t>استفاده می‌شود که بیع مردار اگر به قصد انتفاع محلّل باشد، اشکال ندارد؛ زیرا ابوالقاسم صیقل در نامه‌اش نوشته است که ما پوست مردار را می‌خریم و به‌وسیلۀ آن غلاف شمشیر درست می‌کنیم و می‌فروشیم و امام علیه السلام نیز این عمل وی را تقریر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می‌شود خرید پوست مردار به قصد غلاف‌سازی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منفعت محلّل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روایت صیقل می‌تواند روایات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المیته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تخصیص بزند؛ یعنی بر اساس این روایت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سحت بودن ثمن مردار، فقط در جایی است که منفعت محلّل قصد نشده باشد</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به علاوه در روایت صیقل، می‌توان از پوست مردار، الاغ و قاطر، الغای خصوصیت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می‌توانیم از غلاف‌سازی نیز الغای خصوصیت نموده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منفعت محلّلی که بتوان از مردار به دست آورد، موجب جواز بیع آن مردار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قدس سره در ادامه، دو روایت را به عنوان مؤیّد نظر خود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یکم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بِإِسْنَادِهِ عَنْ عَلِیِّ بْنِ أَسْبَاطٍ عَنْ أَبِی مَخْلَدٍ السَّرَّاجِ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کُنْتُ عِنْدَ أَبِی عَبْدِ اللّهِ علیه السلام إِذْ دَخَلَ عَلَیْهِ مُعَتِّبٌ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بِالْبَابِ رَجُلَانِ</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أَدْخِلْهُمَا؛ فَدَخَلَا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رَجُلٌ سَرَّاجٌ أَبِیعُ جُلُودَ النَّمِرِ؛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مَدْبُوغَةٌ هِیَ؟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بِهِ بَأْسٌ؛</w:t>
      </w:r>
      <w:r>
        <w:rPr>
          <w:rStyle w:val="FootnoteAnchor"/>
          <w:rtl w:val="true"/>
        </w:rPr>
        <w:footnoteReference w:id="673"/>
      </w:r>
      <w:r>
        <w:rPr>
          <w:rFonts w:ascii="IRNazanin" w:hAnsi="IRNazanin" w:eastAsia="IRNazanin"/>
          <w:color w:val="111111"/>
          <w:sz w:val="28"/>
          <w:sz w:val="28"/>
          <w:szCs w:val="28"/>
          <w:rtl w:val="true"/>
          <w:lang w:bidi="fa-IR"/>
        </w:rPr>
        <w:t>نزد امام صادق علیه السلام بودم که غلام ایشان معتب وارد شده و گفت دو نفر پشت 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پرسید که شغل من درست کردن زین اسب</w:t>
      </w:r>
    </w:p>
    <w:p>
      <w:pPr>
        <w:pStyle w:val="BookText"/>
        <w:rPr/>
      </w:pPr>
      <w:r>
        <w:rPr>
          <w:rFonts w:ascii="IRNazanin" w:hAnsi="IRNazanin" w:eastAsia="IRNazanin"/>
          <w:color w:val="111111"/>
          <w:sz w:val="28"/>
          <w:sz w:val="28"/>
          <w:szCs w:val="28"/>
          <w:rtl w:val="true"/>
          <w:lang w:bidi="fa-IR"/>
        </w:rPr>
        <w:t>است و پوست پلنگ می‌فروشم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پرسیدند آیا پس از دبّاغی می‌فروشی؟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روایت تا ابو مخلَد معتبر است، امّا ابو مخلَد توثیق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مجلسی دوم در سند را به عنوان مجهول، توصیف نموده است</w:t>
      </w:r>
      <w:r>
        <w:rPr>
          <w:rStyle w:val="FootnoteAnchor"/>
          <w:rtl w:val="true"/>
        </w:rPr>
        <w:footnoteReference w:id="674"/>
      </w:r>
      <w:r>
        <w:rPr>
          <w:rFonts w:ascii="IRNazanin" w:hAnsi="IRNazanin" w:eastAsia="IRNazanin"/>
          <w:color w:val="111111"/>
          <w:sz w:val="28"/>
          <w:sz w:val="28"/>
          <w:szCs w:val="28"/>
          <w:rtl w:val="true"/>
          <w:lang w:bidi="fa-IR"/>
        </w:rPr>
        <w:t>و بزرگان و فقها از این حدیث به عنوان خبر یا روایت یاد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دلیل العروة</w:t>
      </w:r>
      <w:r>
        <w:rPr>
          <w:rStyle w:val="FootnoteAnchor"/>
          <w:rtl w:val="true"/>
        </w:rPr>
        <w:footnoteReference w:id="675"/>
      </w:r>
      <w:r>
        <w:rPr>
          <w:rFonts w:ascii="IRNazanin" w:hAnsi="IRNazanin" w:eastAsia="IRNazanin"/>
          <w:color w:val="111111"/>
          <w:sz w:val="28"/>
          <w:sz w:val="28"/>
          <w:szCs w:val="28"/>
          <w:rtl w:val="true"/>
          <w:lang w:bidi="fa-IR"/>
        </w:rPr>
        <w:t>قصور سند را منجبر به عمل شیخین و سیّد و اکثر دانسته و از کشف اللثام نقل نموده و در ذکری به مشهور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قابل توجّه این است که اجلّایی مانند صفوان و ابن ابی عمیر از ایشان نقل نموده‌اند و همین مقدار برای اعتبار آن،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استدلال این است که در این روایت، امام علیه السلام خرید و فروش را پس از دبّاغی اجازه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روایت، احتمال تقیّه وجود دارد؛ زیرا علاوه بر این‌که دو مرد ناشناس بودند، از امام علیه السلام در مورد دبّاغی پوست پرسیده‌اند و نظر اهل‌سنّت نیز همین است که پوست دبّاغی شده طاهر است؛ در حالی که در نزد امامیّه، دبّاغی نه موجب تذکیه است و نه موجب طهارت میته؛ امّا برخی از علمای عامّه بیع میته در صورتی که دباغی شده باشد را جایز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احتمال تقیّه نبود، این روایت می‌توانست دلیل برجواز معاملۀ مردار باشد؛ ولی با وجود این احتمال فقط می‌تواند به عنوان مؤیّد استفاده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حائری در شرح عروة الوثقی احتمال تقیّه در روایت را رد نموده است، به این بیان که ظاهر ید مسلم دلالت بر تحقّق تذکیه دارد و در نتیجه، حکم به نفی بأس، موافق با واقع است</w:t>
      </w:r>
      <w:r>
        <w:rPr>
          <w:rFonts w:eastAsia="IRNazanin" w:cs="IRNazanin"/>
          <w:color w:val="111111"/>
          <w:sz w:val="28"/>
          <w:szCs w:val="28"/>
          <w:rtl w:val="true"/>
          <w:lang w:bidi="fa-IR"/>
        </w:rPr>
        <w:t>.</w:t>
      </w:r>
      <w:r>
        <w:rPr>
          <w:rStyle w:val="FootnoteAnchor"/>
          <w:rtl w:val="true"/>
        </w:rPr>
        <w:footnoteReference w:id="676"/>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w:t>
      </w:r>
      <w:r>
        <w:rPr>
          <w:rStyle w:val="FootnoteAnchor"/>
          <w:rtl w:val="true"/>
        </w:rPr>
        <w:footnoteReference w:id="677"/>
      </w:r>
      <w:r>
        <w:rPr>
          <w:rFonts w:ascii="IRNazanin" w:hAnsi="IRNazanin" w:eastAsia="IRNazanin"/>
          <w:color w:val="111111"/>
          <w:sz w:val="28"/>
          <w:sz w:val="28"/>
          <w:szCs w:val="28"/>
          <w:rtl w:val="true"/>
          <w:lang w:bidi="fa-IR"/>
        </w:rPr>
        <w:t>در اشکال به این روایت آورده است که روایت، مختص به بیع است و بر مطلق استعمال دلالت ندارد؛ لیکن به نظر ما، ظاهر آن است که از بیع</w:t>
      </w:r>
    </w:p>
    <w:p>
      <w:pPr>
        <w:pStyle w:val="BookText"/>
        <w:rPr/>
      </w:pPr>
      <w:r>
        <w:rPr>
          <w:rFonts w:ascii="IRNazanin" w:hAnsi="IRNazanin" w:eastAsia="IRNazanin"/>
          <w:color w:val="111111"/>
          <w:sz w:val="28"/>
          <w:sz w:val="28"/>
          <w:szCs w:val="28"/>
          <w:rtl w:val="true"/>
          <w:lang w:bidi="fa-IR"/>
        </w:rPr>
        <w:t>می‌توان الغای خصوصیّت نمود و آن را در مطلق معامله جاری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دیگر، عدم اختصاص حکم به پوست پلنگ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صحیحۀ عبدالرحمن بن حجّاج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وَبِإِسْنَادِهِ عَنِ الْحُسَیْنِ بْنِ سَعِیدٍ عَنْ صَفْوَانَ عَنْ عَبْدِالرَّحْمَنِ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الْفِرَاء أَشْتَرِیهِ مِنَ الرَّجُلِ الَّذِی لَعَلِّی لَاأَثِقُ بِهِ فَیَبِیعُنِی عَلَی أنّها ذَکِیَّةٌ أَبِیعُهَا عَلَی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لَاتَثِقُ بِهِ فَلَا تَبِعْهَا عَلَی أنّها ذَکِیَّةٌ إِلاَّ أَنْ تَقُولَ قَدْ قِیلَ لِی أنّها ذَکِیَّةٌ؛</w:t>
      </w:r>
      <w:r>
        <w:rPr>
          <w:rStyle w:val="FootnoteAnchor"/>
          <w:rtl w:val="true"/>
        </w:rPr>
        <w:footnoteReference w:id="678"/>
      </w:r>
      <w:r>
        <w:rPr>
          <w:rFonts w:ascii="IRNazanin" w:hAnsi="IRNazanin" w:eastAsia="IRNazanin"/>
          <w:color w:val="111111"/>
          <w:sz w:val="28"/>
          <w:sz w:val="28"/>
          <w:szCs w:val="28"/>
          <w:rtl w:val="true"/>
          <w:lang w:bidi="fa-IR"/>
        </w:rPr>
        <w:t>از امام صادق علیه السلام در مورد خریدن پوست از شخصی که به او اطمینان ندارم و او به عنوان پوست تذکیه شده به من می‌فروشد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عنوان می‌توانم به دیگری بفروشم؟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اطمینان ندارد به عنوان تذکیه شده نفروش، مگر این‌که به مشتری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گفته‌اند که تذکیه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استفاده می‌شود که معاملۀ پوست مردار، با وجود عدم علم به تذکیۀ آن و مجهول بودن فروشنده و نیز عدم سوق مسلمین،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فقها احتمال داده‌اند که این روایت اصلاً در مقام بیان حکم خرید و فروش نیست؛ بلکه در صدد بیان حکم دیگری است که عبارت است از جواز شهادت به مجرّد اخبار بایع، هرچند بایع وثاقتش ثابت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این روایت فقط به عنوان مؤیّد در نظر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در فقه الحدیث روایت وجود دارد که شاید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 لا أثق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وثاقت اصطلاحی نباشد، بلکه وثاقت از حیث مسلمان بودن مدّ نظر باشد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امام خمینی قدس سره پس از ارائۀ این روش برای جمع میان روایات مانعه و مجوّزه، نکته‌ای را دربارۀ روایت بزنطی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نکته این است که در این روایت،</w:t>
      </w:r>
      <w:bookmarkStart w:id="805" w:name="pg13785_135250"/>
    </w:p>
    <w:p>
      <w:pPr>
        <w:pStyle w:val="BookText"/>
        <w:rPr/>
      </w:pPr>
      <w:bookmarkEnd w:id="805"/>
      <w:r>
        <w:rPr>
          <w:rFonts w:ascii="IRNazanin" w:hAnsi="IRNazanin" w:eastAsia="IRNazanin"/>
          <w:color w:val="111111"/>
          <w:sz w:val="28"/>
          <w:sz w:val="28"/>
          <w:szCs w:val="28"/>
          <w:rtl w:val="true"/>
          <w:lang w:bidi="fa-IR"/>
        </w:rPr>
        <w:t>امام علیه السلام به سائل دستور می‌دهند که این چربی مردار را خودت آب کن و برای روشن کردن چراغ استفاده نما؛ ولی نه آن را بخور و نه بفروش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یأکلها و لا یبیعها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یک سو، منافع محلّل را تجویز و از سوی دیگر، خرید و فروش مردار را تحریم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بر اساس این روایت استفاده از منافع محلّل مردار جایز است، ولی فروختن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امام خمینی قدس سره دربارۀ این روایت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بزنطی را هم با همین روش با روایات مجوّزه جمع می‌کنیم؛ یعنی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انتفاع متعارف از دنبۀ گوسفند، خوردن آنهاست که آن را آب می‌کنند و در غذا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نهی امام علیه السلام از بیع آنها نیز بدین معناست که فروختن آنها به قصد استفاده در غذا حرام است، نه به قصد استفادۀ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امام خمینی قدس سره در جمع میان دو دسته از روایات، نتیجه می‌گیرند که معاملۀ مردار به قصد منافع حلال، جایز و در غیر این صورت، حرام است</w:t>
      </w:r>
      <w:r>
        <w:rPr>
          <w:rFonts w:eastAsia="IRNazanin" w:cs="IRNazanin"/>
          <w:color w:val="111111"/>
          <w:sz w:val="28"/>
          <w:szCs w:val="28"/>
          <w:rtl w:val="true"/>
          <w:lang w:bidi="fa-IR"/>
        </w:rPr>
        <w:t>.</w:t>
      </w:r>
      <w:r>
        <w:rPr>
          <w:rStyle w:val="FootnoteAnchor"/>
          <w:rtl w:val="true"/>
        </w:rPr>
        <w:footnoteReference w:id="679"/>
      </w:r>
    </w:p>
    <w:p>
      <w:pPr>
        <w:pStyle w:val="Heading6"/>
        <w:numPr>
          <w:ilvl w:val="5"/>
          <w:numId w:val="1"/>
        </w:numPr>
        <w:rPr/>
      </w:pPr>
      <w:bookmarkStart w:id="806" w:name="__RefHeading___Toc2531309_1468164448"/>
      <w:bookmarkStart w:id="807" w:name="_Toc310"/>
      <w:bookmarkEnd w:id="806"/>
      <w:r>
        <w:rPr/>
        <w:t>3</w:t>
      </w:r>
      <w:r>
        <w:rPr>
          <w:rtl w:val="true"/>
        </w:rPr>
        <w:t xml:space="preserve">- </w:t>
      </w:r>
      <w:r>
        <w:rPr>
          <w:rtl w:val="true"/>
        </w:rPr>
        <w:t>بررسی دیدگاه امام خمینی</w:t>
      </w:r>
      <w:bookmarkEnd w:id="807"/>
    </w:p>
    <w:p>
      <w:pPr>
        <w:pStyle w:val="BookText"/>
        <w:rPr/>
      </w:pPr>
      <w:r>
        <w:rPr>
          <w:rFonts w:ascii="IRNazanin" w:hAnsi="IRNazanin" w:eastAsia="IRNazanin"/>
          <w:color w:val="111111"/>
          <w:sz w:val="28"/>
          <w:sz w:val="28"/>
          <w:szCs w:val="28"/>
          <w:rtl w:val="true"/>
          <w:lang w:bidi="fa-IR"/>
        </w:rPr>
        <w:t>تذکّر چند نکته دربارۀ سخن امام خمینی قدس سره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دیدگاه ایشان، روایات مانعه انصراف به منفعت حرام دارند، در حالی که این سخن صحیح نیست؛ چون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المیتة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 هم شامل جایی می‌شود که مکلّف قصد منفعت محلّل دارد و هم شامل جایی که قصد منفعت محرّم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روایت بزنطی که امام علیه السلام استفاده از مردار را تجویز و معاملۀ آن را تحریم می‌کند، قرینه‌ای است بر این مطلب که معاملۀ مردار، چه به منظور منافع حلال و چه به منظور منافع حرام، ممنوع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انصراف فقط در اثر کثرت استعمال پیش می‌آید؛ یعنی اگر روایاتی که از معاملۀ مردار نهی کرده‌اند،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غالباً در خصوص منفعت حرام استعمال</w:t>
      </w:r>
    </w:p>
    <w:p>
      <w:pPr>
        <w:pStyle w:val="BookText"/>
        <w:rPr/>
      </w:pPr>
      <w:r>
        <w:rPr>
          <w:rFonts w:ascii="IRNazanin" w:hAnsi="IRNazanin" w:eastAsia="IRNazanin"/>
          <w:color w:val="111111"/>
          <w:sz w:val="28"/>
          <w:sz w:val="28"/>
          <w:szCs w:val="28"/>
          <w:rtl w:val="true"/>
          <w:lang w:bidi="fa-IR"/>
        </w:rPr>
        <w:t>کرده بودند؛ انصراف ثابت می‌شد؛ ولی اگر این کثرت استعمال وجود نداشته باشد، پذیرفتن ادّعای انصراف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از روایت تحف العقول برای تعیین حکم بیع مردار، استفاده کرد؟ آنچه امام صادق علیه السلام در روایت تحف العقول دربارۀ صناعات فرمودند، این بود که اگر وسیله‌ای به عنوان فساد فروخته شود، بیعش حلال و جایز نیست؛ ولی اگر به عنوان صلاح باشد، بیعش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ما از روایت 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سندش را همچون صاحب جواهر، محقّق نائینی، سیّد یزدی در عروة و شیخ انصاری قدس سرهم قابل اعتماد دانستیم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کنیم که فروختن چیزی که منفعت محلّل دارد،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فروختن چاقو به‌خاطر منفعت محلّل حلال است، ولی به خاطر منفعت محرم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در اعیان نجسه نیز می‌توانیم همین حکم را مطرح کنیم؟</w:t>
      </w:r>
    </w:p>
    <w:p>
      <w:pPr>
        <w:pStyle w:val="BookText"/>
        <w:rPr/>
      </w:pPr>
      <w:r>
        <w:rPr>
          <w:rFonts w:ascii="IRNazanin" w:hAnsi="IRNazanin" w:eastAsia="IRNazanin"/>
          <w:color w:val="111111"/>
          <w:sz w:val="28"/>
          <w:sz w:val="28"/>
          <w:szCs w:val="28"/>
          <w:rtl w:val="true"/>
          <w:lang w:bidi="fa-IR"/>
        </w:rPr>
        <w:t>پاسخ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می‌توان از صناعات، الغای خصوصیت کرد و این بیان را در اعیان نجسه نیز مطرح نمود، مشکل حل می‌گردد؛ چراکه در باب معاملات، بر خلاف باب عبادات، انسان می‌تواند قطع به عدم خصوصیت پیدا کند؛ یعنی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ضابطه‌ای که روایت تحف العقول به ما داده، این است که اگر چیزی به قصد منفعت محلّل فروخته شود، حتّی اگر این منفعت محلّل نادر باشد، معاملۀ آن صحیح است؛ ولی اگر به قصد منفعت محرّمه فروخته شود،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از تعبیر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إجعل ثوباً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روایت محمّد بن عیسی آمده، استفاده کرد که مطلق بیع، صحیح و جایز است، حتّی اگر به قصد منفعت محرّمه باشد؛ چراکه اگر مشتری از این مردار، برای منفعت حرام استفاده کرد خود او گرفتار حرام می‌شود؛ امّا فروشنده مرتکب حرام نشده است، هرچند به قصد منفعت حرام فروخته باشد؛ یعنی می‌توانیم از تقریر امام علیه السلام نسبت به بیع، اطلاق را استفاده کرده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مردار مطلقاً صحیح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محمّد بن عیسی دربارۀ جایی است که برای غلاف شمشیر از پوست استفاده می‌شود که یک منفعت محلّله به شمار می‌رود؛ یعنی</w:t>
      </w:r>
    </w:p>
    <w:p>
      <w:pPr>
        <w:pStyle w:val="BookText"/>
        <w:rPr/>
      </w:pPr>
      <w:r>
        <w:rPr>
          <w:rFonts w:ascii="IRNazanin" w:hAnsi="IRNazanin" w:eastAsia="IRNazanin"/>
          <w:color w:val="111111"/>
          <w:sz w:val="28"/>
          <w:sz w:val="28"/>
          <w:szCs w:val="28"/>
          <w:rtl w:val="true"/>
          <w:lang w:bidi="fa-IR"/>
        </w:rPr>
        <w:t>موردی که حضرت علیه السلام تقریر نمودند، منفعت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 یک دلیل لبّی است و در دلیل لبّی باید بر قدر متیقّن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مورد روایت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کسی نمی‌تواند بگوید از روایت محمّد بن عیسی، جواز بیع به صورت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قصد منفعت حلال و چه به قصد منفعت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دیگری که بر دیدگاه امام خمینی قدس سره وارد می‌شود، این است که روایات مانعه به ظهور لفظی بر حرمت دلالت می‌کنند، در حالی که شما برای تخصیص آنها از تقریر که یک دلیل لبّی است، استفاده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پرسش مطرح می‌شود که آیا می‌توان با دلیل لبّی، یک دلیل لفظی را تخصیص زد؟ یعنی باید در اصول، به این سؤال پاسخ دهیم که آیا همان گونه که دلیل منطوقی می‌تواند عام را تخصیص بزند، آیا یک مفهوم موافق یا مخالف نیز می‌تواند عام را تخصیص بزند یا خیر؟</w:t>
      </w:r>
    </w:p>
    <w:p>
      <w:pPr>
        <w:pStyle w:val="BookText"/>
        <w:rPr/>
      </w:pPr>
      <w:r>
        <w:rPr>
          <w:rFonts w:ascii="IRNazanin" w:hAnsi="IRNazanin" w:eastAsia="IRNazanin"/>
          <w:color w:val="111111"/>
          <w:sz w:val="28"/>
          <w:sz w:val="28"/>
          <w:szCs w:val="28"/>
          <w:rtl w:val="true"/>
          <w:lang w:bidi="fa-IR"/>
        </w:rPr>
        <w:t>در این‌جا دو مبنا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نخست این است که دلیل خاص به خاطر خاص بودنش بر عام مقدّم می‌شود، و مبنای دوم این است که خاص به خاطر اظهر بودنش بر عام مقدّم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این‌که عرف میان دلیل لفظی و دلیل لبّی، دلیل لفظی را اظهر می‌داند، طبق مبنای دوم، نمی‌توان به‌وسیلۀ روایت محمّد بن عیسی، روایات مانعه را تخصیص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دوم صحیح‌تر است؛ یعنی اگر مفهوم موافق یا مخالف، اظهر از عام باشد، عام را تخصیص می‌زند؛ ولی اگر عام اظهر باشد، عام بر مفهوم‌می‌گردد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 این‌جا یک ظهور لفظی مطلق داریم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 المیته سحت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مقابل، برای جواز بیع می‌خواهیم از یک تقریر و دلیل لبّی استفاده کنیم و به‌وسیلۀ آن دلیل لفظی را مقیّد کنیم؛ در حالی که عرف چنین تقییدی را نمی‌پذیرد؛ یعنی تقریر هرچند به خودی خود، حجّیت دارد و دلیل لبّی است، ولی وقتی میان یک دلیل لفظی با دلیل غیر لفظی تعارض پیدا شود، عرف دلیل لفظی را مقدّم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نمی‌گوییم</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جا این‌گونه است؛ بلکه غالباً در مواردی که یک دلیل لفظی و غیر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بدون هیچ تردیدی دلیل لفظی اظهر است</w:t>
      </w:r>
      <w:r>
        <w:rPr>
          <w:rFonts w:eastAsia="IRNazanin" w:cs="IRNazanin"/>
          <w:color w:val="111111"/>
          <w:sz w:val="28"/>
          <w:szCs w:val="28"/>
          <w:rtl w:val="true"/>
          <w:lang w:bidi="fa-IR"/>
        </w:rPr>
        <w:t>.</w:t>
      </w:r>
      <w:bookmarkStart w:id="808" w:name="pg13785_135253"/>
    </w:p>
    <w:p>
      <w:pPr>
        <w:pStyle w:val="BookText"/>
        <w:rPr/>
      </w:pPr>
      <w:bookmarkEnd w:id="808"/>
      <w:r>
        <w:rPr>
          <w:rFonts w:ascii="IRNazanin" w:hAnsi="IRNazanin" w:eastAsia="IRNazanin"/>
          <w:color w:val="111111"/>
          <w:sz w:val="28"/>
          <w:sz w:val="28"/>
          <w:szCs w:val="28"/>
          <w:rtl w:val="true"/>
          <w:lang w:bidi="fa-IR"/>
        </w:rPr>
        <w:t>البتّه اگر مبنای اوّل را بپذیریم، تخصیص دلیل لفظی به‌وسیلۀ دلیل لبّی اشکالی ندارد و به خاطر همین، فقط بر اساس مبنای دوم این اشکال به کلام امام خمینی قدس سره وارد است که شما از کجا احراز کردید که تقریر بر دلیل لفظی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نظر ما نیز مبنای اصولی صحیح، این است که خاص به خودی خود، قرینیت ندارد؛ بلکه قرینیت آن به‌خاطر اظهر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عرف نیز هیچ گاه روایتی را که از راه تقریر بر جواز بیع مردار دلالت می‌نماید، بر روایات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المیتة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خمینی قدس سره چون روایت تحف العقول را از نظر سند نپذیرفت، نیازمند اثبات انصراف است، و یا اگر انصراف را اثبات نکند، از آن‌جا که مورد این تقریر منفعت محلّل است، با همین تقریر در اطلاقات و عمومات تصرّف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اساس دیدگاه ما که روایت تحف العقول را پذیرفته‌ایم، فروختن شیء نجس به‌خاطر منفعت حلال اشکالی ندارد، حتّی اگر این منفعت حلال، یک منفعت نادر باشد، نه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روایت تحف العقول را که دلیل لفظی است، مقیِّد این اطلاقات قرار می‌دهیم و نیازی به ادّعای انصراف نداریم</w:t>
      </w:r>
      <w:r>
        <w:rPr>
          <w:rFonts w:eastAsia="IRNazanin" w:cs="IRNazanin"/>
          <w:color w:val="111111"/>
          <w:sz w:val="28"/>
          <w:szCs w:val="28"/>
          <w:rtl w:val="true"/>
          <w:lang w:bidi="fa-IR"/>
        </w:rPr>
        <w:t>.</w:t>
      </w:r>
    </w:p>
    <w:p>
      <w:pPr>
        <w:pStyle w:val="Heading6"/>
        <w:numPr>
          <w:ilvl w:val="5"/>
          <w:numId w:val="1"/>
        </w:numPr>
        <w:rPr/>
      </w:pPr>
      <w:bookmarkStart w:id="809" w:name="__RefHeading___Toc2531311_1468164448"/>
      <w:bookmarkStart w:id="810" w:name="_Toc311"/>
      <w:bookmarkEnd w:id="809"/>
      <w:r>
        <w:rPr/>
        <w:t>4</w:t>
      </w:r>
      <w:r>
        <w:rPr>
          <w:rtl w:val="true"/>
        </w:rPr>
        <w:t xml:space="preserve">- </w:t>
      </w:r>
      <w:r>
        <w:rPr>
          <w:rtl w:val="true"/>
        </w:rPr>
        <w:t>دیدگاه برگزیده</w:t>
      </w:r>
      <w:r>
        <w:rPr>
          <w:rtl w:val="true"/>
        </w:rPr>
        <w:t>:</w:t>
      </w:r>
      <w:bookmarkEnd w:id="810"/>
    </w:p>
    <w:p>
      <w:pPr>
        <w:pStyle w:val="BookText"/>
        <w:rPr/>
      </w:pPr>
      <w:r>
        <w:rPr>
          <w:rFonts w:ascii="IRNazanin" w:hAnsi="IRNazanin" w:eastAsia="IRNazanin"/>
          <w:color w:val="111111"/>
          <w:sz w:val="28"/>
          <w:sz w:val="28"/>
          <w:szCs w:val="28"/>
          <w:rtl w:val="true"/>
          <w:lang w:bidi="fa-IR"/>
        </w:rPr>
        <w:t>بر اساس آنچه تا کنون گذشت، دیدگاه ما نیز همچون امام خمینی قدس سره</w:t>
      </w:r>
      <w:r>
        <w:rPr>
          <w:rStyle w:val="FootnoteAnchor"/>
          <w:rtl w:val="true"/>
        </w:rPr>
        <w:footnoteReference w:id="680"/>
      </w:r>
      <w:r>
        <w:rPr>
          <w:rFonts w:ascii="IRNazanin" w:hAnsi="IRNazanin" w:eastAsia="IRNazanin"/>
          <w:color w:val="111111"/>
          <w:sz w:val="28"/>
          <w:sz w:val="28"/>
          <w:szCs w:val="28"/>
          <w:rtl w:val="true"/>
          <w:lang w:bidi="fa-IR"/>
        </w:rPr>
        <w:t>جواز معاملۀ مردار به قصد منفعت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برای اثبات این ادّعا نمی‌توان استدلال امام خمینی قدس سره را پذیرفت و به روایت ابوالقاسم صیقل استناد کرد؛ بلکه باید از حدیث تحف العقول استفاده کنیم</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اکنون ما باید تقابل میان روایات مانعه با حدیث تحف العقول را مورد بررسی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مفاد حدیث تحف العقول، اگر شیء حرامی را به خاطر منفعت حلالش مورد معامله قرار دهیم،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w:t>
      </w:r>
      <w:bookmarkStart w:id="811" w:name="pg13785_135254"/>
    </w:p>
    <w:p>
      <w:pPr>
        <w:pStyle w:val="BookText"/>
        <w:rPr/>
      </w:pPr>
      <w:bookmarkEnd w:id="811"/>
      <w:r>
        <w:rPr>
          <w:rFonts w:ascii="IRNazanin" w:hAnsi="IRNazanin" w:eastAsia="IRNazanin"/>
          <w:color w:val="111111"/>
          <w:sz w:val="28"/>
          <w:sz w:val="28"/>
          <w:szCs w:val="28"/>
          <w:rtl w:val="true"/>
          <w:lang w:bidi="fa-IR"/>
        </w:rPr>
        <w:t>این روایت با روایات مانعه نسبت اخصّ مطلق است و می‌تواند روایات مانعه را تخصیص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قائل شویم که معاملۀ مردار برای منفعت‌های حلال،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کسی همچون محقّق خویی قدس سره روایت تحف العقول را نپذیرفت و در سند حدیث ابوالقاسم صیقل نیز مناقشه کرد، در این‌صورت فقط با روایات مانعه رو به رو هستند و باید به بطلان معامله و حرمت ثمن مردار و سحت بودن آن فتوا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دانست که بر اساس روایات مانعه، بیع خصوصیت ندارد؛ زیرا معنای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المیتة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پول دریافتی در مقابل مردار، حرام است، هرچند دریافت پول از راه فروختن آن نباشد؛ بلکه حتّی اگر مرداری در خانه شخص افتاده است و او در ازای رفع ید از آن پولی را دریافت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روایات مانعه و با قطع نظر از روایت تحف العقول و ابوالقاسم صیقل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نیز حرام خواهد بود</w:t>
      </w:r>
      <w:r>
        <w:rPr>
          <w:rFonts w:eastAsia="IRNazanin" w:cs="IRNazanin"/>
          <w:color w:val="111111"/>
          <w:sz w:val="28"/>
          <w:szCs w:val="28"/>
          <w:rtl w:val="true"/>
          <w:lang w:bidi="fa-IR"/>
        </w:rPr>
        <w:t>.</w:t>
      </w:r>
    </w:p>
    <w:p>
      <w:pPr>
        <w:pStyle w:val="Heading4"/>
        <w:numPr>
          <w:ilvl w:val="3"/>
          <w:numId w:val="1"/>
        </w:numPr>
        <w:rPr/>
      </w:pPr>
      <w:bookmarkStart w:id="812" w:name="__RefHeading___Toc2531313_1468164448"/>
      <w:bookmarkStart w:id="813" w:name="_Toc312"/>
      <w:bookmarkEnd w:id="812"/>
      <w:r>
        <w:rPr>
          <w:rtl w:val="true"/>
        </w:rPr>
        <w:t>گفتار سوم</w:t>
      </w:r>
      <w:r>
        <w:rPr>
          <w:rtl w:val="true"/>
        </w:rPr>
        <w:t xml:space="preserve">: </w:t>
      </w:r>
      <w:r>
        <w:rPr>
          <w:rtl w:val="true"/>
        </w:rPr>
        <w:t>خاتمه</w:t>
      </w:r>
      <w:bookmarkEnd w:id="813"/>
    </w:p>
    <w:p>
      <w:pPr>
        <w:pStyle w:val="Heading5"/>
        <w:numPr>
          <w:ilvl w:val="4"/>
          <w:numId w:val="1"/>
        </w:numPr>
        <w:rPr/>
      </w:pPr>
      <w:bookmarkStart w:id="814" w:name="__RefHeading___Toc2531315_1468164448"/>
      <w:bookmarkStart w:id="815" w:name="_Toc313"/>
      <w:bookmarkEnd w:id="814"/>
      <w:r>
        <w:rPr>
          <w:rtl w:val="true"/>
        </w:rPr>
        <w:t>اشارة</w:t>
      </w:r>
      <w:bookmarkEnd w:id="815"/>
    </w:p>
    <w:p>
      <w:pPr>
        <w:pStyle w:val="BookText"/>
        <w:rPr/>
      </w:pPr>
      <w:r>
        <w:rPr>
          <w:rFonts w:ascii="IRNazanin" w:hAnsi="IRNazanin" w:eastAsia="IRNazanin"/>
          <w:color w:val="111111"/>
          <w:sz w:val="28"/>
          <w:sz w:val="28"/>
          <w:szCs w:val="28"/>
          <w:rtl w:val="true"/>
          <w:lang w:bidi="fa-IR"/>
        </w:rPr>
        <w:t>در این مبحث، چند مسئلۀ مرتبط با مباحث پیشین، بررسی می‌شود</w:t>
      </w:r>
      <w:r>
        <w:rPr>
          <w:rFonts w:eastAsia="IRNazanin" w:cs="IRNazanin"/>
          <w:color w:val="111111"/>
          <w:sz w:val="28"/>
          <w:szCs w:val="28"/>
          <w:rtl w:val="true"/>
          <w:lang w:bidi="fa-IR"/>
        </w:rPr>
        <w:t>.</w:t>
      </w:r>
    </w:p>
    <w:p>
      <w:pPr>
        <w:pStyle w:val="Heading5"/>
        <w:numPr>
          <w:ilvl w:val="4"/>
          <w:numId w:val="1"/>
        </w:numPr>
        <w:rPr/>
      </w:pPr>
      <w:bookmarkStart w:id="816" w:name="__RefHeading___Toc2531317_1468164448"/>
      <w:bookmarkStart w:id="817" w:name="_Toc314"/>
      <w:bookmarkEnd w:id="816"/>
      <w:r>
        <w:rPr>
          <w:rtl w:val="true"/>
        </w:rPr>
        <w:t>بند اوّل</w:t>
      </w:r>
      <w:r>
        <w:rPr>
          <w:rtl w:val="true"/>
        </w:rPr>
        <w:t xml:space="preserve">: </w:t>
      </w:r>
      <w:r>
        <w:rPr>
          <w:rtl w:val="true"/>
        </w:rPr>
        <w:t>آیا جواز انتفاع، با صحّت بیع ملازمه دارد؟</w:t>
      </w:r>
      <w:bookmarkEnd w:id="817"/>
    </w:p>
    <w:p>
      <w:pPr>
        <w:pStyle w:val="BookText"/>
        <w:rPr/>
      </w:pPr>
      <w:r>
        <w:rPr>
          <w:rFonts w:ascii="IRNazanin" w:hAnsi="IRNazanin" w:eastAsia="IRNazanin"/>
          <w:color w:val="111111"/>
          <w:sz w:val="28"/>
          <w:sz w:val="28"/>
          <w:szCs w:val="28"/>
          <w:rtl w:val="true"/>
          <w:lang w:bidi="fa-IR"/>
        </w:rPr>
        <w:t>باور برخی از بزرگان این است که با قطع نظر از آیات و روایات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انتفاع، با صحّت و جواز بیع ملازمه دارد؛ یعنی می‌توانیم این را به عنوان یک قاعدۀ فقهی مطرح کنیم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یجوز الإنتفاع به شرعاً تجوز المعاوضة علیه شرعاً؛ هر چیزی که انتفاع از آن جایز است، معاوضه‌اش نیز شرعاً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معاملاتی که میان مردم واقع می‌شود برای این است که نیازمندی‌های خود را بر طرف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معاملۀ چیزی که انتفاع و استفاده از آن جایز است، صحیح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فقیهی این قاعده را بپذیرد، باید این گونه فتوا دهد که معاملۀ مردار به قصد منفعت حرام، حرام است؛ ولی معاملۀ مردار به قصد منفعت حلال و یا بدون هیچ</w:t>
      </w:r>
    </w:p>
    <w:p>
      <w:pPr>
        <w:pStyle w:val="BookText"/>
        <w:rPr/>
      </w:pPr>
      <w:r>
        <w:rPr>
          <w:rFonts w:ascii="IRNazanin" w:hAnsi="IRNazanin" w:eastAsia="IRNazanin"/>
          <w:color w:val="111111"/>
          <w:sz w:val="28"/>
          <w:sz w:val="28"/>
          <w:szCs w:val="28"/>
          <w:rtl w:val="true"/>
          <w:lang w:bidi="fa-IR"/>
        </w:rPr>
        <w:t>قصدی جایز است؛ چراکه ملاک جواز معامله برطبق این قاعده، قابلیت انتفاع بوده و قصد انسان در آن دخیل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زمانی نوبت به این بحث می‌رسد که دست ما از آیات و روایات کوتاه شود و دلیل معتبری نداشته باشیم و ناچار به استفاده از قاعده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نظر می‌رسد که چنین قاعده‌ای در فقه وجود ندارد؛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برای اثبات این قاعده وجود ندارد و دلیل ذکر شده نیز کافی نیست؛ چون در بسیاری از موارد، معامله برای رفع نیاز نیست؛ بلکه برای افزایش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معامله فقط برای رفع نیازمندی‌ها انجام شود، در مواردی که انسان نیازی به شیء ندارد، نباید خرید آن شیء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اگر ما از روایات موجود در باب معاملات، بتوانیم چنین قاعده‌ای را اصطیاد کنیم، آن را خواهیم پذیرفت، همان طور که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بصحیحه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یک قاعدۀ اصطیادی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شیخ انصاری قدس سره در مکاسب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دلیلی بر آن نداریم؛ بلکه فقیه با توجّه به موارد گوناگون فقهی آن را اصطیاد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هبۀ صحیح که ضمان نیست، در فاسدش نیز ضمان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صلح صحیح که ضمان است، در فاسدش نیز ضمان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قاعده یک قاعدۀ مستقل نیست؛ بلکه قاعدۀ اصطیادی است که از روایات و ادلّۀ موجود آن را استفاده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به نظر می‌رسد که ما از ادلّۀ موجود نمی‌توانیم قاعده‌ای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یجوز الإنتفاع به شرعاً تجوز المعاوضه علیه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کنیم؛ زیرا دلیلی بر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موارد نقض دارد؛ زیرا ما در فقه مواردی داریم که ممکن است شیء، انتفاع شرعی داشته باشد، امّا معاوضه‌اش صحیح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می‌توان از یک دانه گندم انتفاع برد و خورد و یا به کبوتری داد، امّا از آن‌جا که مالیّت ندارد، معاوضه‌اش با شیء دیگر صحیح نیست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ما این قاعده را نمی‌پذیریم و در نتیجه معاملۀ مردار، تنها در صورتی که</w:t>
      </w:r>
      <w:bookmarkStart w:id="818" w:name="pg13785_135256"/>
    </w:p>
    <w:p>
      <w:pPr>
        <w:pStyle w:val="BookText"/>
        <w:rPr/>
      </w:pPr>
      <w:bookmarkEnd w:id="818"/>
      <w:r>
        <w:rPr>
          <w:rFonts w:ascii="IRNazanin" w:hAnsi="IRNazanin" w:eastAsia="IRNazanin"/>
          <w:color w:val="111111"/>
          <w:sz w:val="28"/>
          <w:sz w:val="28"/>
          <w:szCs w:val="28"/>
          <w:rtl w:val="true"/>
          <w:lang w:bidi="fa-IR"/>
        </w:rPr>
        <w:t>به قصد منفعت حلال انجام شود، جایز است؛ زیرا طبق مبنای ما روایات مانعه که بر حرمت معاملۀ مردار دلالت دارند، تنها در مواردی که قصد منفعت حلال وجود دارد، تخصیص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مردار بدون هیچ قصدی فروخته شود، این معامله حرام و باطل است</w:t>
      </w:r>
      <w:r>
        <w:rPr>
          <w:rFonts w:eastAsia="IRNazanin" w:cs="IRNazanin"/>
          <w:color w:val="111111"/>
          <w:sz w:val="28"/>
          <w:szCs w:val="28"/>
          <w:rtl w:val="true"/>
          <w:lang w:bidi="fa-IR"/>
        </w:rPr>
        <w:t>.</w:t>
      </w:r>
    </w:p>
    <w:p>
      <w:pPr>
        <w:pStyle w:val="Heading5"/>
        <w:numPr>
          <w:ilvl w:val="4"/>
          <w:numId w:val="1"/>
        </w:numPr>
        <w:rPr/>
      </w:pPr>
      <w:bookmarkStart w:id="819" w:name="__RefHeading___Toc2531319_1468164448"/>
      <w:bookmarkStart w:id="820" w:name="_Toc315"/>
      <w:bookmarkEnd w:id="819"/>
      <w:r>
        <w:rPr>
          <w:rtl w:val="true"/>
        </w:rPr>
        <w:t>بند دوم</w:t>
      </w:r>
      <w:r>
        <w:rPr>
          <w:rtl w:val="true"/>
        </w:rPr>
        <w:t xml:space="preserve">: </w:t>
      </w:r>
      <w:r>
        <w:rPr>
          <w:rtl w:val="true"/>
        </w:rPr>
        <w:t>بیع میتۀ مختلط با مذکّی</w:t>
      </w:r>
      <w:bookmarkEnd w:id="820"/>
    </w:p>
    <w:p>
      <w:pPr>
        <w:pStyle w:val="Heading6"/>
        <w:numPr>
          <w:ilvl w:val="5"/>
          <w:numId w:val="1"/>
        </w:numPr>
        <w:rPr/>
      </w:pPr>
      <w:bookmarkStart w:id="821" w:name="__RefHeading___Toc2531321_1468164448"/>
      <w:bookmarkStart w:id="822" w:name="_Toc316"/>
      <w:bookmarkEnd w:id="821"/>
      <w:r>
        <w:rPr>
          <w:rtl w:val="true"/>
        </w:rPr>
        <w:t>اشارة</w:t>
      </w:r>
      <w:bookmarkEnd w:id="822"/>
    </w:p>
    <w:p>
      <w:pPr>
        <w:pStyle w:val="BookText"/>
        <w:rPr/>
      </w:pPr>
      <w:r>
        <w:rPr>
          <w:rFonts w:ascii="IRNazanin" w:hAnsi="IRNazanin" w:eastAsia="IRNazanin"/>
          <w:color w:val="111111"/>
          <w:sz w:val="28"/>
          <w:sz w:val="28"/>
          <w:szCs w:val="28"/>
          <w:rtl w:val="true"/>
          <w:lang w:bidi="fa-IR"/>
        </w:rPr>
        <w:t>شیخ انصاری قدس سره در بحث بیع مردار در سه مرحله بحث فرموده‌اند، که مرحلۀ نخست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دوم این است که آیا بیع مردار مختلط با مذکّی جایز است یا نه؟ یعنی اگر گوشت مردار وگوشت حیوان تذکیه شده با یک‌دیگر مخلوط شوند، آیا این اختلاط سبب رفع حرمت معاملۀ مردار می‌شود یا خیر؟</w:t>
      </w:r>
    </w:p>
    <w:p>
      <w:pPr>
        <w:pStyle w:val="BookText"/>
        <w:rPr/>
      </w:pPr>
      <w:r>
        <w:rPr>
          <w:rFonts w:ascii="IRNazanin" w:hAnsi="IRNazanin" w:eastAsia="IRNazanin"/>
          <w:color w:val="111111"/>
          <w:sz w:val="28"/>
          <w:sz w:val="28"/>
          <w:szCs w:val="28"/>
          <w:rtl w:val="true"/>
          <w:lang w:bidi="fa-IR"/>
        </w:rPr>
        <w:t>طبق دیدگاه ما و امام خمینی قدس سره که معاملۀ مردار را به تنهایی و به قصد منفعت حلال جایز می‌دانیم، حکم این مسئله نیز روشن است؛ زیرا هنگامی که معاملۀ مردار به صورت منفرد جایز باشد، به صورت مختلط با مذکّی نیز جایز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طبق دیدگاه کسانی که معاملۀ مردار به صورت منفرد را جایز نمی‌دانند، حکم مسئله روشن نیست و باید بررسی شود؛ زیرا از یک سو هنگامی که گوشت حیوان تذکیه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مالیّت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گوشت مردار مخلوط می‌شود، می‌توان به‌خاطر این مالیّت، معامله را صحیح دانست و از سوی دیگر، وجود علم اجمالی به اختلاط حرام و حلال سبب می‌شود که اجتناب از هر دو واجب شده و حرمت اکل بر مجموع آنها مترتّب گردد؛ زیرا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اکل فقط برای مردار واقعی ثابت است؛ بلکه همان گونه که اگر علم اجمالی به نجاست یکی از این دو ظرف نجس داشته باشیم باید از هر دو اجتناب کنیم، در این‌جا نیز باید از هر دو گوشت اجتناب نماییم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از یک سو ضمیمه شدن مذکّی به مردار موجب مالیّت آن، و از سوی دیگر اختلاط موجب حرام شدن اکل همۀ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پرسش</w:t>
      </w:r>
      <w:bookmarkStart w:id="823" w:name="pg13785_135257"/>
    </w:p>
    <w:p>
      <w:pPr>
        <w:pStyle w:val="BookText"/>
        <w:rPr/>
      </w:pPr>
      <w:bookmarkEnd w:id="823"/>
      <w:r>
        <w:rPr>
          <w:rFonts w:ascii="IRNazanin" w:hAnsi="IRNazanin" w:eastAsia="IRNazanin"/>
          <w:color w:val="111111"/>
          <w:sz w:val="28"/>
          <w:sz w:val="28"/>
          <w:szCs w:val="28"/>
          <w:rtl w:val="true"/>
          <w:lang w:bidi="fa-IR"/>
        </w:rPr>
        <w:t>مطرح می‌شود که آیا خرید و فروش مردار مختلط به مذکّی، جایز است یا نه؟</w:t>
      </w:r>
    </w:p>
    <w:p>
      <w:pPr>
        <w:pStyle w:val="BookText"/>
        <w:rPr/>
      </w:pPr>
      <w:r>
        <w:rPr>
          <w:rFonts w:ascii="IRNazanin" w:hAnsi="IRNazanin" w:eastAsia="IRNazanin"/>
          <w:color w:val="111111"/>
          <w:sz w:val="28"/>
          <w:sz w:val="28"/>
          <w:szCs w:val="28"/>
          <w:rtl w:val="true"/>
          <w:lang w:bidi="fa-IR"/>
        </w:rPr>
        <w:t xml:space="preserve">البتّه باید دانست که این مورد در جایی است که نتوان گوشت مردار را از مذکّی جدا نمود؛ چراکه اگر تشخیص آنها ممکن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نزد هر دو طرف معامله یا نزد فروشنده و یا نزد خریدار، بخش مردار از مذکّی قابل تشخیص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معاملۀ گوشت مذکّی صحیح و ثمنی که در مقابلش پرداخت شده است، حلال می‌باشد؛ ولی آن مقدار از ثمن که در مقابل مردار پرداخت شده است، به ملکیت بایع درنمی‌آید و اگر مشتری بداند که گوشت مردار و مذکّی با یک‌دیگر مخلوط بوده است، خیار تبعّض صفقه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تمییز مردار از مذکّی ممکن نباشد، احتمالات بسیاری دربارۀ آن مطرح شده است که در ادامه آنها را بررسی خواهیم کرد؛ ولی هنگام ذکر هر یک از آنها، پیش از آن که ادلّه و قواعدش را بررسی کنیم، به مطالعۀ دیدگاه فقها دربارۀ آن می‌پردازیم</w:t>
      </w:r>
      <w:r>
        <w:rPr>
          <w:rFonts w:eastAsia="IRNazanin" w:cs="IRNazanin"/>
          <w:color w:val="111111"/>
          <w:sz w:val="28"/>
          <w:szCs w:val="28"/>
          <w:rtl w:val="true"/>
          <w:lang w:bidi="fa-IR"/>
        </w:rPr>
        <w:t>.</w:t>
      </w:r>
    </w:p>
    <w:p>
      <w:pPr>
        <w:pStyle w:val="Heading6"/>
        <w:numPr>
          <w:ilvl w:val="5"/>
          <w:numId w:val="1"/>
        </w:numPr>
        <w:rPr/>
      </w:pPr>
      <w:bookmarkStart w:id="824" w:name="__RefHeading___Toc2531323_1468164448"/>
      <w:bookmarkStart w:id="825" w:name="_Toc317"/>
      <w:bookmarkEnd w:id="824"/>
      <w:r>
        <w:rPr>
          <w:rtl w:val="true"/>
        </w:rPr>
        <w:t>الف</w:t>
      </w:r>
      <w:r>
        <w:rPr>
          <w:rtl w:val="true"/>
        </w:rPr>
        <w:t xml:space="preserve">) </w:t>
      </w:r>
      <w:r>
        <w:rPr>
          <w:rtl w:val="true"/>
        </w:rPr>
        <w:t>بیع مردار مختلط با مذکّی به قصد مجموع</w:t>
      </w:r>
      <w:bookmarkEnd w:id="825"/>
    </w:p>
    <w:p>
      <w:pPr>
        <w:pStyle w:val="Heading6"/>
        <w:numPr>
          <w:ilvl w:val="5"/>
          <w:numId w:val="1"/>
        </w:numPr>
        <w:rPr/>
      </w:pPr>
      <w:bookmarkStart w:id="826" w:name="__RefHeading___Toc2531325_1468164448"/>
      <w:bookmarkStart w:id="827" w:name="_Toc318"/>
      <w:bookmarkEnd w:id="826"/>
      <w:r>
        <w:rPr/>
        <w:t>1</w:t>
      </w:r>
      <w:r>
        <w:rPr>
          <w:rtl w:val="true"/>
        </w:rPr>
        <w:t xml:space="preserve">- </w:t>
      </w:r>
      <w:r>
        <w:rPr>
          <w:rtl w:val="true"/>
        </w:rPr>
        <w:t>دیدگاه فقها</w:t>
      </w:r>
      <w:bookmarkEnd w:id="827"/>
    </w:p>
    <w:p>
      <w:pPr>
        <w:pStyle w:val="BookText"/>
        <w:rPr/>
      </w:pPr>
      <w:r>
        <w:rPr>
          <w:rFonts w:ascii="IRNazanin" w:hAnsi="IRNazanin" w:eastAsia="IRNazanin"/>
          <w:color w:val="111111"/>
          <w:sz w:val="28"/>
          <w:sz w:val="28"/>
          <w:szCs w:val="28"/>
          <w:rtl w:val="true"/>
          <w:lang w:bidi="fa-IR"/>
        </w:rPr>
        <w:t>شیخ طوسی قدس سره در النهایة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اختلط اللّحم المذکّی بالمیتة ولم یکن هناک طریق إلی تمییز منها لم یحلّ أکل شیءٍ منه وبیع علی المستحلّی المیتة،</w:t>
      </w:r>
      <w:r>
        <w:rPr>
          <w:rStyle w:val="FootnoteAnchor"/>
          <w:rtl w:val="true"/>
        </w:rPr>
        <w:footnoteReference w:id="681"/>
      </w:r>
      <w:r>
        <w:rPr>
          <w:rFonts w:ascii="IRNazanin" w:hAnsi="IRNazanin" w:eastAsia="IRNazanin"/>
          <w:color w:val="111111"/>
          <w:sz w:val="28"/>
          <w:sz w:val="28"/>
          <w:szCs w:val="28"/>
          <w:rtl w:val="true"/>
          <w:lang w:bidi="fa-IR"/>
        </w:rPr>
        <w:t>زمانی که گوشت مردار و مذکّی با یکدیگر مخلوط شود و نتوان آنها را از هم تمییز داد، خوردن آن جایز نیست و می‌توان آن را به کافری که مردار را حلال می‌داند، فروخت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فتوای اخیر در زمان ما خیلی کاربرد دارد؛ زیرا امروزه در کشورهای اسلامی، مسلمانان در مغازه‌هایی کار می‌کنند که گوشت خوک، شراب و مانند آن</w:t>
      </w:r>
    </w:p>
    <w:p>
      <w:pPr>
        <w:pStyle w:val="BookText"/>
        <w:rPr/>
      </w:pP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فقیهی این فتوا را داشته باشد، مقلّدان او می‌توانند مردار را به کافری که آن را حلال می‌داند، بفروشند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حمزه قدس سره نیز در الوسیلة، عبارتی نظیر عبارت شیخ قدس سره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اختلط لحم المیتة بالمذکّی ولم یتمیّز لم یؤکل وبیع علی مستحلیه وإن اشتبه المذکّی بالمیتة طرح علی النار فإن انقبض فهو مذکّی وإن انبسط فهو میتة؛</w:t>
      </w:r>
      <w:r>
        <w:rPr>
          <w:rStyle w:val="FootnoteAnchor"/>
          <w:rtl w:val="true"/>
        </w:rPr>
        <w:footnoteReference w:id="682"/>
      </w:r>
      <w:r>
        <w:rPr>
          <w:rFonts w:ascii="IRNazanin" w:hAnsi="IRNazanin" w:eastAsia="IRNazanin"/>
          <w:color w:val="111111"/>
          <w:sz w:val="28"/>
          <w:sz w:val="28"/>
          <w:szCs w:val="28"/>
          <w:rtl w:val="true"/>
          <w:lang w:bidi="fa-IR"/>
        </w:rPr>
        <w:t>اگر گوشت مردار با مذکّی مخلوط شود و قابل تمییز نباشد، نباید خورده شود و فروختن آن به کافری که گوشت مردار را حلال می‌داند،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گوشت مردار با مذکّی اشتباه شود، باید آن را در آتش انداخت، اگر گوشت جمع شد، مذکّی و اگر حالت انبساط پیدا کرد، مردار است</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محقّق حلّی قدس سره در شرایع الاسلام اظهار می‌دارد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اختلط الذکّی بالمیتة وجب الإمتناع منه حتّی یعلم الذکّی بعینه، وهل یباع ممّن یستحلیه؟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وربما کان حسناً وإن قصد بیع المذکّی حسب؛</w:t>
      </w:r>
      <w:r>
        <w:rPr>
          <w:rStyle w:val="FootnoteAnchor"/>
          <w:rtl w:val="true"/>
        </w:rPr>
        <w:footnoteReference w:id="684"/>
      </w:r>
      <w:r>
        <w:rPr>
          <w:rFonts w:ascii="IRNazanin" w:hAnsi="IRNazanin" w:eastAsia="IRNazanin"/>
          <w:color w:val="111111"/>
          <w:sz w:val="28"/>
          <w:sz w:val="28"/>
          <w:szCs w:val="28"/>
          <w:rtl w:val="true"/>
          <w:lang w:bidi="fa-IR"/>
        </w:rPr>
        <w:t>اگر گوشت مذکّی با مردار مخلوط شود، تا هنگامی که مذکّی قابل تشخیص نباشد، باید از همۀ آن اجتناب کرد و این‌که آیا می‌شود به کسی که گوشت مردار را حلال می‌داند فروخت؟ گفته شده است،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اگر به قصد گوشت مذکّی فروخته شود، کار خوبی باشد</w:t>
      </w:r>
      <w:r>
        <w:rPr>
          <w:rFonts w:eastAsia="IRNazanin" w:cs="IRNazanin"/>
          <w:color w:val="111111"/>
          <w:sz w:val="28"/>
          <w:szCs w:val="28"/>
          <w:rtl w:val="true"/>
          <w:lang w:bidi="fa-IR"/>
        </w:rPr>
        <w:t>.</w:t>
      </w:r>
      <w:bookmarkStart w:id="828" w:name="pg13785_135259"/>
    </w:p>
    <w:p>
      <w:pPr>
        <w:pStyle w:val="BookText"/>
        <w:rPr/>
      </w:pPr>
      <w:bookmarkEnd w:id="828"/>
      <w:r>
        <w:rPr>
          <w:rFonts w:ascii="IRNazanin" w:hAnsi="IRNazanin" w:eastAsia="IRNazanin"/>
          <w:color w:val="111111"/>
          <w:sz w:val="28"/>
          <w:sz w:val="28"/>
          <w:szCs w:val="28"/>
          <w:rtl w:val="true"/>
          <w:lang w:bidi="fa-IR"/>
        </w:rPr>
        <w:t>ابن ادریس قدس سره نیز در السرائر به عدم جواز معامله و انتفاع از این گوشت مختلط، فتوا داده است و حتّی فروش آن را به کافری که گوشت مردار را حلال می‌داند نیز ممنوع می‌داند</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ابن برّاج قدس سره نیز در کتاب مهذّب همان عبارت شیخ طوسی قدس سره را آورده است، با این تفاوت که 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الأحوط ترک بیعه</w:t>
      </w:r>
      <w:r>
        <w:rPr>
          <w:rFonts w:eastAsia="IRNazanin" w:cs="IRNazanin"/>
          <w:color w:val="111111"/>
          <w:sz w:val="28"/>
          <w:szCs w:val="28"/>
          <w:rtl w:val="true"/>
          <w:lang w:bidi="fa-IR"/>
        </w:rPr>
        <w:t>».</w:t>
      </w:r>
      <w:r>
        <w:rPr>
          <w:rStyle w:val="FootnoteAnchor"/>
          <w:rtl w:val="true"/>
        </w:rPr>
        <w:footnoteReference w:id="686"/>
      </w:r>
      <w:r>
        <w:rPr>
          <w:rFonts w:ascii="IRNazanin" w:hAnsi="IRNazanin" w:eastAsia="IRNazanin"/>
          <w:color w:val="111111"/>
          <w:sz w:val="28"/>
          <w:sz w:val="28"/>
          <w:szCs w:val="28"/>
          <w:rtl w:val="true"/>
          <w:lang w:bidi="fa-IR"/>
        </w:rPr>
        <w:t>احتیاطی که ایشان به آن اشاره می‌کند، احتیاط واجب است؛ زیرا اگر احتیاط پس از فتوای خود آن فقیه بیاید، احتیاط مستحب است؛ ولی اگر فتوای دیگران را نقل و سپس احتیاط کند، احتیاط واجب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فقیهی فتوا دهد که مثلاً یک مرتبه تسبیحات اربعه در نماز کافی است، معنایش آن است که یک‌بار گفتن مُجزی است؛ ولی اگر در ادامه بفرماید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احوط آن است که سه بار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در صورتی‌که این احتیاط را وجوبی معنا کنیم، عدول از فتوا می‌شود؛ ولی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استحبابی است، عدول از فتوا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چرا فقیه گاهی احتیاط وجوبی می‌کند، به‌خاطر این است که گاهی ادلّۀ مجوّزه در مقابل ادلّۀ مانعه، توان مقاومت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فقیه نمی‌تواند به‌طور قاطع به حرمت بیع مردار فتوا دهد؛ چون ادلّه‌ای داریم که بوی تجویز از آن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گاهی احتیاط وجوبی هنگام عدم تمکّن از فتواست و گاهی هم فقیه فرصتی برای مراجعه ندارد و به‌خاطر همین، فعلاً احتیاط می‌کند، که البتّه این کار عیبی هم ندارد</w:t>
      </w:r>
      <w:r>
        <w:rPr>
          <w:rFonts w:eastAsia="IRNazanin" w:cs="IRNazanin"/>
          <w:color w:val="111111"/>
          <w:sz w:val="28"/>
          <w:szCs w:val="28"/>
          <w:rtl w:val="true"/>
          <w:lang w:bidi="fa-IR"/>
        </w:rPr>
        <w:t>.</w:t>
      </w:r>
    </w:p>
    <w:p>
      <w:pPr>
        <w:pStyle w:val="Heading6"/>
        <w:numPr>
          <w:ilvl w:val="5"/>
          <w:numId w:val="1"/>
        </w:numPr>
        <w:rPr/>
      </w:pPr>
      <w:bookmarkStart w:id="829" w:name="__RefHeading___Toc2531327_1468164448"/>
      <w:bookmarkStart w:id="830" w:name="_Toc319"/>
      <w:bookmarkEnd w:id="829"/>
      <w:r>
        <w:rPr/>
        <w:t>2</w:t>
      </w:r>
      <w:r>
        <w:rPr>
          <w:rtl w:val="true"/>
        </w:rPr>
        <w:t xml:space="preserve">- </w:t>
      </w:r>
      <w:r>
        <w:rPr>
          <w:rtl w:val="true"/>
        </w:rPr>
        <w:t>بیان احتمالات و فروض</w:t>
      </w:r>
      <w:bookmarkEnd w:id="830"/>
    </w:p>
    <w:p>
      <w:pPr>
        <w:pStyle w:val="BookText"/>
        <w:rPr/>
      </w:pPr>
      <w:r>
        <w:rPr>
          <w:rFonts w:ascii="IRNazanin" w:hAnsi="IRNazanin" w:eastAsia="IRNazanin"/>
          <w:color w:val="111111"/>
          <w:sz w:val="28"/>
          <w:sz w:val="28"/>
          <w:szCs w:val="28"/>
          <w:rtl w:val="true"/>
          <w:lang w:bidi="fa-IR"/>
        </w:rPr>
        <w:t>احتمال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چه مسلمان باشد چه کافر، معاملۀ گوشت مختلط جایز است؛ امّا مسلمان نمی‌تواند از گوشت برای خوردن استفاده نماید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مشتری، کافری باشد که گوشت مردار را حلال می‌داند، معامله به صورت مختلط جایز است</w:t>
      </w:r>
      <w:r>
        <w:rPr>
          <w:rFonts w:eastAsia="IRNazanin" w:cs="IRNazanin"/>
          <w:color w:val="111111"/>
          <w:sz w:val="28"/>
          <w:szCs w:val="28"/>
          <w:rtl w:val="true"/>
          <w:lang w:bidi="fa-IR"/>
        </w:rPr>
        <w:t>.</w:t>
      </w:r>
      <w:bookmarkStart w:id="831" w:name="pg13785_135260"/>
    </w:p>
    <w:p>
      <w:pPr>
        <w:pStyle w:val="BookText"/>
        <w:rPr/>
      </w:pPr>
      <w:bookmarkEnd w:id="831"/>
      <w:r>
        <w:rPr>
          <w:rFonts w:ascii="IRNazanin" w:hAnsi="IRNazanin" w:eastAsia="IRNazanin"/>
          <w:color w:val="111111"/>
          <w:sz w:val="28"/>
          <w:sz w:val="28"/>
          <w:szCs w:val="28"/>
          <w:rtl w:val="true"/>
          <w:lang w:bidi="fa-IR"/>
        </w:rPr>
        <w:t>وجه اشتراک این دو احتمال در این است که مبیع مختلط، مورد حکم جواز قرار گرفته است؛ یعنی ثمن در مقابل گوشت مردار و تذکیه شده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در صورتی جایز است که به قصد فروش گوشت تذکیه شده صورت گرفته باشد؛ یعنی بایع، تنها گوشت مذکّی را قصد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در صورتی جایز است که به قصد استنقاذ مال کافر باشد؛ یعنی بایع قصد معاملۀ حقیقی نمی‌کند، بلکه به این نیّت که مال کافر را از دست او خارج کند، گوشت مختلط را به او می‌فروشد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مخیّر است که هر کدام از این دو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بنا بر مبنایی است که موافقت قطعیه در علم اجمالی را واجب نمی‌داند و معتقد است که فرد می‌تواند یکی از اطراف را مرتکب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مشتری یک نفر باشد، معامله صحیح نیست؛ ولی اگر دو نفر باشند،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خویی در مصباح الفقاهة چنین دیدگاهی را مطرح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معاملۀ گوشت مردار مخلوط به مذکّی، به هیچ وجه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مختلط، حکم گوشت مشتبه را دارد؛ یعنی باید فحص و جستجو کرد تا گوشت مردار از گوشت تذکیه شده تمییز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نوبت به بررسی ضوابط و قواعد و روایات موجود می‌رسد تا نتیجۀ این بحث مشخّص گردد</w:t>
      </w:r>
      <w:r>
        <w:rPr>
          <w:rFonts w:eastAsia="IRNazanin" w:cs="IRNazanin"/>
          <w:color w:val="111111"/>
          <w:sz w:val="28"/>
          <w:szCs w:val="28"/>
          <w:rtl w:val="true"/>
          <w:lang w:bidi="fa-IR"/>
        </w:rPr>
        <w:t>.</w:t>
      </w:r>
    </w:p>
    <w:p>
      <w:pPr>
        <w:pStyle w:val="Heading6"/>
        <w:numPr>
          <w:ilvl w:val="5"/>
          <w:numId w:val="1"/>
        </w:numPr>
        <w:rPr/>
      </w:pPr>
      <w:bookmarkStart w:id="832" w:name="__RefHeading___Toc2531329_1468164448"/>
      <w:bookmarkStart w:id="833" w:name="_Toc320"/>
      <w:bookmarkEnd w:id="832"/>
      <w:r>
        <w:rPr/>
        <w:t>3</w:t>
      </w:r>
      <w:r>
        <w:rPr>
          <w:rtl w:val="true"/>
        </w:rPr>
        <w:t xml:space="preserve">- </w:t>
      </w:r>
      <w:r>
        <w:rPr>
          <w:rtl w:val="true"/>
        </w:rPr>
        <w:t>مقتضای قواعد</w:t>
      </w:r>
      <w:bookmarkEnd w:id="833"/>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مبنای کسی که انتفاع از مردار، برای غیر از اکل و شرب، جایز می‌داند و قائل است به این‌که هرگاه انتفاع جایز باشد، بیع نیز جایز خواهد بود، مقتضای قاعده این است که هرگاه بیع مردار به صورت منفرد جایز بود، بیع مردار به صورت مختلط نیز به طریق اولی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گونه که پیش‌تر گفته شد، چنین افرادی اصلاً در</w:t>
      </w:r>
    </w:p>
    <w:p>
      <w:pPr>
        <w:pStyle w:val="BookText"/>
        <w:rPr/>
      </w:pPr>
      <w:r>
        <w:rPr>
          <w:rFonts w:ascii="IRNazanin" w:hAnsi="IRNazanin" w:eastAsia="IRNazanin"/>
          <w:color w:val="111111"/>
          <w:sz w:val="28"/>
          <w:sz w:val="28"/>
          <w:szCs w:val="28"/>
          <w:rtl w:val="true"/>
          <w:lang w:bidi="fa-IR"/>
        </w:rPr>
        <w:t>این نزاع داخل نیستند؛ زیرا روشن است که طبق مبنای آنها چنین بیعی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 اساس مبنای مشهور، که نه انتفاع از مردار را جایز می‌دانند و نه بیع انفرادی آن را، نتیجه این می‌شود که مردار هیچ مالیّتی ندارد و از این رو، هرگز نمی‌توانیم آن را به همراه مذکّی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مالیّت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کنیم، به‌طوری که ثمن در مقابل هر دوی آنها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اساس مبنای کسی که انتفاع را جایز می‌داند، ولی بیع انفرادی مردار را جایز نمی‌داند، مقتضای قاعده این است که مکلّف بتواند این گوشت مختلط را به قصد مذکّی بفروشد و ثمن را در ازای مذکّی قرار دهد؛ ولی چون نمی‌داند میته و مذکّی کدام است، هر دو را با هم به مشتری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طبق این مبنا می‌تواند به کافر نیز این گوشت را بفروشد تا او برای خوردن استفاده کند؛ لیکن این سخن در صورتی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مکلّف به فروع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خویی قدس سره دربارۀ این مسئله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المدرک لحرمة بیع المیتة إن کان هی النصوص والإجماعات فلا شبهة فی أنّها لا تشملان صورة الإختلاط؛</w:t>
      </w:r>
      <w:r>
        <w:rPr>
          <w:rStyle w:val="FootnoteAnchor"/>
          <w:rtl w:val="true"/>
        </w:rPr>
        <w:footnoteReference w:id="687"/>
      </w:r>
      <w:r>
        <w:rPr>
          <w:rFonts w:ascii="IRNazanin" w:hAnsi="IRNazanin" w:eastAsia="IRNazanin"/>
          <w:color w:val="111111"/>
          <w:sz w:val="28"/>
          <w:sz w:val="28"/>
          <w:szCs w:val="28"/>
          <w:rtl w:val="true"/>
          <w:lang w:bidi="fa-IR"/>
        </w:rPr>
        <w:t>اگر مستند معاملۀ مردار به صورت منفرد، روایات و نصوص باشد، شکّی نیست که آن روایات شامل صورت اختلاط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ایشان برای این سخن آن است که روایاتی که ثمن مردار را سحت معرّفی کرده بود و یا حتّی صحیحۀ بزنطی، انصراف به جایی دارد که ثمن در مقابل مردار به صورت منفرد قرار گیرد؛ ولی در صورتی که ثمن در مقابل گوشت مردار مختلط به مذکّی قرار گیرد، از محدودۀ دلالت این روایات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این سخن محقّق خویی قدس سره در مورد روایات</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المیتة سحت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 پذیرش است؛ ولی نسبت به صحیحۀ بزنطی اثبات این سخن مشکل است؛ زیرا</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لایأکل و لایبیعها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 هر دو صورت، یعنی بیع مردار به صورت منفرد و بیع مردار مختلط با مذکّی 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محقّق خویی قدس سره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المدرک فی المنع هی حرمة الإنتفاع بالمیتة لکونها فی نظر الشارع مسلوب المالیة نظیر الخمر والخنزیر وقلنا بتنجیز العلم الإجمالی، فغایة ما یترتّب علیه هو عدم جواز بیعهما من شخص واحد للعلم الإجمالی بوجود ما لا یجوز الإنتفاع به فیهما، فإنّ العلم الإجمالی یوجب وجوب الإجتناب عن کلا المشتبهین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88"/>
      </w:r>
      <w:r>
        <w:rPr>
          <w:rFonts w:ascii="IRNazanin" w:hAnsi="IRNazanin" w:eastAsia="IRNazanin"/>
          <w:color w:val="111111"/>
          <w:sz w:val="28"/>
          <w:sz w:val="28"/>
          <w:szCs w:val="28"/>
          <w:rtl w:val="true"/>
          <w:lang w:bidi="fa-IR"/>
        </w:rPr>
        <w:t>و اگر دلیل حرمت بیع مردار به صورت منفرد، سلب مالیّت شرعی از آن باشد و همچنین اگر منجزیّت علم اجمالی پذیرفته شود، در این‌صورت نمی‌توان مردار مخلوط به مذکّی را به مشتری واحد فروخت؛ ولی اگر به دو مشتری فروخته شود،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مردار مختلط به مذکّی به یک نفر فروخته شود، به علّت وجود علم اجمالی به نجاست و مردار بودن یکی از آن دو، این معامله صحیح نخواهد بود؛ ولی اگر به دو نفر فروخته شود، مانعی ندارد؛ چراکه در این حال، دو قطعه گوشت وجود دارد که نمی‌دانیم کدام مردار وکدام تذکیه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این دو گوشت را به زید می‌فروشیم و اشکالی هم ندارد؛ چون علم به این‌که این حتماً مردار است نداریم؛ بلکه فقط احتمال می‌دهیم و احتمال هم مانعیت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معامله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دوم را نیز می‌خواهیم به مشتری دیگر بدهیم، ولی احتمال می‌دهیم که مردار باشد؛ لیکن مجرّد احتمال در این‌جا نیز مانع از جواز انتفاع نیست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هم در بیع نخست، مشتری می‌تواند استفاده کند و هم در بیع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این‌صورت نیز بایع نمی‌تواند در ثمن اخذ شده تصرّف کند؛ چراکه منجّزیت علم اجمالی برای او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مانند جایی است که علم اجمالی به نجاست یکی از دو ظرف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گونه موارد اگر یکی از آن دو ظرف را زید و دیگری را عمرو بردارد، نه زید علم اجمالی دارد و نه عمرو؛ چون آنها فقط با یک ظرف رو به رو هستند و علم اجمالی در جایی است که دو طرف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اجتناب بر آنها لازم نیست، بلکه فقط بر کسی که با هر دوی آنها مواجه است، اجتناب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گویا این‌جا نیز مانند مواردی است که یکی از اطراف علم اجمالی از بین می‌رود و یا از محل ابتلا خارج می‌شود؛ چراکه در این گونه موارد اصولی‌ها معتقدند که ارتکاب طرف باقی‌مانده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کلّی در بحث علم اجمالی، مشهور فقها معتقدند که علم اجمالی در همۀ موارد منجّز تکلیف است؛ یعنی اگر علم اجمالی بر حرمت یکی از دو مورد باشد، لازم است از هر دو مورد اجتناب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دیدگاه، خوردن و فروش مردار مختلط به مذکّی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امام خمینی قدس سره بر خلاف نظر مشهور، معتقد است که علم اجمالی دو گونه دارد و تنها در یک نوع از آن اجتناب از هر دو طرف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تنها یک نوع از علم اجمالی، منجِّز تکلیف است و در نوع دیگر آن، امکان ارتکاب یکی از دو طرف وجود دارد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قسم از علم اجمالی که ارتکاب هیچ یک از طرفین در آن جایز نیست، در مواردی است که علم اجمالی به یک حکم فعلیّت یابد و ارادۀ جزمی به آن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می‌دانیم که یکی از این دو ظرف نجس است، به خاطر همین علم اجمالی داریم به این‌که وجوب اجتناب از نجس برای ما فعلیت دارد و شارع، بالفعل یک حکمی را متوجّه ما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 اگر همین 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این‌جا حکم بالفعل و ارادۀ حتمی دارد و می‌گوید حتماً باید این حکم امتثال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بخواهد ترخیص در ارتکاب یکی از دو طرف بدهد، کار او مستلزم تناقض خواهد بود؛ زیرا</w:t>
      </w:r>
    </w:p>
    <w:p>
      <w:pPr>
        <w:pStyle w:val="BookText"/>
        <w:rPr/>
      </w:pPr>
      <w:r>
        <w:rPr>
          <w:rFonts w:ascii="IRNazanin" w:hAnsi="IRNazanin" w:eastAsia="IRNazanin"/>
          <w:color w:val="111111"/>
          <w:sz w:val="28"/>
          <w:sz w:val="28"/>
          <w:szCs w:val="28"/>
          <w:rtl w:val="true"/>
          <w:lang w:bidi="fa-IR"/>
        </w:rPr>
        <w:t>از یک سو به یک حکم فعلی علم یافته‌ایم و از سوی دیگر، ارتکاب یکی از دو طرف، رخصت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قسم علم اجمالی، که می‌توان در آن یکی از طرفین را مرتکب شد، مواردی است که علم اجمالی از طریق یک حجّت شرعی به‌وجود آمده است و اطلاق یا عموم یک دلیل شرعی، شامل مورد مشتبه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اطلاق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الْمَیْتَةُ وَ الدَّمُ وَ لَحْمُ الْخِنْزِیرِ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مرداری که برای ما مشتبه است و به آن علم اجمالی داریم نیز می‌شود؛ یعنی مفاد اطلاق این آیه، این است که مردار حرام است، خواه علم تفصیلی به وجود مردار داشته باشیم و خواه علم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امام خمینی قدس سره اگر در این قسم، دلیلی بر رخصت ارتکاب یکی از دو طرف موجود باشد، تناقض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توجّه به این‌که در مسئلۀ مورد بحث نیز علم اجمالی از نوع دوم است،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حلّیت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دلیلی بر اجازۀ ارتکاب یکی از دو طرف به شمار آورد</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یعنی در صورت اوّل که ما به یک ارادۀ فعلی اجمالی علم داریم، خود شارع هم نمی‌تواند نسبت به یکی از دو طرف ترخیص دهد؛ ولی در مورد دوم، شارع می‌تواند با یک دلیل دیگری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مرداری با مذکّی مشتبه شد، می‌توانید از هر دو و یا یکی از آنها استفاده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در این‌صورت، ورود ترخیص مستلزم تناقض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توجّه به این‌که در بیشتر موارد، علم اجمالی از نوع دوم است، می‌توان دلیلی از قبیل اصل حلّیت را جاری کرد و ترخیص شارع را اثبات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آن‌که به باور برخی از فقها، می‌توان یکی از دو طرف علم اجمالی را اختیار کرد و مرتکب شد و طرف دیگر را به عنوان بدل از حرام واقعی کنار گذاشت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مبنای این سخن، جاری ساختن اصل حلّیت به صورت تخییری در یکی از دو طرف علم اجمالی است</w:t>
      </w:r>
      <w:r>
        <w:rPr>
          <w:rFonts w:eastAsia="IRNazanin" w:cs="IRNazanin"/>
          <w:color w:val="111111"/>
          <w:sz w:val="28"/>
          <w:szCs w:val="28"/>
          <w:rtl w:val="true"/>
          <w:lang w:bidi="fa-IR"/>
        </w:rPr>
        <w:t>.</w:t>
      </w:r>
      <w:bookmarkStart w:id="834" w:name="pg13785_135265"/>
    </w:p>
    <w:p>
      <w:pPr>
        <w:pStyle w:val="BookText"/>
        <w:rPr/>
      </w:pPr>
      <w:bookmarkEnd w:id="834"/>
      <w:r>
        <w:rPr>
          <w:rFonts w:ascii="IRNazanin" w:hAnsi="IRNazanin" w:eastAsia="IRNazanin"/>
          <w:color w:val="111111"/>
          <w:sz w:val="28"/>
          <w:sz w:val="28"/>
          <w:szCs w:val="28"/>
          <w:rtl w:val="true"/>
          <w:lang w:bidi="fa-IR"/>
        </w:rPr>
        <w:t>لیکن برخی همچون میرزا محمّدتقی شیرازی قدس سره معتقدند که اصل حلّیت، تنها اجازه استفاده از یکی از دو طرف را می‌دهد و نمی‌توان از آن به عنوان مصحّح بیع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با اصل حلّیت تنها می‌توان جواز اکل را ثابت نمود نه صحّت بیع را؛ یعنی در بحث مردار وقتی گفته می‌شود بیع آن حرام است، می‌توان نتیجه گرفت که تنها بیع گوشتی که واقعاً تذکیه شده باشد، صحیح است، در حالی که با اصل حلّیت تنها می‌توان تذکیۀ ظاهری را ثابت نمود</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امام خمینی قدس سره در پاسخ به سخن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اکل نشان دهندۀ مالیّت است و با وجود مالیّت، بیع نیز صحیح است حتّی اگر مالیّت ظاهری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مالیّت مردار عقلایی است و تا زمانی که شارع آن را رد نکند، جایز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بیع آن اشکالی ندارد</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در نهایت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طبق نظر مشهور، ارتکاب هیچ یک از دو طرف علم اجمالی را جایز ندانیم، خوردن و معاملۀ مردار مختلط به مذکّی نیز جایز نخواهد بود و باید از هر دو اجتناب کرد؛ امّا اگر ارتکاب یکی از دو طرف را جایز دانستیم، نسبت به طرف اختیار شده، جواز اکل و جواز بیع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بنا بر نظر کسانی که ارتکاب هر دو طرف علم اجمالی را جایز می‌دانند، اکل و معاملۀ مردار مختلط به مذکّی جایز است</w:t>
      </w:r>
      <w:r>
        <w:rPr>
          <w:rFonts w:eastAsia="IRNazanin" w:cs="IRNazanin"/>
          <w:color w:val="111111"/>
          <w:sz w:val="28"/>
          <w:szCs w:val="28"/>
          <w:rtl w:val="true"/>
          <w:lang w:bidi="fa-IR"/>
        </w:rPr>
        <w:t>.</w:t>
      </w:r>
    </w:p>
    <w:p>
      <w:pPr>
        <w:pStyle w:val="Heading6"/>
        <w:numPr>
          <w:ilvl w:val="5"/>
          <w:numId w:val="1"/>
        </w:numPr>
        <w:rPr/>
      </w:pPr>
      <w:bookmarkStart w:id="835" w:name="__RefHeading___Toc2531331_1468164448"/>
      <w:bookmarkStart w:id="836" w:name="_Toc321"/>
      <w:bookmarkEnd w:id="835"/>
      <w:r>
        <w:rPr/>
        <w:t>4</w:t>
      </w:r>
      <w:r>
        <w:rPr>
          <w:rtl w:val="true"/>
        </w:rPr>
        <w:t xml:space="preserve">- </w:t>
      </w:r>
      <w:r>
        <w:rPr>
          <w:rtl w:val="true"/>
        </w:rPr>
        <w:t>روایات</w:t>
      </w:r>
      <w:bookmarkEnd w:id="836"/>
    </w:p>
    <w:p>
      <w:pPr>
        <w:pStyle w:val="BookText"/>
        <w:rPr/>
      </w:pPr>
      <w:r>
        <w:rPr>
          <w:rFonts w:ascii="IRNazanin" w:hAnsi="IRNazanin" w:eastAsia="IRNazanin"/>
          <w:color w:val="111111"/>
          <w:sz w:val="28"/>
          <w:sz w:val="28"/>
          <w:szCs w:val="28"/>
          <w:rtl w:val="true"/>
          <w:lang w:bidi="fa-IR"/>
        </w:rPr>
        <w:t xml:space="preserve">در مقام بررسی روایات باید توجّه کرد که آیا می‌توان از این روایات، جواز معاملۀ مجموع مبیع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گوشت مردار و گوشت مذکّی را استفاده نمود؟ و اگر نتوان جواز مبیع مجموع را استفاده کرد، آیا بایع می‌تواند تنها گوشت مذکّی را قصد کند و در مقام تسلیم هر دو را به مشتری تحویل دهد؟</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این مسئله روایات پرشماری وجود دارد که به بررسی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روایات دلالت دارند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مختلط به مذکّی را می‌توان به کسی که مردار را حلال می‌داند 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روایات، احادیثی هستند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مردار با مذکّی مختلط شد، مذکّای واقعی نیز دیگر به درد نمی‌خورد و هر دو را جلوی سگ‌ها بریزید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 نیز روایاتی هستند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مختلط نیز مانند مشتبه است؛ یعنی باید آن را در آتش انداخت تا اگر منقبض شد، حکم به تذکیۀ آن و اگر منبسط شد، حکم به مردار بودن آن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بیع</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یکم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یَعْقُوبَ عَنْ مُحَمَّدِ بْنِ یَحْیَی عَنْ أَحْمَدَ بْنِ مُحَمَّدٍ عَنْ عَلِیِّ بْنِ الْحَکَمِ عَنْ أَبِی الْمَغْرَاءِ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اخْتَلَطَ الذَّکِیُّ وَالْمَیْتَةُ بَاعَهُ مِمَّنْ یَسْتَحِلُّ الْمَیْتَةَ وَأَکَلَ ثَمَنَهُ؛</w:t>
      </w:r>
      <w:r>
        <w:rPr>
          <w:rStyle w:val="FootnoteAnchor"/>
          <w:rtl w:val="true"/>
        </w:rPr>
        <w:footnoteReference w:id="692"/>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گوشت مردار و گوشت تذکیه شده با یک‌دیگر مخلوط شوند، می‌توان آن را به کسی که مردار را حلال می‌داند 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صحیحه است و سند آن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سه جهت باید مورد بحث قرار گیرد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مقصود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واقعی و حقیقی است، یا نتیجه و ظاهر بیع؟ علّامه قدس سره در مختلف الشیعة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فی الحقیقة لیس بیعاً بل هو استنقاذ مال الکافر من یده برضاه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دیگر 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نظر بذل مال در مقابل عوض، با بیع مشابهت دارد، بر آن اطلاق بیع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بعد، این جهت را مورد بررسی قرار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چه بسا مقصود از آن مذکّای واقعی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ممکن است مرجع ضمیر، گوشت مختلط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دیدگاه مورد قبول بسیاری از فقها و ظاهراً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یستحلّ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هستند که گوشت مردار را برای خود مباح می‌دانند، خواه اهل کتاب باشند، خواه ملحد و مشرکی که اهل کتاب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عَلِیِّ بْنِ إِبْرَاهِیمَ عَنْ أَبِیهِ عَنِ ابْنِ أَبِی عُمَیْرٍ عَنْ حَمَّادٍ عَنِ الْحَلَبِیِّ عَنْ أَبِی عَبْدِاللّهِ علیه السلام أَنَّهُ سُئِلَ عَنْ رَجُلٍ کَانَ لَهُ غَنَمٌ وَبَقَرٌ وَکَانَ یُدْرِکُ الذَّکِیَّ مِنْهَا فَیَعْزِلُهُ وَیَعْزِلُ الْمَیْتَةَ ثُمَّ إِنَّ الْمَیْتَة وَالذَّکِیَّ اخْتَلَطَا کَیْفَ یَصْنَعُ 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یَبِیعُهُ مِمَّنْ یَسْتَحِلُّ الْمَیْتَةَ وَیَأْکُلُ ثَمَنَهُ فَإِنَّهُ لَابَأْسَ؛</w:t>
      </w:r>
      <w:r>
        <w:rPr>
          <w:rStyle w:val="FootnoteAnchor"/>
          <w:rtl w:val="true"/>
        </w:rPr>
        <w:footnoteReference w:id="693"/>
      </w:r>
      <w:r>
        <w:rPr>
          <w:rFonts w:ascii="IRNazanin" w:hAnsi="IRNazanin" w:eastAsia="IRNazanin"/>
          <w:color w:val="111111"/>
          <w:sz w:val="28"/>
          <w:sz w:val="28"/>
          <w:szCs w:val="28"/>
          <w:rtl w:val="true"/>
          <w:lang w:bidi="fa-IR"/>
        </w:rPr>
        <w:t>از امام صادق علیه السلام در مورد مردی که گاو و گوسفند داشته و مردار و تذکیه شده آن را جدا می‌کند، اما در موردی این دو با یک‌دیگر مخلوط شده‌اند، او چگونه می‌تواند از این گوشت استفاده کند؟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مردار را حلال می‌داند، بفروشد و در ثمن آن تصرّف کند که این کار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ابراهیم بن هاشم در سند این روایت، اختلاف نظر وجود دارد و از همین رو، برخی این روایت را صحیح و برخی آن را حسن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باید توجّه داشت این است که اگر یک نفر دو روایت را از یک امام علیه السلام روایت کند، نتیجه‌اش این است که روایت دیگر، همان روایت اوّل باشد و یک روایت محسوب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این دو روایت را که حلبی نقل می‌کند، به منزلۀ یک روایت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مُحَمَّدِ بْنِ عَلِیِّ بْنِ مَحْبُوبٍ عَنْ مُحَمَّدِ بْنِ یَحْیَی عَنِ ابْنِ أَبِی</w:t>
      </w:r>
    </w:p>
    <w:p>
      <w:pPr>
        <w:pStyle w:val="BookText"/>
        <w:rPr/>
      </w:pPr>
      <w:r>
        <w:rPr>
          <w:rFonts w:ascii="Amiri" w:hAnsi="Amiri" w:eastAsia="Amiri" w:cs="Amiri"/>
          <w:color w:val="111111"/>
          <w:sz w:val="28"/>
          <w:sz w:val="28"/>
          <w:szCs w:val="28"/>
          <w:rtl w:val="true"/>
          <w:lang w:bidi="ar-SA"/>
        </w:rPr>
        <w:t>عُمَیْرٍ عَنْ حَفْصِ بْنِ الْبَخْتَرِیِّ عَنْ أَبِی عَبْدِاللّهِ علیه السلام فِی الْعَجِینِ مِنَ الْمَاءِ النَّجِسِ کَیْفَ یُصْنَعُ بِهِ؟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یُبَاعُ مِمَّنْ یَسْتَحِلُّ الْمَیْتَةَ؛</w:t>
      </w:r>
      <w:r>
        <w:rPr>
          <w:rStyle w:val="FootnoteAnchor"/>
          <w:rtl w:val="true"/>
        </w:rPr>
        <w:footnoteReference w:id="694"/>
      </w:r>
      <w:r>
        <w:rPr>
          <w:rFonts w:ascii="IRNazanin" w:hAnsi="IRNazanin" w:eastAsia="IRNazanin"/>
          <w:color w:val="111111"/>
          <w:sz w:val="28"/>
          <w:sz w:val="28"/>
          <w:szCs w:val="28"/>
          <w:rtl w:val="true"/>
          <w:lang w:bidi="fa-IR"/>
        </w:rPr>
        <w:t>از امام صادق علیه السلام سؤال شد که با خمیری که از آب نجس درست شده است چگونه رفتار کنند؟ ایشان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مردار را حلال می‌داند، بفروشند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خمیر نجس در حکم مردار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لازم است نکاتی را پیرامون روایات مطالعه شده،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نکات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خویی قدس سره در کتاب مصباح الفقاهة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یستحلّ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خصوصیّتی ندارد؛ چراکه در آن زمان انتفاع غالب مردار، خوردن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مردار به کسی که آن را حلال می‌داند، جایز است حتّی اگر برای خوردن باشد؛ لیکن در عصر حاضر که می‌توان انتفاعات بسیاری را برای مردار تصوّر نمود و از طرفی با توجّه به مبنای ما که انتفاع از مردار در منافع حلال جایز است،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 یستحلّ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خصوصیّتی ندارد</w:t>
      </w:r>
      <w:r>
        <w:rPr>
          <w:rFonts w:eastAsia="IRNazanin" w:cs="IRNazanin"/>
          <w:color w:val="111111"/>
          <w:sz w:val="28"/>
          <w:szCs w:val="28"/>
          <w:rtl w:val="true"/>
          <w:lang w:bidi="fa-IR"/>
        </w:rPr>
        <w:t>.</w:t>
      </w:r>
      <w:r>
        <w:rPr>
          <w:rStyle w:val="FootnoteAnchor"/>
          <w:rtl w:val="true"/>
        </w:rPr>
        <w:footnoteReference w:id="695"/>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این سخن محقّق خویی قدس سره خالی از اشکال نیست؛ زیرا در زمان امام صادق علیه السلام انتفاع از مردار منحصر در خوردن نبوده است؛ بلکه برای ساخت غلاف شمشیر، تهیّۀ لباس و مانند آن از مردار استفاده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بهتر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در خصوص خوردن وارد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نیز این است که خمیر تنها برای خوردن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یستحلّ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احترازی است؛ یعنی مردار مخلوط به مذکّی را برای اکل، تنها می‌توان به کسی که آن را حلال می‌داند، 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گونه روایات می‌توان یک ضابطۀ عمومی به دست آورد و آن این است که جواز فروش مردار به کسی که آن را حلال می‌داند، اختصاص به گوشت مختلط ندارد؛ بلکه اگر شخصی یک گوسفند مردۀ معیّن داشته باشد، می‌تواند آن را به کسی که مردار را حلال می‌داند، بفروشد؛ زیرا صحیحۀ حلبی بر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المیتة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دارد؛ یعنی وقتی امام علیه السلام در پاسخ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 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 که این روایت می‌تواند آن روایات عام را مقیّد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ثمنی که در مقابل مردار دریافت می‌شود سحت است، جز در مواردی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یستحل المیته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حلّی قدس سره دربارۀ دو روایت حلبی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روایات استفاده می‌شود که قصد سائل و امام علیه السلام معامله نیست؛ بلکه خارج کردن مال از دست کافر و استنقاذ مال از اوست؛ یعنی مال کافر حربی برای مسلمانان مباح است؛ ولی چون در حال حاضر گرفتن مال از او ممکن نیست، پس می‌توان به بهانه فروش گوشت به او پول را از وی استنقاذ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به نظر می‌رسد که اصلاً در این روایات، قرینه‌ای که اشاره به استنقاذ مال داشته باشد وجود ندارد؛ زیرا در این روایات، یا پرسش دربارۀ حکم بیع است و یا دربارۀ این‌که چه کاری با آن انجام دهیم؟ پس اگر مقصود امام علیه السلام استنقاذ بود، می‌توانستند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مختلط را به کافر بده تا مال او را استنقاذ کنی؛ لیکن به جای این تعبیر،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بخواهیم کلام ایشان را حمل بر استنقاذ کنیم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بیع، بیع ظاهری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 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ثمن ظاهری می‌باشد، در حالی که این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استنقاذ از هر کافری جایز نیست؛ بلکه مال اهل ذمّه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ایرن رو، تنها کافر حربی شامل این حکم می‌شود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محقّق خویی قدس سره نیز برای رد ادّعای یاد شده، به نکتۀ خوبی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بود و هیچ کافری در کوفۀ آن زمان وجود نداشته است که بتوان مال او را استنقاذ کرد</w:t>
      </w:r>
      <w:r>
        <w:rPr>
          <w:rFonts w:eastAsia="IRNazanin" w:cs="IRNazanin"/>
          <w:color w:val="111111"/>
          <w:sz w:val="28"/>
          <w:szCs w:val="28"/>
          <w:rtl w:val="true"/>
          <w:lang w:bidi="fa-IR"/>
        </w:rPr>
        <w:t>.</w:t>
      </w:r>
      <w:r>
        <w:rPr>
          <w:rStyle w:val="FootnoteAnchor"/>
          <w:rtl w:val="true"/>
        </w:rPr>
        <w:footnoteReference w:id="696"/>
      </w:r>
      <w:r>
        <w:rPr>
          <w:rFonts w:ascii="IRNazanin" w:hAnsi="IRNazanin" w:eastAsia="IRNazanin"/>
          <w:color w:val="111111"/>
          <w:sz w:val="28"/>
          <w:sz w:val="28"/>
          <w:szCs w:val="28"/>
          <w:rtl w:val="true"/>
          <w:lang w:bidi="fa-IR"/>
        </w:rPr>
        <w:t>لیکن به نظر می‌رسد که هرچند این سخن، دقّت اجتهادی بسیار خوبی است ولی باید توجّه کرد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در کوفه ناصبی وجود داشته است که می‌توان مال آنان را استنقاذ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محضر امام صادق علیه السلام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 توجّه به این‌که امام صادق علیه السلام در مدینه ساکن بودند، معلوم می‌شود که این روایت در مدینه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نمی‌توان سخن محقّق خویی قدس سره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روایات یاد شده، معلوم می‌شود که کافر به فروع مکلّف نیست، وگرنه همان طور که خوردن مردار بر مسلمان حرام است، بر آنها نیز حرام می‌بود و استثنا کردن آنها وجهی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روایات استفاده می‌شود که فقط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مختلط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که آن را حلال می‌داند، جایز است، نه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مذکّی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معلوم می‌شود که وجود مذکّی نقشی ندارد و ملاک حکم فقط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یستحلّ المیته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سره پس از نقل دو روایت حلبی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حملها علی صورة قصد البائع المسلم اجزاءها التی لا تحلّها الحیاة من الصوف والشعر والعظم؛</w:t>
      </w:r>
      <w:r>
        <w:rPr>
          <w:rStyle w:val="FootnoteAnchor"/>
          <w:rtl w:val="true"/>
        </w:rPr>
        <w:footnoteReference w:id="697"/>
      </w:r>
      <w:r>
        <w:rPr>
          <w:rFonts w:ascii="IRNazanin" w:hAnsi="IRNazanin" w:eastAsia="IRNazanin"/>
          <w:color w:val="111111"/>
          <w:sz w:val="28"/>
          <w:sz w:val="28"/>
          <w:szCs w:val="28"/>
          <w:rtl w:val="true"/>
          <w:lang w:bidi="fa-IR"/>
        </w:rPr>
        <w:t>به عقیدۀ ایشان می‌توان این دو روایت را بر اجزایی از بدن مردار که دارای حیات نیستند، حمل نمود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قدس سره دربارۀ این سخن شیخ انصاری قدس سره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گذاشتن این روایات بهتر از حملی است که شیخ قدس سره انجام می‌دهد؛ زیرا پرسش سائل دربارۀ گوشت مختلط و پاسخ امام علیه السلام نیز جواز فروختن آن به کافری است که مردار را حلال می‌داند؛ پس هیچ قیدی دالّ بر این‌که نظر ایشان، اجزای بدون حیات مردار است،</w:t>
      </w:r>
    </w:p>
    <w:p>
      <w:pPr>
        <w:pStyle w:val="BookText"/>
        <w:rPr/>
      </w:pP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همچنین شیخ انصاری قدس سره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سبزواری قدس سره در کتاب کفایة الأحکام، عمل به این دو روایت را وجیه شمرده است؛</w:t>
      </w:r>
      <w:r>
        <w:rPr>
          <w:rStyle w:val="FootnoteAnchor"/>
          <w:rtl w:val="true"/>
        </w:rPr>
        <w:footnoteReference w:id="699"/>
      </w:r>
      <w:r>
        <w:rPr>
          <w:rFonts w:ascii="IRNazanin" w:hAnsi="IRNazanin" w:eastAsia="IRNazanin"/>
          <w:color w:val="111111"/>
          <w:sz w:val="28"/>
          <w:sz w:val="28"/>
          <w:szCs w:val="28"/>
          <w:rtl w:val="true"/>
          <w:lang w:bidi="fa-IR"/>
        </w:rPr>
        <w:t xml:space="preserve">امّا در ادامه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دیدگاه محقّق سبزواری خدشه وارد می‌کند</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از این‌رو، طبق نظر شیخ قدس سره، معاملۀ گوشت مختلط به کسی که مردار را حلال می‌داند،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ایشان برای این عبارت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دلیلی ذکر نکرده است؛ لیکن دیگران وجوهی را در این باره ذکر کرده‌اند که ما به بررسی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معاملۀ گوشت مختلط، مشکل است؛ چون دو روایتی که بر جواز بیع مردار دلالت می‌کنند شاذ و روایاتی که بر منع دلالت دارند،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فقها از عمل به این دو روایت اعراض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نظر می‌رسد که این وجه درست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وسائل در باب حکم بیع مردار مختلط به مذکّی، شش روایت نقل کرده است که بر جواز دلالت می‌کنند،</w:t>
      </w:r>
      <w:r>
        <w:rPr>
          <w:rStyle w:val="FootnoteAnchor"/>
          <w:rtl w:val="true"/>
        </w:rPr>
        <w:footnoteReference w:id="701"/>
      </w:r>
      <w:r>
        <w:rPr>
          <w:rFonts w:ascii="IRNazanin" w:hAnsi="IRNazanin" w:eastAsia="IRNazanin"/>
          <w:color w:val="111111"/>
          <w:sz w:val="28"/>
          <w:sz w:val="28"/>
          <w:szCs w:val="28"/>
          <w:rtl w:val="true"/>
          <w:lang w:bidi="fa-IR"/>
        </w:rPr>
        <w:t>در حالی که روایات مانعه بیش از پنج روایت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نمی‌توان گفت که روایات مجوّزه شاذّ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قدس سره در النهایة</w:t>
      </w:r>
      <w:r>
        <w:rPr>
          <w:rStyle w:val="FootnoteAnchor"/>
          <w:rtl w:val="true"/>
        </w:rPr>
        <w:footnoteReference w:id="702"/>
      </w:r>
      <w:r>
        <w:rPr>
          <w:rFonts w:ascii="IRNazanin" w:hAnsi="IRNazanin" w:eastAsia="IRNazanin"/>
          <w:color w:val="111111"/>
          <w:sz w:val="28"/>
          <w:sz w:val="28"/>
          <w:szCs w:val="28"/>
          <w:rtl w:val="true"/>
          <w:lang w:bidi="fa-IR"/>
        </w:rPr>
        <w:t>و ابن حمزه قدس سره در الوسیلة</w:t>
      </w:r>
      <w:r>
        <w:rPr>
          <w:rStyle w:val="FootnoteAnchor"/>
          <w:rtl w:val="true"/>
        </w:rPr>
        <w:footnoteReference w:id="703"/>
      </w:r>
      <w:r>
        <w:rPr>
          <w:rFonts w:ascii="IRNazanin" w:hAnsi="IRNazanin" w:eastAsia="IRNazanin"/>
          <w:color w:val="111111"/>
          <w:sz w:val="28"/>
          <w:sz w:val="28"/>
          <w:szCs w:val="28"/>
          <w:rtl w:val="true"/>
          <w:lang w:bidi="fa-IR"/>
        </w:rPr>
        <w:t>بر طبق این روایات فتوا داده‌اند و محقّق سبزواری قدس سره نیز عمل به این دو روایت را وجیه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صاحب جواهر قدس سره در این باره می‌نویسد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فالمتّجه العمل بالخبرین الجامعین لشرائط الحجّیة خصوصاً بعد الشهرة المحکیة فی مجمع البرهان علی العمل بهما وابن ادریس طرحهما علی</w:t>
      </w:r>
    </w:p>
    <w:p>
      <w:pPr>
        <w:pStyle w:val="BookText"/>
        <w:rPr/>
      </w:pPr>
      <w:r>
        <w:rPr>
          <w:rFonts w:ascii="IRNazanin" w:hAnsi="IRNazanin" w:eastAsia="IRNazanin"/>
          <w:color w:val="111111"/>
          <w:sz w:val="28"/>
          <w:sz w:val="28"/>
          <w:szCs w:val="28"/>
          <w:rtl w:val="true"/>
          <w:lang w:bidi="fa-IR"/>
        </w:rPr>
        <w:t>أصله؛</w:t>
      </w:r>
      <w:r>
        <w:rPr>
          <w:rStyle w:val="FootnoteAnchor"/>
          <w:rtl w:val="true"/>
        </w:rPr>
        <w:footnoteReference w:id="704"/>
      </w:r>
      <w:r>
        <w:rPr>
          <w:rFonts w:ascii="IRNazanin" w:hAnsi="IRNazanin" w:eastAsia="IRNazanin"/>
          <w:color w:val="111111"/>
          <w:sz w:val="28"/>
          <w:sz w:val="28"/>
          <w:szCs w:val="28"/>
          <w:rtl w:val="true"/>
          <w:lang w:bidi="fa-IR"/>
        </w:rPr>
        <w:t>عمل کردن به دو خبری که دارای شرایط حجّیت است، وجیه و خوب به نظر می‌رسد، مخصوصاً پس از شهرتی که در مجمع الفائدة و البرهان برای عمل به این دو ادّعا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ابن ادریس این روایات را کنار گذاشته است، به‌خاطر مبنای او دربارۀ عدم حجّیت خبر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برخی از فقها، مانند محقّق و علاّمه قدس سرهما، این روایات را بر جایی حمل کرده‌اند که قصد فروشنده فروختن مذکّی باشد، از این رو، هرچند ما پیش‌تر گفتیم که این حمل، بر خلاف ظاهر روایات است، لیکن این دلالت می‌کند بر این‌که محقّق و علاّمه قدس سرهما نیز بر طبق این دو روایت عمل کرده‌اند، اگرچه آنها را بر صورتی حمل کرده‌اند که مکلّف بیع مذکّی را قصد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رجال، این بحث مطرح است که اگر اصحاب بر طبق روایت صحیحی فتوا ندادند، آیا حجّیت این روایت مخدوش می‌شود؟ در این باره دو دیدگاه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قم، مانند محقّق حائری، محقّق بروجردی، امام خمینی و شاگردان ایشان قدس سرهم، اعراض اصحاب را موجب از بین رفتن حجّیت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دیدگاه بزرگان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محقّق خویی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اعراض اصحاب، ضربه‌ای به حجّیت خبر نمی‌زند و باید به روایاتی که سند صحیح دارند،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باور ما دربارۀ این بحث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جای خودش و در یکی از بحث‌های گذشته ثابت کردیم، اعراض اصحاب حجّیت را از بین می‌برد، همان طور که عمل کردن اصحاب به یک روایت ضعیف نیز ضعف سند آن را جبران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شیخ انصاری قدس سره هم این دیدگاه را پذیرفته است؛ یعنی ایشان در جایی که مشهور از روایتی اعراض کنند، دیگر به روایت عمل نمی‌کند و در جایی که مشهور بر طبق روایتی فتوا دهند، به آن روایت عمل می‌کند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یکی از اهرم‌هایی که تا به حال سبب شده است چارچوب اصلی فقه ما باقی</w:t>
      </w:r>
    </w:p>
    <w:p>
      <w:pPr>
        <w:pStyle w:val="BookText"/>
        <w:rPr/>
      </w:pPr>
      <w:r>
        <w:rPr>
          <w:rFonts w:ascii="IRNazanin" w:hAnsi="IRNazanin" w:eastAsia="IRNazanin"/>
          <w:color w:val="111111"/>
          <w:sz w:val="28"/>
          <w:sz w:val="28"/>
          <w:szCs w:val="28"/>
          <w:rtl w:val="true"/>
          <w:lang w:bidi="fa-IR"/>
        </w:rPr>
        <w:t>بماند همین است؛ زیرا اگر کسی روایاتی را جعل کند و برای آنها سند صحیح بیاورد و آن را در لابلای یک کتاب فقهی منتشر کند، تنها راهی که می‌توان به نامعتبر بودن روایت او پی برد، این است که فقها و متقدّمین بر طبق این روایت فتوا نداده باشند؛ زیرا فتوا ندادن بزرگان بر طبق آن نشان می‌دهد که این روایت حتّی اگر صادر هم شده باشد، یک اشکال پنهان دارد که ما از آن بی اطّلاعیم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هم تفصیل داده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مشهور قادح است؛ ولی فتوایشان جابر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ما بحث در این باره را به جای خودش موکول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شیخ انصاری قدس سره جواز بیع گوشت مختلط را به مستحل مشکل می‌داند، علّتش این است که میان روایات مجوّزه و روایات مانعه، تعارض مستقر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این سخن صحیح نیست؛ چراکه روایات مجوّزه، مخصِّص روایات مانعه‌اند؛ زیرا به‌طور کلّی از نگاه عرف، یک روایت خاص می‌تواند حتّی بر بیست روایت عام مقدّم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این‌جا نیز تعارض مستقرّی وجود ندارد و روایات مجوّزه، روایات مانعه را مقیّد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توجیه، مطابق با مبنای کسانی است که کفّار را نیز مکلّف به فروع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دیدگاه، جواز معاملۀ گوشت مختلط مشکل است؛ چون عمل به روایاتی که آن را تجویز می‌کنند، مستلزم اعانت بر گناه بوده و عقلاً مذموم و شرعاً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این روایات را کنار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پاسخ به این توجیه، دو پاسخ داده شده 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شریفۀ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تَعاوَنُوا عَلَی الْإِثْمِ وَ الْعُدْوانِ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دلیل بر حرمت اعانت بر اثم شمرده می‌شود، عمومیت دارد و قابل تخصیص است؛ یعنی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اعانت بر اثم حرام است مگر جایی که کافری می‌خواهد گناه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نظر می‌رسد که این پاسخ درست نیست؛ زیرا اگرچه حرمت اعانت بر اثم عمومیت دارد، ولی از تخصیص گریزان است، چراکه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تَعاوَنُوا عَلَی الْإِثْمِ وَ 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ملاک عقل باشد، هرگز قابلیت تخصیص ندارد؛ چون مثل این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 بر خدا قبیح است مگر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 است که در این‌جا استثنا معنا ندارد؛ زیرا صدور ظلم از خداوند متعال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دارای یک ملاک شرعی باشد، لسانش به گونه‌ای است که تخصیص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پاسخ، صحیح به 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اعانت بر اثم در جایی حرام است که شخص معیّن به قصد این‌که این گناه از دیگری صادر شود به او کمک کند؛ ولی در جایی‌که او قصد به گناه انداختن دیگری را ندارد، اعانه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مسئله نیز شبیه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انگور را به کسی می‌فروشیم که می‌دانیم خمر از آن درست می‌کند، ولی قصد ما این نیست که او از آن خمر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انگور به این شخص، مانعی ندارد، هرچند همین حکم نیز محلّ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در حرمت اعانت بر اثم، قصد لازم است، نه صرف این‌که گناه خارجی بر این فعل مترتّب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 همچون سیّد عاملی قدس سره در مفتاح الکرامة، این دو روایت را حمل بر تقیّه کرده‌اند</w:t>
      </w:r>
      <w:r>
        <w:rPr>
          <w:rFonts w:eastAsia="IRNazanin" w:cs="IRNazanin"/>
          <w:color w:val="111111"/>
          <w:sz w:val="28"/>
          <w:szCs w:val="28"/>
          <w:rtl w:val="true"/>
          <w:lang w:bidi="fa-IR"/>
        </w:rPr>
        <w:t>.</w:t>
      </w:r>
      <w:r>
        <w:rPr>
          <w:rStyle w:val="FootnoteAnchor"/>
          <w:rtl w:val="true"/>
        </w:rPr>
        <w:footnoteReference w:id="705"/>
      </w:r>
      <w:r>
        <w:rPr>
          <w:rFonts w:ascii="IRNazanin" w:hAnsi="IRNazanin" w:eastAsia="IRNazanin"/>
          <w:color w:val="111111"/>
          <w:sz w:val="28"/>
          <w:sz w:val="28"/>
          <w:szCs w:val="28"/>
          <w:rtl w:val="true"/>
          <w:lang w:bidi="fa-IR"/>
        </w:rPr>
        <w:t>لیکن مخدوش بودن این نظر روشن است؛ زیرا تقیّه در صورتی معنا خواهد داشت که اهل سنّت نیز معاملۀ گوشت مختلط را به کافر مستحل جایز بدانند، در حالی که آنها چنین نظری ندارند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دیگری که برای توجیه سخن شیخ انصاری قدس سره مطرح شده، این است که این دو روایت بر تعجیز حمل شوند؛ یعنی امام علیه السلام برای بیان این مطلب که گوشت مختلط هیچ ارزشی ندارد، راهی را پیشنهاد کرده‌اند که عمل به آن ممکن نیست؛ زیرا پس از زمان حضرت موسی علیه السلام، هیچ مذهب و دینی مردار را حلال ندانسته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توجیه نیز صحیح به نظر نمی‌رسد،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ظاهر روایت است؛ چراکه سائل از امام علیه السلام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گوشت چه کنم؟ و ایشان در پاسخ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مستحلّ مردار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مستحلّ مردار وجود نداشت، سائل در این مورد نیز می‌پرسید و کسب تکلیف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ظاهر روایت این است که سائل، پاسخ خود را گرفته و به آن عمل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اکرم صلی الله علیه و آله کسانی بودند که مردار را حلال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شریفۀ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الْمَیْتَةُ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موقوذه، متردّیه و نطیحه دارد که از مصداق‌های مردار به شمار می‌روند، ولی در آن زمان حلال دانسته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صاحب مفتاح الکرامة نیز از فاضل مقداد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فی الجاهلیة لا یحرّمون المیتة؛</w:t>
      </w:r>
      <w:r>
        <w:rPr>
          <w:rStyle w:val="FootnoteAnchor"/>
          <w:rtl w:val="true"/>
        </w:rPr>
        <w:footnoteReference w:id="706"/>
      </w:r>
      <w:r>
        <w:rPr>
          <w:rFonts w:ascii="IRNazanin" w:hAnsi="IRNazanin" w:eastAsia="IRNazanin"/>
          <w:color w:val="111111"/>
          <w:sz w:val="28"/>
          <w:sz w:val="28"/>
          <w:szCs w:val="28"/>
          <w:rtl w:val="true"/>
          <w:lang w:bidi="fa-IR"/>
        </w:rPr>
        <w:t>آنان در زمان جاهلیّت، مردار را حرام نمی‌دانستند</w:t>
      </w:r>
    </w:p>
    <w:p>
      <w:pPr>
        <w:pStyle w:val="BookText"/>
        <w:rPr/>
      </w:pPr>
      <w:r>
        <w:rPr>
          <w:rFonts w:ascii="IRNazanin" w:hAnsi="IRNazanin" w:eastAsia="IRNazanin"/>
          <w:color w:val="111111"/>
          <w:sz w:val="28"/>
          <w:sz w:val="28"/>
          <w:szCs w:val="28"/>
          <w:rtl w:val="true"/>
          <w:lang w:bidi="fa-IR"/>
        </w:rPr>
        <w:t>پس از بررسی کامل این روایات و وجوه بیان شده برای توجیه کلام شیخ انصاری قدس سره، دانستیم که این روایات از نظر دلالت و سند، مشکلی ندارند و می‌توان به آنها عمل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گروه اوّل از روایات مجوّزه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که فروختن مردار به مستحلّ را تجویز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 دوم، روایاتی است 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مختلط را جلوی سگ‌ها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ببینیم آیا گروه اوّل با گروه دوم منافات دارد یا خیر؟</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رابطۀ روایات مجوّزه با قاعدۀ الزام</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باید به این پرسش پاسخ دهیم که آیا روایات مجوّزه، به خودی خود، می‌توانند از ادلّۀ قاعدۀ الزام باشند؟</w:t>
      </w:r>
    </w:p>
    <w:p>
      <w:pPr>
        <w:pStyle w:val="BookText"/>
        <w:rPr/>
      </w:pPr>
      <w:r>
        <w:rPr>
          <w:rFonts w:ascii="IRNazanin" w:hAnsi="IRNazanin" w:eastAsia="IRNazanin"/>
          <w:color w:val="111111"/>
          <w:sz w:val="28"/>
          <w:sz w:val="28"/>
          <w:szCs w:val="28"/>
          <w:rtl w:val="true"/>
          <w:lang w:bidi="fa-IR"/>
        </w:rPr>
        <w:t>توضیح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قاعده‌ای داریم به نام قاعدۀ الزام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ألزموا الناس بما ألزموا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مردم را به آن چیزی که خود را به آن ملزم می‌کنند، ملزم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بزرگان، مثل والد معظّم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قواعد فقهیۀ خود، فرموده‌اند که این قاعده شامل کفّار هم می‌شود؛ چون مراد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خصوص اهل‌سنّت نیست؛ بلکه اعم از اهل سنّت و کفّار است؛ یعنی ما می‌توانیم کفّار را به آنچه بر خودشان لازم می‌دانند، ملزم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دیدگاه، در این‌جا نیز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مردار را حلال می‌دانید آن را بگیرید و پول آن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قاعدۀ الزام، کفّار و کسانی که مردار را حلال می‌دانند، باید بر طبق این اعتقادشان عمل کنند؛ یعنی اگر مردار را به آنها فروختیم باید پول آن را به ما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این روایات صحیحه نیز می‌توانند از ادلّۀ قاعدۀ الزام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تحقیق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نه می‌توانند دلیل بر قاعدۀ الزام باشند و نه می‌توانند از مصادیق آن به شمار روند؛ زیرا قاعدۀ الزام این است که مردم را به آنچه بر خودشان الزام کرده‌اند، ملزم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مورد بسیار روشن این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روایات هم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مردی سنّی، زن خود را سه طلاقه کرد باید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می‌تواند این زن را بگیرد؛ چراکه این سه طلاق بر اساس مذهب آنها صحیح است، هرچند طبق مذهب ما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بحث ما، گفتگو دربارۀ این است که ما مسلمانان، خوردن مردار را حرام و ثمن آن را سحت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در روایات آمده است که گوشت مختلط را به کسی که آن را حلال می‌داند بفروشید، ربطی به قاعدۀ الزام ندارد؛ چراکه اگر ما بخواهیم این روایات را با قاعدۀ الزام مرتبط بدانیم، اشکالات زیادی وارد می‌شود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بسیاری از بزرگان،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ألزموا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ضرری گرفته‌اند؛ یعنی اهل سنّت یا کفّار را به آن ضررهایی که خودشان بر خود ملزم کرده‌اند ملزم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اساس این معنا، این قاعده فقط موارد ضرری را در</w:t>
      </w:r>
    </w:p>
    <w:p>
      <w:pPr>
        <w:pStyle w:val="BookText"/>
        <w:rPr/>
      </w:pPr>
      <w:r>
        <w:rPr>
          <w:rFonts w:ascii="IRNazanin" w:hAnsi="IRNazanin" w:eastAsia="IRNazanin"/>
          <w:color w:val="111111"/>
          <w:sz w:val="28"/>
          <w:sz w:val="28"/>
          <w:szCs w:val="28"/>
          <w:rtl w:val="true"/>
          <w:lang w:bidi="fa-IR"/>
        </w:rPr>
        <w:t>برمی‌گیرد و شامل موارد غیر ضرری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بسا کسی که مردار را حلال می‌داند، پول بسیار کمی به مسلمان دهد و بدون هیچ ضرری این مردار یا شیء مختلط را از او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قاعدۀ الزام شامل او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با دقّت معلوم می‌شود که این روایات، ربطی به قاعدۀ الزام ندارند؛ یعنی نه از مصادیق قاعدۀ الزام‌اند و نه دلیل بر آن؛ بلکه مخصّص عمومات مانعه هستند؛ یعنی با جمع این دو روایت با روایات مانعه، این نتیجه به دست می‌آید که بیع مردار برای خوردن، حرام و باطل است مگر به کسی که خودش آن را حلال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اگر از روایات و ادلّۀ وارد شده در قاعدۀ الزام، یک معنای وسیع و کلّی را استفاده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جمودی بر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باشیم و بگوییم کسانی که بر طبق مذهبشان عملی صحیح است، اگر آن را انجام دادند، می‌توانیم آثار صحّت را بر آن مترتب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دو روایت محلّ بحث نیز می‌توانند از ادلّۀ این قاعده شمرده شوند</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بیع</w:t>
      </w:r>
    </w:p>
    <w:p>
      <w:pPr>
        <w:pStyle w:val="BookText"/>
        <w:rPr/>
      </w:pPr>
      <w:r>
        <w:rPr>
          <w:rFonts w:ascii="Amiri" w:hAnsi="Amiri" w:eastAsia="Amiri" w:cs="Amiri"/>
          <w:color w:val="111111"/>
          <w:sz w:val="28"/>
          <w:sz w:val="28"/>
          <w:szCs w:val="28"/>
          <w:rtl w:val="true"/>
          <w:lang w:bidi="ar-SA"/>
        </w:rPr>
        <w:t>أخبرنا محمّد حدثنی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عن أبیه عن جدّه جعفر بن محمّد عن أبیه عن علی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شَاةٍ مَسْلُوخَةٍ وَأُخْرَی مَذْبُوحَةٍ عَنْ عَمًی عَلَی الرَّاعِی أَوْ عَلَی صَاحِبِهَا فَلَا یَدْرِی الذَّکِیَّةَ مِنَ الْمَیِّتَةِ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 جَمِیعاً إِلَی الْکِلَابِ؛</w:t>
      </w:r>
      <w:r>
        <w:rPr>
          <w:rStyle w:val="FootnoteAnchor"/>
          <w:rtl w:val="true"/>
        </w:rPr>
        <w:footnoteReference w:id="708"/>
      </w:r>
      <w:r>
        <w:rPr>
          <w:rFonts w:ascii="IRNazanin" w:hAnsi="IRNazanin" w:eastAsia="IRNazanin"/>
          <w:color w:val="111111"/>
          <w:sz w:val="28"/>
          <w:sz w:val="28"/>
          <w:szCs w:val="28"/>
          <w:rtl w:val="true"/>
          <w:lang w:bidi="fa-IR"/>
        </w:rPr>
        <w:t>از امام علیه السلام چنین پرسیده شد که یک گوسفند مردار و یک گوسفند ذبح شده وجود دارد که صاحبش نمی‌داند کدام‌یک مردار و کدام مذکّی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آنها را جلوی سگ‌ها بریزید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و اسماعیل در سند این روایت ممدوح هستند؛ امّا این روایت در کتاب جعفریّات وارد شده است و از آن‌جا که این کتاب را قرن سوم هجری از هند آورده‌اند، اثبات این‌که همۀ روایات آن را اشعث نقل کرده باشد، مشکل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بحث رجال و درایه، همه تصریح کرده‌اند که شرط حجّیت خبر این نیست که خبر حتماً در کتب اربعه باشد؛ چراکه ما روایاتی داریم که در کتب اربعه نیست و مورد فتوای فقها هم واقع شده است، مانند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اخذت حتّی تؤدّیه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روایت مورد بحث، که در هیچ کدام از کتب اربعه شیعه نقل نشده است، ولی فقها بسیار به آن استناد کرده و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لذا از این جهت ضربه‌ای به حجّیت روایت وارد نمی‌شود؛ لیکن اصل کتاب در قرن سوم از هند آمده است و یقین نداریم که هر آنچه که در این کتاب آمده، حتماً اشعث نقل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این روایت، دالّ بر این مطلب است که گوشت مختلط را باید جلوی سگ انداخت و روشن است که این وجوب، نفسی نیست؛ بلکه قطعاً امیرالمؤمنین علیه السلام با نقل این مطلب، به عدم جواز انتفاع از آن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می‌توانیم با استفاده از این روایت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مختلط قابلیت انتفاع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این روایت با روایات مجوّزه تنافی ندارد و توسّط آنها تخصیص می‌خورد؛ یعنی معنای آنها این است که گوشت مختلط باید دور ریخته شود مگر در مواردی که بتوان آن را به یک کافر مستحل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روایت پنجم که پس از این مورد مطالعه قرار می‌گیرد نیز شاهد بر این 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یَعْقُوبَ بْنِ یَزِیدَ عَنِ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الْمُبَارَکِ عَنْ زَکَرِیَّا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قَطْرَةِ خَمْرٍ أَوْ نَبِیذٍ مُسْکِرٍ قَطَرَتْ فِی قِدْرٍ فِیهِ لَحْمٌ کَثِیرٌ وَمَرَقٌ کَثِیرٌ؛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یُهَرَاقُ الْمَرَقُ أَوْ یُطْعِمُهُ أَهْلَ الذِّمَّةِ أَوِ الْکَلْب واللّحم اغْسِلْهُ وکُلْهُ،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w:t>
      </w:r>
    </w:p>
    <w:p>
      <w:pPr>
        <w:pStyle w:val="BookText"/>
        <w:rPr/>
      </w:pPr>
      <w:r>
        <w:rPr>
          <w:rFonts w:ascii="Amiri" w:hAnsi="Amiri" w:eastAsia="Amiri" w:cs="Amiri"/>
          <w:color w:val="111111"/>
          <w:sz w:val="28"/>
          <w:sz w:val="28"/>
          <w:szCs w:val="28"/>
          <w:rtl w:val="true"/>
          <w:lang w:bidi="ar-SA"/>
        </w:rPr>
        <w:t>قَطَرَ فیه الدَّمْ،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تَأکُلُهُ النّارُ إنّ شاءَ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فَخَمْرٌ أوْ نَبیذُ قَطَرَ فی عَجِینٍ أوْ دَمٌ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أبیعُهُ مِنَ الیَهودِ وَالنَّصاری وأُبَیِّنُ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فَإنَّهُمْ یَسْتَحِلّونَ شُرْبَه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9"/>
      </w:r>
      <w:r>
        <w:rPr>
          <w:rFonts w:ascii="IRNazanin" w:hAnsi="IRNazanin" w:eastAsia="IRNazanin"/>
          <w:color w:val="111111"/>
          <w:sz w:val="28"/>
          <w:sz w:val="28"/>
          <w:szCs w:val="28"/>
          <w:rtl w:val="true"/>
          <w:lang w:bidi="fa-IR"/>
        </w:rPr>
        <w:t>از امام کاظم علیه السلام در مورد قطره شرابی که در دیگی پر از گوشت و آب‌گوشت افتاده سؤال شد؛ 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آب‌گوشت را دور ریخته یا به اهل ذمّه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شراب را پاک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سگ بدهید امّا گوشت را با آب بشور و بخور پرسیدم اگر قطره‌ای از خون در آن بریزد، فرمود اشکالی ندارد و آتش خون را از بین می‌برد عرض کردم اگر قطره خمر در خمیری قرار گیرد فرمود فاسد می‌شود عرض کردم آیا می‌توانم به یهودی یا مسیحی بفروشم و برای او بیان نمایم؟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چرا که ایشان حلال می‌دانند شرب خمر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قدس سره از سویی خون را در این روایت بر خونی که نجس نیست، حمل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خون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سند کافی را هم مورد خدشه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دربارۀ سند کافی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طریقه محمّد بن موسی فإن کان هو ابن عیسی أبو جعفر، کان ابن الولید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یضع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کافی</w:t>
      </w:r>
      <w:r>
        <w:rPr>
          <w:rStyle w:val="FootnoteAnchor"/>
          <w:rtl w:val="true"/>
        </w:rPr>
        <w:footnoteReference w:id="710"/>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یعقوب، عن محمّد بن یحیی، عن محمّد بن موسی، عن الحسن بن مبارک، عن زکریّا 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موسی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دوم در مرآة العقول آورده است این حدیث، مجهول یا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 المدارک</w:t>
      </w:r>
      <w:r>
        <w:rPr>
          <w:rStyle w:val="FootnoteAnchor"/>
          <w:rtl w:val="true"/>
        </w:rPr>
        <w:footnoteReference w:id="711"/>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قصور فیه سنداً و 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التنقیح فی شرح العروة الوثقی به جهت ابن مبارک، روایت را ضعیف می‌داند، در حالی که حسن بن مبارک مهمل است و نام صحیح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محقّق تستری قدس سره در قاموس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مبارک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قدس سره به عموم این روایت استدلال نموده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در اثر</w:t>
      </w:r>
    </w:p>
    <w:p>
      <w:pPr>
        <w:pStyle w:val="BookText"/>
        <w:rPr/>
      </w:pPr>
      <w:r>
        <w:rPr>
          <w:rFonts w:ascii="IRNazanin" w:hAnsi="IRNazanin" w:eastAsia="IRNazanin"/>
          <w:color w:val="111111"/>
          <w:sz w:val="28"/>
          <w:sz w:val="28"/>
          <w:szCs w:val="28"/>
          <w:rtl w:val="true"/>
          <w:lang w:bidi="fa-IR"/>
        </w:rPr>
        <w:t>غلیان از بین برود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استدلال ایشان مفید استفاده می‌شود که این روایت مورد اعراض اصحاب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ادریس و شمار دیگری از فقها، قائل به بقای این آب بر نجاست هستند؛ چون، ایشان غلیان را از مطهّرات نمی‌دانند، در حالی که این آب، آب قلیلی است که با نجاست ملاقات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مستفاد از روایت، این است که در چنین مواردی هم می‌توان آن را دور ریخت و یا به اهل ذمّه داد و یا جلوی سگ انداخت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گروه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 روایاتی است که موضوع آنها گوشت مختلط نیست، بلکه دربارۀ گوشت مشتبه وارد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گوشت مختلط مواردی است که دو نوع گوشت، وجود دارد و ما نمی‌دانیم کدام مذکّی و کدام مردار است، و مقصود از گوشت مشتبه، مواردی است که فقط یک گوشت وجود دارد و ما نمی‌دانیم آیا مذکّی است یا مردار؟</w:t>
      </w:r>
    </w:p>
    <w:p>
      <w:pPr>
        <w:pStyle w:val="BookText"/>
        <w:rPr/>
      </w:pPr>
      <w:r>
        <w:rPr>
          <w:rFonts w:ascii="IRNazanin" w:hAnsi="IRNazanin" w:eastAsia="IRNazanin"/>
          <w:color w:val="111111"/>
          <w:sz w:val="28"/>
          <w:sz w:val="28"/>
          <w:szCs w:val="28"/>
          <w:rtl w:val="true"/>
          <w:lang w:bidi="fa-IR"/>
        </w:rPr>
        <w:t>این روایات عبارت‌اند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یَعْقُوبَ عَنْ مُحَمَّدِ بْنِ یَحْیَی عَنْ أَحْمَدَ بْنِ مُحَمَّدٍ عَنْ أَحْمَدَ بْنِ مُحَمَّدِ بْنِ أَبِی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إِسْمَاعِیلَ بْنِ شُعَیْبٍ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عَبْدِاللّه علیه السلام فِی رَجُلٍ دَخَلَ قَرْیَةً فَأَصَابَ بِهَا لَحْماً لَمْ یَدْرِ أَ ذَکِیٌّ هُوَ أَمْ مَیِّتٌ؟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فَاطْرَحْهُ عَلَی النَّارِ فَکُلُّ مَا انْقَبَضَ فَهُوَ ذَکِیٌّ وَکُلُّ مَا انْبَسَطَ فَهُوَ مَیِّتٌ؛</w:t>
      </w:r>
      <w:r>
        <w:rPr>
          <w:rStyle w:val="FootnoteAnchor"/>
          <w:rtl w:val="true"/>
        </w:rPr>
        <w:footnoteReference w:id="712"/>
      </w:r>
      <w:r>
        <w:rPr>
          <w:rFonts w:ascii="IRNazanin" w:hAnsi="IRNazanin" w:eastAsia="IRNazanin"/>
          <w:color w:val="111111"/>
          <w:sz w:val="28"/>
          <w:sz w:val="28"/>
          <w:szCs w:val="28"/>
          <w:rtl w:val="true"/>
          <w:lang w:bidi="fa-IR"/>
        </w:rPr>
        <w:t>امام صادق علیه السلام دربارۀ مردی که وارد روستایی شده و به گوشتی برخورد می‌کند که نمی‌داند مردار است یا تذکیه شده،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در آتش بیندازد، اگر جمع شود، مذکّی و اگر باز شود، مردار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این روایت، اسماعیل بن شعیب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شیخ طوسی قدس سره معتقد است که بزنطی جز از ثقه نقل روایت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اساس دیدگاه ایشان، این روایت معتبر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چون فقها به این روایت عمل نموده‌اند، ضعف سند بر طرف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اوّل در غایة المراد</w:t>
      </w:r>
      <w:r>
        <w:rPr>
          <w:rStyle w:val="FootnoteAnchor"/>
          <w:rtl w:val="true"/>
        </w:rPr>
        <w:footnoteReference w:id="713"/>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وهذه وإن کان بعض رجالها فیه کلام إلاّ أنّ عمل الکافّة بها یؤیّدها ولا أعلم أحدا خالف فیها إلاّ أنّ المحقّق فی الشرائع والإمام المصنّف أورداها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المشعر بالضعف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بر فرض صحّت سند، می‌تواند در مقابل اصل عدم تذکیه که میان جماعتی از متأخّران مشهور است،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برخی از روایات دربارۀ لباسی که ندانیم میته است یا خیر، فرموده‌اند که نماز خواندن در آن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لَاتَأْکُلِ الْجِرِّیَّ ولا المارماهی ولا الطافی وهو الّذی یموت فی الماء فیطفو علی رأس الماء وان وجدت سمکا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 وَإِذَا وَجَدْتَ لَحْماً وَلَمْ تَعْلَمْ أَ ذَکِیٌّ هُوَ أَمْ مَیْتَةٌ فَأَلْقِ قِطْعَةً مِنْهُ عَلَی النَّارِ فَإِنِ انْقَبَضَ فَهُوَ ذَکِیٌّ وَإِنِ اسْتَرْخَی عَلَی النَّارِ فَهُوَ مَیْتَةٌ؛</w:t>
      </w:r>
      <w:r>
        <w:rPr>
          <w:rStyle w:val="FootnoteAnchor"/>
          <w:rtl w:val="true"/>
        </w:rPr>
        <w:footnoteReference w:id="714"/>
      </w:r>
      <w:r>
        <w:rPr>
          <w:rFonts w:ascii="IRNazanin" w:hAnsi="IRNazanin" w:eastAsia="IRNazanin"/>
          <w:color w:val="111111"/>
          <w:sz w:val="28"/>
          <w:sz w:val="28"/>
          <w:szCs w:val="28"/>
          <w:rtl w:val="true"/>
          <w:lang w:bidi="fa-IR"/>
        </w:rPr>
        <w:t>شیخ صدوق قدس سره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که همان اسبله ماهی یا نوعی از مارماهی است و نیز مارماهی و طافی،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گوشتی پیدا کردی که نمی‌دانی تذکیه شده یا مردار است، قطعه‌ای از آن را در آتش بینداز، پس اگر جمع شد، مذکّی و اگر منبسط شد، مردار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از جمله مرسلات معتبر شیخ صدوق قدس سره است؛ چراکه ایشان به اسناد قطعی از امام صادق علیه السلام نقل روایت کرده است و چنان‌که پیش‌تر گفته شد، این گونه مرسلات صدوق قدس سره معتبرند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 این دو روایت، امام علیه السلام نشانه‌ای برای تشخیص گوشت مردار از گوشت مذکّی ارائه کرده‌اند و آن این است که گوشت مردار در آتش منبسط می‌شود، ولی گوشت مذکّی منقبض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دیدگاه فقها دربارۀ این دو روایت هماهنگ نیست؛ زیرا برخی مانند صاحب جواهر قدس سره معتقدند که شمار بسیاری از فقها مضمون این دو روایت را پذیرفته‌اند</w:t>
      </w:r>
      <w:r>
        <w:rPr>
          <w:rFonts w:eastAsia="IRNazanin" w:cs="IRNazanin"/>
          <w:color w:val="111111"/>
          <w:sz w:val="28"/>
          <w:szCs w:val="28"/>
          <w:rtl w:val="true"/>
          <w:lang w:bidi="fa-IR"/>
        </w:rPr>
        <w:t>.</w:t>
      </w:r>
      <w:r>
        <w:rPr>
          <w:rStyle w:val="FootnoteAnchor"/>
          <w:rtl w:val="true"/>
        </w:rPr>
        <w:footnoteReference w:id="715"/>
      </w:r>
      <w:r>
        <w:rPr>
          <w:rFonts w:ascii="IRNazanin" w:hAnsi="IRNazanin" w:eastAsia="IRNazanin"/>
          <w:color w:val="111111"/>
          <w:sz w:val="28"/>
          <w:sz w:val="28"/>
          <w:szCs w:val="28"/>
          <w:rtl w:val="true"/>
          <w:lang w:bidi="fa-IR"/>
        </w:rPr>
        <w:t>از سوی دیگر، محقّق خویی قدس سره معتقد است که نمی‌توان به مضمون این دو روایت عمل کرد</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به نظر می‌رسد که گویا دیدگاه محقّق خویی قدس سره صحیح است؛ زیرا در صورتی عمل به مضمون روایت ممکن خواهد بود که امام علیه السلام این آزمایش را به عنوان یک امارۀ شرعی بیان کرده باشند، در حالی که به نظر می‌رسد که امام علیه السلام آن را به عنوان یک أمارۀ عرفی و عقلایی مطرح کرده‌اند، نه امارۀ شرعی؛ زیرا گاهی ممکن است گوسفندی مردار باشد، امّا گوشت او در آتش منقبض شود؛ برای نمونه، اگر گوسفندی رو به قبله ذبح نشده و یا نام خدا در هنگام ذبح برده نشده باشد، حکم مردار را دارد؛ ولی چون خون از بدن او بیرون رفته است، گوشت او در آتش جمع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جایی که گوسفند خفه شده باشد ممکن است این نشانه تطبیق پیدا کند؛ لیکن در جایی که بسم اللّه نگفته‌اند و یا رو به قبله نبوده، ولی رگ‌های چهارگانه‌اش را بریده‌اند، این اماره صدق نمی‌کند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مضمون این دو روایت، قابل پذیرش نیست و بر فرض صحّت سند و دلالت نیز این دو روایت، مربوط به مشتبه هستند و ربطی به بحث مردار مختلط به مذکّی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این‌که الغای خصوصیت از مشتبه نیز ممکن نیست، این دو روایت دلالتی بر جواز استفاده از گوشت مختلط ندارند، چنان‌که صاحب جواهر قدس سره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در این‌جا الغای خصوصیت کنیم و بگوییم حکم مشتبه و مختلط در این‌جا یکی است</w:t>
      </w:r>
      <w:r>
        <w:rPr>
          <w:rFonts w:eastAsia="IRNazanin" w:cs="IRNazanin"/>
          <w:color w:val="111111"/>
          <w:sz w:val="28"/>
          <w:szCs w:val="28"/>
          <w:rtl w:val="true"/>
          <w:lang w:bidi="fa-IR"/>
        </w:rPr>
        <w:t>.</w:t>
      </w:r>
      <w:r>
        <w:rPr>
          <w:rStyle w:val="FootnoteAnchor"/>
          <w:rtl w:val="true"/>
        </w:rPr>
        <w:footnoteReference w:id="717"/>
      </w:r>
      <w:bookmarkStart w:id="837" w:name="pg13785_135283"/>
    </w:p>
    <w:p>
      <w:pPr>
        <w:pStyle w:val="Heading6"/>
        <w:numPr>
          <w:ilvl w:val="5"/>
          <w:numId w:val="1"/>
        </w:numPr>
        <w:rPr/>
      </w:pPr>
      <w:bookmarkStart w:id="838" w:name="__RefHeading___Toc2531333_1468164448"/>
      <w:bookmarkStart w:id="839" w:name="_Toc322"/>
      <w:bookmarkEnd w:id="837"/>
      <w:bookmarkEnd w:id="838"/>
      <w:r>
        <w:rPr>
          <w:rtl w:val="true"/>
        </w:rPr>
        <w:t>نتیجۀ بررسی روایات</w:t>
      </w:r>
      <w:r>
        <w:rPr>
          <w:rtl w:val="true"/>
        </w:rPr>
        <w:t>:</w:t>
      </w:r>
      <w:bookmarkEnd w:id="839"/>
    </w:p>
    <w:p>
      <w:pPr>
        <w:pStyle w:val="BookText"/>
        <w:rPr/>
      </w:pPr>
      <w:r>
        <w:rPr>
          <w:rFonts w:ascii="IRNazanin" w:hAnsi="IRNazanin" w:eastAsia="IRNazanin"/>
          <w:color w:val="111111"/>
          <w:sz w:val="28"/>
          <w:sz w:val="28"/>
          <w:szCs w:val="28"/>
          <w:rtl w:val="true"/>
          <w:lang w:bidi="fa-IR"/>
        </w:rPr>
        <w:t>بر این اساس، روشن شد که روایات دستۀ دوم با دستۀ اوّل منافات ندارد، و گروه سوم نیز اشکال سندی دارد و بر فرض که از اشکال سندی نیز چشم‌پوشی کنیم، اشکال دلالی دارد و حتّی اگر از هر دو اشکال نیز چشم پوشی کنیم، به اشکال سومی برمی‌خورند و آن این است که مورد آنها مربوط به لحم مشتبه است و ربطی به بحث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ما باید روایات اوّل را اخذ کنیم؛ یعنی فروختن گوشت مختلط به کسانی که آن را حلال می‌دانند، جایز و صحیح است و می‌توان از مختلط بودن نیز الغای خصوصیت کرد و حتّی خودِ میتۀ معیّن را نیز به کسی که آن را حلال می‌داند، فروخت</w:t>
      </w:r>
      <w:r>
        <w:rPr>
          <w:rFonts w:eastAsia="IRNazanin" w:cs="IRNazanin"/>
          <w:color w:val="111111"/>
          <w:sz w:val="28"/>
          <w:szCs w:val="28"/>
          <w:rtl w:val="true"/>
          <w:lang w:bidi="fa-IR"/>
        </w:rPr>
        <w:t>.</w:t>
      </w:r>
    </w:p>
    <w:p>
      <w:pPr>
        <w:pStyle w:val="Heading6"/>
        <w:numPr>
          <w:ilvl w:val="5"/>
          <w:numId w:val="1"/>
        </w:numPr>
        <w:rPr/>
      </w:pPr>
      <w:bookmarkStart w:id="840" w:name="__RefHeading___Toc2531335_1468164448"/>
      <w:bookmarkStart w:id="841" w:name="_Toc323"/>
      <w:bookmarkEnd w:id="840"/>
      <w:r>
        <w:rPr>
          <w:rtl w:val="true"/>
        </w:rPr>
        <w:t>ب</w:t>
      </w:r>
      <w:r>
        <w:rPr>
          <w:rtl w:val="true"/>
        </w:rPr>
        <w:t xml:space="preserve">) </w:t>
      </w:r>
      <w:r>
        <w:rPr>
          <w:rtl w:val="true"/>
        </w:rPr>
        <w:t>بیع میتۀ مختلط به مذکّی به قصد مذکّی</w:t>
      </w:r>
      <w:bookmarkEnd w:id="841"/>
    </w:p>
    <w:p>
      <w:pPr>
        <w:pStyle w:val="BookText"/>
        <w:rPr/>
      </w:pPr>
      <w:r>
        <w:rPr>
          <w:rFonts w:ascii="IRNazanin" w:hAnsi="IRNazanin" w:eastAsia="IRNazanin"/>
          <w:color w:val="111111"/>
          <w:sz w:val="28"/>
          <w:sz w:val="28"/>
          <w:szCs w:val="28"/>
          <w:rtl w:val="true"/>
          <w:lang w:bidi="fa-IR"/>
        </w:rPr>
        <w:t>در بحث‌های پیشین، در مورد فروش گوشت مختلط به قصد مجموع، سخن به میان آمد؛ یعنی جایی که فروشنده هر دو را قصد کرده و ثمن دریافتی نیز در مقابل هر دو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فرع قابل تصوّر دیگر، این است که گوشت مختلط را تنها به قصد مذکّی به فروش برسانند</w:t>
      </w:r>
      <w:r>
        <w:rPr>
          <w:rFonts w:eastAsia="IRNazanin" w:cs="IRNazanin"/>
          <w:color w:val="111111"/>
          <w:sz w:val="28"/>
          <w:szCs w:val="28"/>
          <w:rtl w:val="true"/>
          <w:lang w:bidi="fa-IR"/>
        </w:rPr>
        <w:t>.</w:t>
      </w:r>
    </w:p>
    <w:p>
      <w:pPr>
        <w:pStyle w:val="Heading6"/>
        <w:numPr>
          <w:ilvl w:val="5"/>
          <w:numId w:val="1"/>
        </w:numPr>
        <w:rPr/>
      </w:pPr>
      <w:bookmarkStart w:id="842" w:name="__RefHeading___Toc2531337_1468164448"/>
      <w:bookmarkStart w:id="843" w:name="_Toc324"/>
      <w:bookmarkEnd w:id="842"/>
      <w:r>
        <w:rPr/>
        <w:t>1</w:t>
      </w:r>
      <w:r>
        <w:rPr>
          <w:rtl w:val="true"/>
        </w:rPr>
        <w:t xml:space="preserve">- </w:t>
      </w:r>
      <w:r>
        <w:rPr>
          <w:rtl w:val="true"/>
        </w:rPr>
        <w:t>دیدگاه شیخ انصاری</w:t>
      </w:r>
      <w:r>
        <w:rPr>
          <w:rtl w:val="true"/>
        </w:rPr>
        <w:t>:</w:t>
      </w:r>
      <w:bookmarkEnd w:id="843"/>
    </w:p>
    <w:p>
      <w:pPr>
        <w:pStyle w:val="BookText"/>
        <w:rPr/>
      </w:pPr>
      <w:r>
        <w:rPr>
          <w:rFonts w:ascii="IRNazanin" w:hAnsi="IRNazanin" w:eastAsia="IRNazanin"/>
          <w:color w:val="111111"/>
          <w:sz w:val="28"/>
          <w:sz w:val="28"/>
          <w:szCs w:val="28"/>
          <w:rtl w:val="true"/>
          <w:lang w:bidi="fa-IR"/>
        </w:rPr>
        <w:t>شیخ انصاری قدس سره دربارۀ این فرع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 همچون محقّق حلّی و علاّمۀ حلّی قدس سرهما فروش گوشت مختلط به قصد مذکّی را جایز دانسته‌اند، خواه مشتری کافر مستحلّ باشد، خواه نباشد و چه فروشنده قصد خود را به مشتری بگوید و چه مشتری از این قصد بی‌خبر باشد و در نظر خود، ثمن را در مقابل مجموع پرداخت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قدس سره دو اشکال بر این دیدگاه مطرح می‌کند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معامله در هر صورتی برای مشتری بی‌فایده است؛ چراکه او به وجود مردار علم اجمالی رد و نمی‌تواند از آن استفاده کند و چیزی که قابلیت انتفاع</w:t>
      </w:r>
      <w:bookmarkStart w:id="844" w:name="pg13785_135284"/>
    </w:p>
    <w:p>
      <w:pPr>
        <w:pStyle w:val="BookText"/>
        <w:rPr/>
      </w:pPr>
      <w:bookmarkEnd w:id="844"/>
      <w:r>
        <w:rPr>
          <w:rFonts w:ascii="IRNazanin" w:hAnsi="IRNazanin" w:eastAsia="IRNazanin"/>
          <w:color w:val="111111"/>
          <w:sz w:val="28"/>
          <w:sz w:val="28"/>
          <w:szCs w:val="28"/>
          <w:rtl w:val="true"/>
          <w:lang w:bidi="fa-IR"/>
        </w:rPr>
        <w:t>ندارد، مالیّت نخواهد داشت و معاملۀ چیزی که مال شمرده نمی‌شود،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کسی معتقد باشد که ارتکاب یکی از دو طرف در علم اجمالی جایز است، از آن‌جا که شرط جواز انتفاع، تذکیه است و احراز این شرط ضروری است، از این رو هر گوشتی که بایع یا مشتری اختیار کند با اصل عدم تذکیه رو به رو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این‌جا فعلاً کاری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بلکه اشکال ما به شیخ قدس سره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بایع فقط گوشت مذکّی را قصد کند و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انتفاع از این گوشت جایز نیست، این عدم جواز یک عدم جواز و حرمت ظاهری خواهد بود، در حالی که حرمت ظاهری قابل زوال است و موجب بطلان معامله نمی‌گردد؛ بلکه بطلان معامله در جایی است که انتفاع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یعنی اگر واقعاً انتفاع از چیزی جایز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خمر و مردار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معاملۀ آن باطل است؛ ولی اگر انتفاع از چیزی حرمت ظاهری داشته باشد، از آن‌جا که این حرمت قابل زوال است نمی‌تواند موجب بطلان معامله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جایی‌که بایع یک مردار دارد و یک مذکّی، و این دو با هم مخلوط شده‌اند، اگر یکی از این دو منعدم شد، حرمت ظاهری زائل می‌گردد و استفاده از دیگری جایز خواهد بود، و یا اگر یکی از دایرۀ ابتلا خارج شد، انتفاع از دیگری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همین اتّفاق برای مشتری نیز رخ دهد و حرمت انتفاع از او زائل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اشکال ما به فرمایش شیخ قدس سره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استفاده از گوشت مختلط برای مشتری حرام است، ولی این حرمت یک حرمت ظاهری است و حرمت ظاهری مانع از صحّت واقعی نیست؛ بلکه ما یک مذکّای واقعی داریم که ثمن در مقابل همین مذکّای واقعی قرار می‌گیرد</w:t>
      </w:r>
      <w:r>
        <w:rPr>
          <w:rFonts w:eastAsia="IRNazanin" w:cs="IRNazanin"/>
          <w:color w:val="111111"/>
          <w:sz w:val="28"/>
          <w:szCs w:val="28"/>
          <w:rtl w:val="true"/>
          <w:lang w:bidi="fa-IR"/>
        </w:rPr>
        <w:t>.</w:t>
      </w:r>
    </w:p>
    <w:p>
      <w:pPr>
        <w:pStyle w:val="Heading6"/>
        <w:numPr>
          <w:ilvl w:val="5"/>
          <w:numId w:val="1"/>
        </w:numPr>
        <w:rPr/>
      </w:pPr>
      <w:bookmarkStart w:id="845" w:name="__RefHeading___Toc2531339_1468164448"/>
      <w:bookmarkStart w:id="846" w:name="_Toc325"/>
      <w:bookmarkEnd w:id="845"/>
      <w:r>
        <w:rPr/>
        <w:t>2</w:t>
      </w:r>
      <w:r>
        <w:rPr>
          <w:rtl w:val="true"/>
        </w:rPr>
        <w:t xml:space="preserve">- </w:t>
      </w:r>
      <w:r>
        <w:rPr>
          <w:rtl w:val="true"/>
        </w:rPr>
        <w:t>دیدگاه محقّق خویی</w:t>
      </w:r>
      <w:bookmarkEnd w:id="846"/>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خویی قدس سره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مانع از صحّت بیع مردار را اجماع و نص قرار دهیم</w:t>
      </w:r>
      <w:bookmarkStart w:id="847" w:name="pg13785_135285"/>
    </w:p>
    <w:p>
      <w:pPr>
        <w:pStyle w:val="BookText"/>
        <w:rPr/>
      </w:pPr>
      <w:bookmarkEnd w:id="847"/>
      <w:r>
        <w:rPr>
          <w:rFonts w:ascii="IRNazanin" w:hAnsi="IRNazanin" w:eastAsia="IRNazanin"/>
          <w:color w:val="111111"/>
          <w:sz w:val="28"/>
          <w:sz w:val="28"/>
          <w:szCs w:val="28"/>
          <w:rtl w:val="true"/>
          <w:lang w:bidi="fa-IR"/>
        </w:rPr>
        <w:t>و بگوییم اجماع یا نص بر عدم جواز بیع مردار وجود دارد، در فرض ما بیع به قصد مذکّی جایز خواهد بود؛ ولی اگر مانع را حرمت انتفاع قرار دهیم؛ فرمایش شیخ قدس سره درست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نقد خود بر کلام شیخ قدس سره را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اشکال بر کلام محقّق خویی قدس سره نیز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معتقدند که جاری شدن اصل عدم تذکیه، دلالت بر مردار بودن گوشت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آنچه در ادلّه آمده، حرمت اکل مردار است نه اکل غیر مذکّی؛ یعنی موضوع حرمت، مردار است و هنگامی که اصل عدم تذکیه جاری شود، مردار بودن را ثابت نمی‌کند؛ بلکه فقط مذکّی نبودن را ثابت می‌کند</w:t>
      </w:r>
      <w:r>
        <w:rPr>
          <w:rFonts w:eastAsia="IRNazanin" w:cs="IRNazanin"/>
          <w:color w:val="111111"/>
          <w:sz w:val="28"/>
          <w:szCs w:val="28"/>
          <w:rtl w:val="true"/>
          <w:lang w:bidi="fa-IR"/>
        </w:rPr>
        <w:t>.</w:t>
      </w:r>
      <w:r>
        <w:rPr>
          <w:rStyle w:val="FootnoteAnchor"/>
          <w:rtl w:val="true"/>
        </w:rPr>
        <w:footnoteReference w:id="718"/>
      </w:r>
    </w:p>
    <w:p>
      <w:pPr>
        <w:pStyle w:val="Heading6"/>
        <w:numPr>
          <w:ilvl w:val="5"/>
          <w:numId w:val="1"/>
        </w:numPr>
        <w:rPr/>
      </w:pPr>
      <w:bookmarkStart w:id="848" w:name="__RefHeading___Toc2531341_1468164448"/>
      <w:bookmarkStart w:id="849" w:name="_Toc326"/>
      <w:bookmarkEnd w:id="848"/>
      <w:r>
        <w:rPr/>
        <w:t>3</w:t>
      </w:r>
      <w:r>
        <w:rPr>
          <w:rtl w:val="true"/>
        </w:rPr>
        <w:t xml:space="preserve">- </w:t>
      </w:r>
      <w:r>
        <w:rPr>
          <w:rtl w:val="true"/>
        </w:rPr>
        <w:t>دیدگاه امام خمینی</w:t>
      </w:r>
      <w:bookmarkEnd w:id="849"/>
    </w:p>
    <w:p>
      <w:pPr>
        <w:pStyle w:val="BookText"/>
        <w:rPr/>
      </w:pPr>
      <w:r>
        <w:rPr>
          <w:rFonts w:ascii="IRNazanin" w:hAnsi="IRNazanin" w:eastAsia="IRNazanin"/>
          <w:color w:val="111111"/>
          <w:sz w:val="28"/>
          <w:sz w:val="28"/>
          <w:szCs w:val="28"/>
          <w:rtl w:val="true"/>
          <w:lang w:bidi="fa-IR"/>
        </w:rPr>
        <w:t xml:space="preserve">امام خمینی نیز سخن محقّق حلّی و علاّمۀ حلّی قدس سرهم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بیع به قصد مذکّی را تجویز فرموده‌اند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نپذیرفته است و اظهار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مستند دیدگاه این دو بزرگوار، دو روایت حلبی باشد، باید در آن روایات،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مذکّی برگردانند که خلاف ظاهر است؛ زیرا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یصنع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سؤال سائل، به گوشت مختلط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اگر مرجع ضمیر، گوشت مذکّی باشد، نیازی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یستحلّ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محقّق و علاّمه قدس سرهما نمی‌توانند برای اثبات دیدگاه خود به این روایات استناد کنند؛ بلکه دیدگاه ایشان باید مبتنی بر قواعد باشد، در حالی که طبق قواعد نیز اثبات چنین مطلبی ممکن نیست؛ زیرا در این‌جا دو حالت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فروشنده به مشتری اعلام می‌کند که مذکّی را قصد کرده است و یا مشتری از این موضوع مطّلع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فروشنده اعلام نکند و مشتری پول مجموع را بپردازد، در این‌صورت، میان ایجاب و قبول مطابقت نخواهد بود و در نتیجه معامله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w:t>
      </w:r>
    </w:p>
    <w:p>
      <w:pPr>
        <w:pStyle w:val="BookText"/>
        <w:rPr/>
      </w:pPr>
      <w:r>
        <w:rPr>
          <w:rFonts w:ascii="IRNazanin" w:hAnsi="IRNazanin" w:eastAsia="IRNazanin"/>
          <w:color w:val="111111"/>
          <w:sz w:val="28"/>
          <w:sz w:val="28"/>
          <w:szCs w:val="28"/>
          <w:rtl w:val="true"/>
          <w:lang w:bidi="fa-IR"/>
        </w:rPr>
        <w:t>مشتری با خبر باشد و پول را در مقابل مذکّی پرداخت کند، با این‌که میان ایجاب و قبول تطابق وجود دارد، ولی ممکن است منجر به غرر و جهالت گردد؛ چراکه اگر از میان مذکّی و مردار، یکی چاق و دیگری لاغر باشند و ندانند که ثمن در مقابل کدام یک قرار می‌گیرد، در این‌صورت غرر و جهالت پیش می‌آید که مانع از صحّت بیع است</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لیکن در پاسخ به این اشکال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علاّمه قدس سرهما که بیع به قصد مذکّی را تجویز نموده‌اند، با قطع نظر از این اشکالات و عوارض است؛ یعنی فرض اینان در جایی است که بین ایجاب و قبول مطابقت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یک سو بایع به مشتری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گوشت‌هایی دارم که در میان آنها مردار و مذکّی وجود دارد، ولی من نمی‌دانم مذکّی کدام است و مردار 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برو می‌خواهم مذکّی را قصد کرده و ایجاب را به مذکّی متعلّق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مشتری هم عالم به واقع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مذکّی را قبول می‌کنم و ثمن را در مقابل مذکّی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چنین موردی باشد که بایع و مشتری با علم به قضیّه و قصد مذکّی، معامله کنند و فرض کنیم از جهت اختلاف قیمت هم غررس در کار نباشد،</w:t>
      </w:r>
      <w:r>
        <w:rPr>
          <w:rStyle w:val="FootnoteAnchor"/>
          <w:rtl w:val="true"/>
        </w:rPr>
        <w:footnoteReference w:id="720"/>
      </w:r>
      <w:r>
        <w:rPr>
          <w:rFonts w:ascii="IRNazanin" w:hAnsi="IRNazanin" w:eastAsia="IRNazanin"/>
          <w:color w:val="111111"/>
          <w:sz w:val="28"/>
          <w:sz w:val="28"/>
          <w:szCs w:val="28"/>
          <w:rtl w:val="true"/>
          <w:lang w:bidi="fa-IR"/>
        </w:rPr>
        <w:t>آیا از نظر قواعد اشکالی دارد؟</w:t>
      </w:r>
    </w:p>
    <w:p>
      <w:pPr>
        <w:pStyle w:val="BookText"/>
        <w:rPr/>
      </w:pPr>
      <w:r>
        <w:rPr>
          <w:rFonts w:ascii="IRNazanin" w:hAnsi="IRNazanin" w:eastAsia="IRNazanin"/>
          <w:color w:val="111111"/>
          <w:sz w:val="28"/>
          <w:sz w:val="28"/>
          <w:szCs w:val="28"/>
          <w:rtl w:val="true"/>
          <w:lang w:bidi="fa-IR"/>
        </w:rPr>
        <w:t>به نظر می‌رسد که این بیع هیچ مانعی ندارد و اشکالاتی که در کلام شیخ انصاری و مرحوم امام قدس سرهما بود، با این بیان قابل جواب است؛ یعنی ما در این مسئله باید جایی را فرض کنیم که مطابقت ایجاب و قبول وجود دارد و غرری هم در کار نیست، و بایع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مذکّی را قصد می‌کنم و مشتری هم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ثمن را در مقابل مذکّی می‌دهم، سپس بایع هر دو را به مشتری تحویل داده و مشتری هم هر دو را اخذ می‌کند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همان طور که بیع مجموع گوشت مختلط، به کسی که مردار را حلال می‌داند حتّی به قصد اکل نیز جایز است، همچنین بیع مجموع به مسلمانی که آن را حلال</w:t>
      </w:r>
      <w:bookmarkStart w:id="850" w:name="pg13785_135287"/>
    </w:p>
    <w:p>
      <w:pPr>
        <w:pStyle w:val="BookText"/>
        <w:rPr/>
      </w:pPr>
      <w:bookmarkEnd w:id="850"/>
      <w:r>
        <w:rPr>
          <w:rFonts w:ascii="IRNazanin" w:hAnsi="IRNazanin" w:eastAsia="IRNazanin"/>
          <w:color w:val="111111"/>
          <w:sz w:val="28"/>
          <w:sz w:val="28"/>
          <w:szCs w:val="28"/>
          <w:rtl w:val="true"/>
          <w:lang w:bidi="fa-IR"/>
        </w:rPr>
        <w:t>نمی‌داند نیز به قصد مذکّی جایز است، هرچند در مقام تسلیم، هر دو گوشت مردار و مذکّی را با هم به مشتری تحویل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فتوای محقّق و علاّمه قدس سرهما قابل تطبیق بر قواعد است</w:t>
      </w:r>
      <w:r>
        <w:rPr>
          <w:rFonts w:eastAsia="IRNazanin" w:cs="IRNazanin"/>
          <w:color w:val="111111"/>
          <w:sz w:val="28"/>
          <w:szCs w:val="28"/>
          <w:rtl w:val="true"/>
          <w:lang w:bidi="fa-IR"/>
        </w:rPr>
        <w:t>.</w:t>
      </w:r>
    </w:p>
    <w:p>
      <w:pPr>
        <w:pStyle w:val="Heading6"/>
        <w:numPr>
          <w:ilvl w:val="5"/>
          <w:numId w:val="1"/>
        </w:numPr>
        <w:rPr/>
      </w:pPr>
      <w:bookmarkStart w:id="851" w:name="__RefHeading___Toc2531343_1468164448"/>
      <w:bookmarkStart w:id="852" w:name="_Toc327"/>
      <w:bookmarkEnd w:id="851"/>
      <w:r>
        <w:rPr/>
        <w:t>4</w:t>
      </w:r>
      <w:r>
        <w:rPr>
          <w:rtl w:val="true"/>
        </w:rPr>
        <w:t xml:space="preserve">- </w:t>
      </w:r>
      <w:r>
        <w:rPr>
          <w:rtl w:val="true"/>
        </w:rPr>
        <w:t>دو نکتۀ باقیمانده</w:t>
      </w:r>
      <w:r>
        <w:rPr>
          <w:rtl w:val="true"/>
        </w:rPr>
        <w:t>:</w:t>
      </w:r>
      <w:bookmarkEnd w:id="852"/>
    </w:p>
    <w:p>
      <w:pPr>
        <w:pStyle w:val="BookText"/>
        <w:rPr/>
      </w:pPr>
      <w:r>
        <w:rPr>
          <w:rFonts w:ascii="IRNazanin" w:hAnsi="IRNazanin" w:eastAsia="IRNazanin"/>
          <w:color w:val="111111"/>
          <w:sz w:val="28"/>
          <w:sz w:val="28"/>
          <w:szCs w:val="28"/>
          <w:rtl w:val="true"/>
          <w:lang w:bidi="fa-IR"/>
        </w:rPr>
        <w:t>در این‌جا دو نکتۀ دیگر باقی مانده است که باید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پیش‌تر نکته‌ای را دربارۀ حمل روایات صحیحۀ حلبی بر استنقاذ مطرح کردیم که در این‌جا نیز باید به آن توجّه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پیش‌تر در ذیل این دو روایت گفتیم که علاّمه قدس سره آنها را بر مسئلۀ استنقاذ مال کافر حمل می‌کند؛ یعنی ایشان معتقد است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باعه ممّن یستحل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استنقاذ مال کافر ارتباط دارد و معنایش این است که برای گرفتن مال کافر از او باید چیزی تحویلش بدهیم تا او مالش را به ما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همان گونه که پیش‌تر نیز گفته شد، این سخن چند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حمل بر خلاف ظاهر روایات است؛ زیرا در این دو روایت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ظهور در استنقاذ ندارد؛ چراکه استنقاذ یعنی پیدا کردن راهی برای خلاص شدن مال از دست کافر، در حالی که این روایات اشاره‌ای به این معنا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کافری که مردار را حلال می‌داند نمی‌توان استنقاذ کرد؛ بلکه فقط استنقاذ مال کافر حربی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کافر ذمّی باشد، تا هنگامی که در ذمّۀ اسلام و در شرایط ذمّه است، مال او محترم است و نمی‌توان مال او استنقاذ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محقّق خویی قدس سره در پاسخ به علاّمه قدس سره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اهل کوفه بوده است و در کوفه اصلاً کافر حربی که استنقاذ مال او صحیح باشد، وجود نداشته است</w:t>
      </w:r>
      <w:r>
        <w:rPr>
          <w:rFonts w:eastAsia="IRNazanin" w:cs="IRNazanin"/>
          <w:color w:val="111111"/>
          <w:sz w:val="28"/>
          <w:szCs w:val="28"/>
          <w:rtl w:val="true"/>
          <w:lang w:bidi="fa-IR"/>
        </w:rPr>
        <w:t>.</w:t>
      </w:r>
      <w:r>
        <w:rPr>
          <w:rStyle w:val="FootnoteAnchor"/>
          <w:rtl w:val="true"/>
        </w:rPr>
        <w:footnoteReference w:id="721"/>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هرچند این توجّه خوبی است که محقّق خویی قدس سره فرموده‌اند، ولی اشکالش</w:t>
      </w:r>
    </w:p>
    <w:p>
      <w:pPr>
        <w:pStyle w:val="BookText"/>
        <w:rPr/>
      </w:pPr>
      <w:r>
        <w:rPr>
          <w:rFonts w:ascii="IRNazanin" w:hAnsi="IRNazanin" w:eastAsia="IRNazanin"/>
          <w:color w:val="111111"/>
          <w:sz w:val="28"/>
          <w:sz w:val="28"/>
          <w:szCs w:val="28"/>
          <w:rtl w:val="true"/>
          <w:lang w:bidi="fa-IR"/>
        </w:rPr>
        <w:t>این است که استنقاذ، منحصر به کافر حربی نیست؛ بلکه ناصبی نیز همچون کافر حربی است و مالش احترام ندارد و در آن زمان، ناصبی هم در کوفه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امام صادق علیه السلام در مدینه بوده‌اند و اگرچه حلبی اهل کوفه بوده است، ولی می‌گوید من در محضر امام صادق علیه السلام نشسته بودم که شخصی این سؤال را از حضرت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این‌که امام صادق علیه السلام در مدینه بوده‌اند، این پرسش و پاسخ در مدینه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مهم‌تر آن است که ائمّه علیهم السلام در مقام جواب، حکم کلّی را بیان می‌فرمودند و دیگر لزومی نداشت که در همان مکان، سؤال و جواب آن مطلب، واقعیّت عینی و خارجی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این روایات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گوشت مختلط را به مستحل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حکم کلّی است، اعم از این‌که در زمان صدور روایت مستحلّی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باید بالأخره در یک زمانی چنین مصداقی محقّق باشد، به‌طوری که اگر تا روز قیامت مصداقی برای آن یافت نشود، آنگاه این جواب غیر قابل اخذ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پیش‌تر نیز گفته شد، شیخ انصاری قدس سره این دو روایت صحیح را بر اجزائی حمل کرده‌اند که روح ندارند، مانند مو و پشم و استخوان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حملهما علی صورة قصد البایع المسلم، أجزائها التی لا تحلّها الحیاة من الصوف والشعر والعظم</w:t>
      </w:r>
      <w:r>
        <w:rPr>
          <w:rFonts w:eastAsia="IRNazanin" w:cs="IRNazanin"/>
          <w:color w:val="111111"/>
          <w:sz w:val="28"/>
          <w:szCs w:val="28"/>
          <w:rtl w:val="true"/>
          <w:lang w:bidi="fa-IR"/>
        </w:rPr>
        <w:t>.</w:t>
      </w:r>
      <w:r>
        <w:rPr>
          <w:rStyle w:val="FootnoteAnchor"/>
          <w:rtl w:val="true"/>
        </w:rPr>
        <w:footnoteReference w:id="722"/>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امام خمینی قدس سره در المکاسب المحرّمة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روایت را کنار می‌گذاشتیم، بهتر از این بود که توجیه شیخ قدس سره را انجام دهیم؛</w:t>
      </w:r>
      <w:r>
        <w:rPr>
          <w:rStyle w:val="FootnoteAnchor"/>
          <w:rtl w:val="true"/>
        </w:rPr>
        <w:footnoteReference w:id="723"/>
      </w:r>
      <w:r>
        <w:rPr>
          <w:rFonts w:ascii="IRNazanin" w:hAnsi="IRNazanin" w:eastAsia="IRNazanin"/>
          <w:color w:val="111111"/>
          <w:sz w:val="28"/>
          <w:sz w:val="28"/>
          <w:szCs w:val="28"/>
          <w:rtl w:val="true"/>
          <w:lang w:bidi="fa-IR"/>
        </w:rPr>
        <w:t>زیرا در روایت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یبیعه ممن یستحلّ 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هیچ اشاره‌ای به اجزای بی‌روح ندارد؛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مختلط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آن‌که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یستحل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قرینۀ</w:t>
      </w:r>
      <w:bookmarkStart w:id="853" w:name="pg13785_135289"/>
    </w:p>
    <w:p>
      <w:pPr>
        <w:pStyle w:val="BookText"/>
        <w:rPr/>
      </w:pPr>
      <w:bookmarkEnd w:id="853"/>
      <w:r>
        <w:rPr>
          <w:rFonts w:ascii="IRNazanin" w:hAnsi="IRNazanin" w:eastAsia="IRNazanin"/>
          <w:color w:val="111111"/>
          <w:sz w:val="28"/>
          <w:sz w:val="28"/>
          <w:szCs w:val="28"/>
          <w:rtl w:val="true"/>
          <w:lang w:bidi="fa-IR"/>
        </w:rPr>
        <w:t>روشنی است که نشان می‌دهد مقصود اصلی، مسئلۀ اکل است، در حالی که اجزای بی‌روح قابل اکل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گفتگو پیرامون تمام جهات این مسئله، می‌توان نتیجه گرفت که بیع گوشت مختلط به قصد خوردن به کافری که آن را حلال می‌داند، جایز است و برای استفاده‌های دیگر غیر از خوردن، به مسلمان نیز می‌توان فروخت و اگر بایع و مشتری تنها خصوص گوشت تذکیه شده را قصد کند، طبق قواعد، این معامله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به خدا پناه برد</w:t>
      </w:r>
      <w:r>
        <w:rPr>
          <w:rFonts w:eastAsia="IRNazanin" w:cs="IRNazanin"/>
          <w:color w:val="111111"/>
          <w:sz w:val="28"/>
          <w:szCs w:val="28"/>
          <w:rtl w:val="true"/>
          <w:lang w:bidi="fa-IR"/>
        </w:rPr>
        <w:t>.</w:t>
      </w:r>
    </w:p>
    <w:p>
      <w:pPr>
        <w:pStyle w:val="Heading5"/>
        <w:numPr>
          <w:ilvl w:val="4"/>
          <w:numId w:val="1"/>
        </w:numPr>
        <w:rPr/>
      </w:pPr>
      <w:bookmarkStart w:id="854" w:name="__RefHeading___Toc2531345_1468164448"/>
      <w:bookmarkStart w:id="855" w:name="_Toc328"/>
      <w:bookmarkEnd w:id="854"/>
      <w:r>
        <w:rPr>
          <w:rtl w:val="true"/>
        </w:rPr>
        <w:t>بند سوم</w:t>
      </w:r>
      <w:r>
        <w:rPr>
          <w:rtl w:val="true"/>
        </w:rPr>
        <w:t xml:space="preserve">: </w:t>
      </w:r>
      <w:r>
        <w:rPr>
          <w:rtl w:val="true"/>
        </w:rPr>
        <w:t>بیع مرداری که خون جهنده ندارد</w:t>
      </w:r>
      <w:bookmarkEnd w:id="855"/>
    </w:p>
    <w:p>
      <w:pPr>
        <w:pStyle w:val="Heading6"/>
        <w:numPr>
          <w:ilvl w:val="5"/>
          <w:numId w:val="1"/>
        </w:numPr>
        <w:rPr/>
      </w:pPr>
      <w:bookmarkStart w:id="856" w:name="__RefHeading___Toc2531347_1468164448"/>
      <w:bookmarkStart w:id="857" w:name="_Toc329"/>
      <w:bookmarkEnd w:id="856"/>
      <w:r>
        <w:rPr>
          <w:rtl w:val="true"/>
        </w:rPr>
        <w:t>اشارة</w:t>
      </w:r>
      <w:bookmarkEnd w:id="857"/>
    </w:p>
    <w:p>
      <w:pPr>
        <w:pStyle w:val="BookText"/>
        <w:rPr/>
      </w:pPr>
      <w:r>
        <w:rPr>
          <w:rFonts w:ascii="IRNazanin" w:hAnsi="IRNazanin" w:eastAsia="IRNazanin"/>
          <w:color w:val="111111"/>
          <w:sz w:val="28"/>
          <w:sz w:val="28"/>
          <w:szCs w:val="28"/>
          <w:rtl w:val="true"/>
          <w:lang w:bidi="fa-IR"/>
        </w:rPr>
        <w:t>پیش از این، در مورد بیع مرداری که خون جهنده دارد، بحث شد؛ لیکن در این گفتار، دربارۀ حکم معامله مرداری که خون جهنده ندارد، به اختصار مطالبی را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دیدگاه مشهور فقها، مردار حیوانی که خون جهنده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طبق نظر مشهور هرچند خوردن آن حرام است، ولی معاملۀ آن به جهت سایر منافع حلال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نظر مشهور پذیرفته نشود و مردار حیوانی که خون جهنده ندارد را نجس فرض کنیم، با این حال نیز با تکیه بر مباحث پیشین و دیدگاه برگزیده در مورد بیع مرداری که خون جهنده دارد، بیع مرداری که خون جهنده ندارد نیز برای منافع حلال، جایز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یادآوری است که امروزه، مردار حیواناتی که خون جهنده ندارند، دارای منافع فراوانی هستند، از جمله می‌توان برای ساخت غضروف و درمان بیماری آرتروز از مردار ماهی استفاده کرد</w:t>
      </w:r>
      <w:r>
        <w:rPr>
          <w:rFonts w:eastAsia="IRNazanin" w:cs="IRNazanin"/>
          <w:color w:val="111111"/>
          <w:sz w:val="28"/>
          <w:szCs w:val="28"/>
          <w:rtl w:val="true"/>
          <w:lang w:bidi="fa-IR"/>
        </w:rPr>
        <w:t>.</w:t>
      </w:r>
    </w:p>
    <w:p>
      <w:pPr>
        <w:pStyle w:val="Heading6"/>
        <w:numPr>
          <w:ilvl w:val="5"/>
          <w:numId w:val="1"/>
        </w:numPr>
        <w:rPr/>
      </w:pPr>
      <w:bookmarkStart w:id="858" w:name="__RefHeading___Toc2531349_1468164448"/>
      <w:bookmarkStart w:id="859" w:name="_Toc330"/>
      <w:bookmarkEnd w:id="858"/>
      <w:r>
        <w:rPr>
          <w:rtl w:val="true"/>
        </w:rPr>
        <w:t>نکتۀ پایانی</w:t>
      </w:r>
      <w:bookmarkEnd w:id="859"/>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قدس سره با این‌که در المکاسب المحرّمه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 مرداری که خون جهنده ندارد اگر به قصد منفعت محللّه باشد،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4"/>
      </w:r>
      <w:r>
        <w:rPr>
          <w:rFonts w:ascii="IRNazanin" w:hAnsi="IRNazanin" w:eastAsia="IRNazanin"/>
          <w:color w:val="111111"/>
          <w:sz w:val="28"/>
          <w:sz w:val="28"/>
          <w:szCs w:val="28"/>
          <w:rtl w:val="true"/>
          <w:lang w:bidi="fa-IR"/>
        </w:rPr>
        <w:t>ولی در کتاب تحریر الوسیلة</w:t>
      </w:r>
    </w:p>
    <w:p>
      <w:pPr>
        <w:pStyle w:val="BookText"/>
        <w:rPr/>
      </w:pP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جواز بیع المیتة الطاهرة کالسمک ونحوه اذا کانت له منفعه ولو من دهنه، اشکال، لا یترک الإحتیاط؛</w:t>
      </w:r>
      <w:r>
        <w:rPr>
          <w:rStyle w:val="FootnoteAnchor"/>
          <w:rtl w:val="true"/>
        </w:rPr>
        <w:footnoteReference w:id="725"/>
      </w:r>
      <w:r>
        <w:rPr>
          <w:rFonts w:ascii="IRNazanin" w:hAnsi="IRNazanin" w:eastAsia="IRNazanin"/>
          <w:color w:val="111111"/>
          <w:sz w:val="28"/>
          <w:sz w:val="28"/>
          <w:szCs w:val="28"/>
          <w:rtl w:val="true"/>
          <w:lang w:bidi="fa-IR"/>
        </w:rPr>
        <w:t xml:space="preserve">احتیاط وجوبی در این است که بیع مردار پاکی همچون ماهی مرده، اگر منفعتی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از جهت روغنش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ترک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پیش از این نیز اختلافاتی میان تحریر الوسیلة و بحث استدلالی امام در المکاسب المحرّمة پیدا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المکاسب المحرّمة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اعیان نجس، مطلقاً اشکال دارد، حتّی اگر منفعت محلّلۀ عقلایی برای آن فرض شود؛ ولی در تحریر الوسیلة عکس این مطلب را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توجیه این اختلافات، یا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زمانی، نگارش مختلف بوده است؛ یا باید بگوییم</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بزرگان در کتاب‌ها و مباحث استدلالی ممکن است به یک نظر برسند، ولی در مقام فتوا جهات دیگری را هم برای فتوا دادن رعایت می‌کنند</w:t>
      </w:r>
      <w:r>
        <w:rPr>
          <w:rFonts w:eastAsia="IRNazanin" w:cs="IRNazanin"/>
          <w:color w:val="111111"/>
          <w:sz w:val="28"/>
          <w:szCs w:val="28"/>
          <w:rtl w:val="true"/>
          <w:lang w:bidi="fa-IR"/>
        </w:rPr>
        <w:t>.</w:t>
      </w:r>
      <w:bookmarkStart w:id="860" w:name="pg13785_135292"/>
    </w:p>
    <w:p>
      <w:pPr>
        <w:pStyle w:val="Heading3"/>
        <w:numPr>
          <w:ilvl w:val="2"/>
          <w:numId w:val="1"/>
        </w:numPr>
        <w:rPr/>
      </w:pPr>
      <w:bookmarkStart w:id="861" w:name="__RefHeading___Toc2531351_1468164448"/>
      <w:bookmarkStart w:id="862" w:name="_Toc331"/>
      <w:bookmarkEnd w:id="860"/>
      <w:bookmarkEnd w:id="861"/>
      <w:r>
        <w:rPr>
          <w:rtl w:val="true"/>
        </w:rPr>
        <w:t>فصل هفتم</w:t>
      </w:r>
      <w:r>
        <w:rPr>
          <w:rtl w:val="true"/>
        </w:rPr>
        <w:t xml:space="preserve">: </w:t>
      </w:r>
      <w:r>
        <w:rPr>
          <w:rtl w:val="true"/>
        </w:rPr>
        <w:t>معاملۀ سگ و خوک</w:t>
      </w:r>
      <w:bookmarkEnd w:id="862"/>
    </w:p>
    <w:p>
      <w:pPr>
        <w:pStyle w:val="Heading4"/>
        <w:numPr>
          <w:ilvl w:val="3"/>
          <w:numId w:val="1"/>
        </w:numPr>
        <w:rPr/>
      </w:pPr>
      <w:bookmarkStart w:id="863" w:name="__RefHeading___Toc2531353_1468164448"/>
      <w:bookmarkStart w:id="864" w:name="_Toc332"/>
      <w:bookmarkEnd w:id="863"/>
      <w:r>
        <w:rPr>
          <w:rtl w:val="true"/>
        </w:rPr>
        <w:t>اشارة</w:t>
      </w:r>
      <w:bookmarkEnd w:id="864"/>
    </w:p>
    <w:p>
      <w:pPr>
        <w:pStyle w:val="BookText"/>
        <w:rPr/>
      </w:pPr>
      <w:r>
        <w:rPr>
          <w:rFonts w:ascii="IRNazanin" w:hAnsi="IRNazanin" w:eastAsia="IRNazanin"/>
          <w:color w:val="111111"/>
          <w:sz w:val="28"/>
          <w:sz w:val="28"/>
          <w:szCs w:val="28"/>
          <w:rtl w:val="true"/>
          <w:lang w:bidi="fa-IR"/>
        </w:rPr>
        <w:t>شیخ انصاری قدس سره در کتاب المکاسب از سگ و خوک به عنوان ششمین مورد از اعیان نجس که معاملۀ آنها حرام است، نام برده و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یحرم التکسّب بالکلب الهراش والخنزیر البرّییّن اجماعاً علی الظاهر المصرّح به فی المحکیّ عن جماعة وکذلک اجزاؤهما؛</w:t>
      </w:r>
      <w:r>
        <w:rPr>
          <w:rStyle w:val="FootnoteAnchor"/>
          <w:rtl w:val="true"/>
        </w:rPr>
        <w:footnoteReference w:id="726"/>
      </w:r>
      <w:r>
        <w:rPr>
          <w:rFonts w:ascii="IRNazanin" w:hAnsi="IRNazanin" w:eastAsia="IRNazanin"/>
          <w:color w:val="111111"/>
          <w:sz w:val="28"/>
          <w:sz w:val="28"/>
          <w:szCs w:val="28"/>
          <w:rtl w:val="true"/>
          <w:lang w:bidi="fa-IR"/>
        </w:rPr>
        <w:t xml:space="preserve">آن‌گونه که از تصریح شماری از فقها بر می‌آید، کسب درآمد از راه فروش سگ هراش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پرخاشگر و مهاجم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خوک خشکی، اجماعاً حرام است و همچنین است اجزای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آنچه در این فصل مورد بحث قرار می‌گیرد، سگ و خوک خشکی است؛ زیرا دربارۀ سگ و خوک دریایی شکّی نیست که آنها پاک‌اند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خویی قدس سره دربارۀ سگ و خوک دریایی می‌نویسد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الظاهر أنّهما من أقسام السّمک غیر المأکول فیکونان خارجین عمّا نحن فیه تخصّصاً؛</w:t>
      </w:r>
      <w:r>
        <w:rPr>
          <w:rStyle w:val="FootnoteAnchor"/>
          <w:rtl w:val="true"/>
        </w:rPr>
        <w:footnoteReference w:id="727"/>
      </w:r>
      <w:r>
        <w:rPr>
          <w:rFonts w:ascii="IRNazanin" w:hAnsi="IRNazanin" w:eastAsia="IRNazanin"/>
          <w:color w:val="111111"/>
          <w:sz w:val="28"/>
          <w:sz w:val="28"/>
          <w:szCs w:val="28"/>
          <w:rtl w:val="true"/>
          <w:lang w:bidi="fa-IR"/>
        </w:rPr>
        <w:t>سگ و خوک دریایی نوعی ماهی هستند که پولک نداشته و قابل خوردن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تخصّصاً از بحث خارج‌اند</w:t>
      </w:r>
      <w:r>
        <w:rPr>
          <w:rFonts w:eastAsia="IRNazanin" w:cs="IRNazanin"/>
          <w:color w:val="111111"/>
          <w:sz w:val="28"/>
          <w:szCs w:val="28"/>
          <w:rtl w:val="true"/>
          <w:lang w:bidi="fa-IR"/>
        </w:rPr>
        <w:t>.</w:t>
      </w:r>
      <w:bookmarkStart w:id="865" w:name="pg13785_135293"/>
    </w:p>
    <w:p>
      <w:pPr>
        <w:pStyle w:val="BookText"/>
        <w:rPr/>
      </w:pPr>
      <w:bookmarkEnd w:id="865"/>
      <w:r>
        <w:rPr>
          <w:rFonts w:ascii="IRNazanin" w:hAnsi="IRNazanin" w:eastAsia="IRNazanin"/>
          <w:color w:val="111111"/>
          <w:sz w:val="28"/>
          <w:sz w:val="28"/>
          <w:szCs w:val="28"/>
          <w:rtl w:val="true"/>
          <w:lang w:bidi="fa-IR"/>
        </w:rPr>
        <w:t>در این فصل باید دربارۀ سه مسئله به‌طور جداگانه گفتگو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سگ، بیع خوک و بیع اجزای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این فصل را در ضمن سه گفتار مطرح می‌کنیم</w:t>
      </w:r>
      <w:r>
        <w:rPr>
          <w:rFonts w:eastAsia="IRNazanin" w:cs="IRNazanin"/>
          <w:color w:val="111111"/>
          <w:sz w:val="28"/>
          <w:szCs w:val="28"/>
          <w:rtl w:val="true"/>
          <w:lang w:bidi="fa-IR"/>
        </w:rPr>
        <w:t>.</w:t>
      </w:r>
    </w:p>
    <w:p>
      <w:pPr>
        <w:pStyle w:val="Heading4"/>
        <w:numPr>
          <w:ilvl w:val="3"/>
          <w:numId w:val="1"/>
        </w:numPr>
        <w:rPr/>
      </w:pPr>
      <w:bookmarkStart w:id="866" w:name="__RefHeading___Toc2531355_1468164448"/>
      <w:bookmarkStart w:id="867" w:name="_Toc333"/>
      <w:bookmarkEnd w:id="866"/>
      <w:r>
        <w:rPr>
          <w:rtl w:val="true"/>
        </w:rPr>
        <w:t>گفتار اوّل</w:t>
      </w:r>
      <w:r>
        <w:rPr>
          <w:rtl w:val="true"/>
        </w:rPr>
        <w:t xml:space="preserve">: </w:t>
      </w:r>
      <w:r>
        <w:rPr>
          <w:rtl w:val="true"/>
        </w:rPr>
        <w:t>معاملۀ سگ</w:t>
      </w:r>
      <w:bookmarkEnd w:id="867"/>
    </w:p>
    <w:p>
      <w:pPr>
        <w:pStyle w:val="Heading5"/>
        <w:numPr>
          <w:ilvl w:val="4"/>
          <w:numId w:val="1"/>
        </w:numPr>
        <w:rPr/>
      </w:pPr>
      <w:bookmarkStart w:id="868" w:name="__RefHeading___Toc2531357_1468164448"/>
      <w:bookmarkStart w:id="869" w:name="_Toc334"/>
      <w:bookmarkEnd w:id="868"/>
      <w:r>
        <w:rPr>
          <w:rtl w:val="true"/>
        </w:rPr>
        <w:t>اشارة</w:t>
      </w:r>
      <w:bookmarkEnd w:id="869"/>
    </w:p>
    <w:p>
      <w:pPr>
        <w:pStyle w:val="BookText"/>
        <w:rPr/>
      </w:pPr>
      <w:r>
        <w:rPr>
          <w:rFonts w:ascii="IRNazanin" w:hAnsi="IRNazanin" w:eastAsia="IRNazanin"/>
          <w:color w:val="111111"/>
          <w:sz w:val="28"/>
          <w:sz w:val="28"/>
          <w:szCs w:val="28"/>
          <w:rtl w:val="true"/>
          <w:lang w:bidi="fa-IR"/>
        </w:rPr>
        <w:t>به‌طور کلّی سگ به چند نوع تقسیم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هنگامی که دو خروس به جان‌می‌افتند و با هم می‌جنگند،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یتهارشان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دو در حال مقاتله و مهارشه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هراش آن سگی است که با تحریک یا بدون تحریک، حمله می‌کند و حالت تهاجمی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ذات سگ، این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هراش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مگر این‌که آن را برای صید یا حراست یا ذرع یا بستان تربیت کنند؛ ولی اگر او را آموزش ندهند، در ذات او حالت تهاجمی و پرخاشگری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 این نکته هم خوب است که هراش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استعمال می‌شود که نزاع و هراش میان دو حیوان باشد؛ ولی حراش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استعمال می‌گردد که نزاع میان دو انسان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بیع سگ هراش را حرام دانسته‌اند و در مقابل، بیع سگ صید سلوقی</w:t>
      </w:r>
      <w:r>
        <w:rPr>
          <w:rStyle w:val="FootnoteAnchor"/>
          <w:rtl w:val="true"/>
        </w:rPr>
        <w:footnoteReference w:id="728"/>
      </w:r>
      <w:r>
        <w:rPr>
          <w:rFonts w:ascii="IRNazanin" w:hAnsi="IRNazanin" w:eastAsia="IRNazanin"/>
          <w:color w:val="111111"/>
          <w:sz w:val="28"/>
          <w:sz w:val="28"/>
          <w:szCs w:val="28"/>
          <w:rtl w:val="true"/>
          <w:lang w:bidi="fa-IR"/>
        </w:rPr>
        <w:t>را جایز شمرده‌اند؛ امّا باید دید معاملۀ انواع دیگر سگ و یا سگ صید غیر سلوقی 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ورود به بحث، بد نیست که بر نکته‌ای تفسیری را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الْمَیْتَةُ وَ الدَّمُ وَ لَحْمُ الْخِنْزِیرِ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پرسش به ذهن خطور کند که چرا در این آیه سخنی دربارۀ گوشت سگ مطرح نشده است، با این‌که خوردنش مانند خوک حرام است؟</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شاید علّتش این باشد که گوشت سگ نیز در مطلق میته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هم می‌تواند این باشد که اصلا ًدر هیچ زمانی، یا دست‌کم در میان</w:t>
      </w:r>
      <w:bookmarkStart w:id="870" w:name="pg13785_135294"/>
    </w:p>
    <w:p>
      <w:pPr>
        <w:pStyle w:val="BookText"/>
        <w:rPr/>
      </w:pPr>
      <w:bookmarkEnd w:id="870"/>
      <w:r>
        <w:rPr>
          <w:rFonts w:ascii="IRNazanin" w:hAnsi="IRNazanin" w:eastAsia="IRNazanin"/>
          <w:color w:val="111111"/>
          <w:sz w:val="28"/>
          <w:sz w:val="28"/>
          <w:szCs w:val="28"/>
          <w:rtl w:val="true"/>
          <w:lang w:bidi="fa-IR"/>
        </w:rPr>
        <w:t>اعراب جاهلیت و افرادی که در زمان نزول این آیۀ شریفه بوده‌اند، خوردن گوشت سگ متعارف نبوده و اکنون نیز متعارف نیست؛ ولی گوشت خوک را در کشورهای غربی، فراوان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دانستن حکم بیع سگ‌های گوناگون، پیش از بررسی ادلّۀ موجود، به مطالعۀ دیدگاه‌های برخی از فقها می‌پردازیم</w:t>
      </w:r>
      <w:r>
        <w:rPr>
          <w:rFonts w:eastAsia="IRNazanin" w:cs="IRNazanin"/>
          <w:color w:val="111111"/>
          <w:sz w:val="28"/>
          <w:szCs w:val="28"/>
          <w:rtl w:val="true"/>
          <w:lang w:bidi="fa-IR"/>
        </w:rPr>
        <w:t>.</w:t>
      </w:r>
    </w:p>
    <w:p>
      <w:pPr>
        <w:pStyle w:val="Heading5"/>
        <w:numPr>
          <w:ilvl w:val="4"/>
          <w:numId w:val="1"/>
        </w:numPr>
        <w:rPr/>
      </w:pPr>
      <w:bookmarkStart w:id="871" w:name="__RefHeading___Toc2531359_1468164448"/>
      <w:bookmarkStart w:id="872" w:name="_Toc335"/>
      <w:bookmarkEnd w:id="871"/>
      <w:r>
        <w:rPr>
          <w:rtl w:val="true"/>
        </w:rPr>
        <w:t>بند اوّل</w:t>
      </w:r>
      <w:r>
        <w:rPr>
          <w:rtl w:val="true"/>
        </w:rPr>
        <w:t xml:space="preserve">: </w:t>
      </w:r>
      <w:r>
        <w:rPr>
          <w:rtl w:val="true"/>
        </w:rPr>
        <w:t>عبارات فقها</w:t>
      </w:r>
      <w:bookmarkEnd w:id="872"/>
    </w:p>
    <w:p>
      <w:pPr>
        <w:pStyle w:val="Heading6"/>
        <w:numPr>
          <w:ilvl w:val="5"/>
          <w:numId w:val="1"/>
        </w:numPr>
        <w:rPr/>
      </w:pPr>
      <w:bookmarkStart w:id="873" w:name="__RefHeading___Toc2531361_1468164448"/>
      <w:bookmarkStart w:id="874" w:name="_Toc336"/>
      <w:bookmarkEnd w:id="873"/>
      <w:r>
        <w:rPr>
          <w:rtl w:val="true"/>
        </w:rPr>
        <w:t>الف</w:t>
      </w:r>
      <w:r>
        <w:rPr>
          <w:rtl w:val="true"/>
        </w:rPr>
        <w:t xml:space="preserve">) </w:t>
      </w:r>
      <w:r>
        <w:rPr>
          <w:rtl w:val="true"/>
        </w:rPr>
        <w:t>دیدگاه شیخ طوسی</w:t>
      </w:r>
      <w:bookmarkEnd w:id="874"/>
    </w:p>
    <w:p>
      <w:pPr>
        <w:pStyle w:val="BookText"/>
        <w:rPr/>
      </w:pPr>
      <w:r>
        <w:rPr>
          <w:rFonts w:ascii="IRNazanin" w:hAnsi="IRNazanin" w:eastAsia="IRNazanin"/>
          <w:color w:val="111111"/>
          <w:sz w:val="28"/>
          <w:sz w:val="28"/>
          <w:szCs w:val="28"/>
          <w:rtl w:val="true"/>
          <w:lang w:bidi="fa-IR"/>
        </w:rPr>
        <w:t>شیخ طوسی قدس سره در کتاب الخلاف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جوّز بیع کلاب الصید ویجب علی قاتلها قیمتها إذا کانت معلّمة ولایجوز بیع غیر الکلب المعلّم علی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ابو حنیفه ومالک، یجوز بیع الکلاب مطلقاً، إلّاأنّه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باعه صحَّ البیع ووجب الثمن وإن أتلفه متلف لزمته قیمته، وقال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بیع الکلب، معلّمة کانت أن غیر معلمة ولایجب علی قاتلها القیمة</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سگ شکاری جایز است و اگر کسی سگ شکاری را بکشد، باید قیمتش را بپردازد و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معاملۀ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آموزش 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عبارت شیخ قدس سره دقیق‌ترین عبارت در میان عبارات فقهاست؛ چراکه با تعبیری دقیق، سگ را به آموزش دیده و آموزش ندیده تقسیم کرده است؛ زیرا سگ ذاتاً هار، هراش و عقور است و برای تقسیم، عنوان هراش یا صید موضوعیّتی ندارد؛ بلکه تعلیم یا عدم تعلیم موضوعیت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و مالک نیز در این زمینه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سگ به‌طور مطلق جایز است و اگر کسی سگ را تلف کرد،</w:t>
      </w:r>
      <w:bookmarkStart w:id="875" w:name="pg13785_135295"/>
    </w:p>
    <w:p>
      <w:pPr>
        <w:pStyle w:val="BookText"/>
        <w:rPr/>
      </w:pPr>
      <w:bookmarkEnd w:id="875"/>
      <w:r>
        <w:rPr>
          <w:rFonts w:ascii="IRNazanin" w:hAnsi="IRNazanin" w:eastAsia="IRNazanin"/>
          <w:color w:val="111111"/>
          <w:sz w:val="28"/>
          <w:sz w:val="28"/>
          <w:szCs w:val="28"/>
          <w:rtl w:val="true"/>
          <w:lang w:bidi="fa-IR"/>
        </w:rPr>
        <w:t>ضامن قیمت آن خواهد بود؛ ولی در مقابل آنها شافعی معتقد است که بیع سگ به‌طور مطلق چه معلّم و چه غیر معلّم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ایشان در النهایة نیز ضمن برشمردن درآمدهای حرام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ثمن الکلب إلّاما کان سلوقیاً الصّید؛</w:t>
      </w:r>
      <w:r>
        <w:rPr>
          <w:rStyle w:val="FootnoteAnchor"/>
          <w:rtl w:val="true"/>
        </w:rPr>
        <w:footnoteReference w:id="730"/>
      </w:r>
      <w:r>
        <w:rPr>
          <w:rFonts w:ascii="IRNazanin" w:hAnsi="IRNazanin" w:eastAsia="IRNazanin"/>
          <w:color w:val="111111"/>
          <w:sz w:val="28"/>
          <w:sz w:val="28"/>
          <w:szCs w:val="28"/>
          <w:rtl w:val="true"/>
          <w:lang w:bidi="fa-IR"/>
        </w:rPr>
        <w:t>ثمن سگ حرام است مگر آن‌که تربیت شده برای صید و سلوقی باشد</w:t>
      </w:r>
      <w:r>
        <w:rPr>
          <w:rFonts w:eastAsia="IRNazanin" w:cs="IRNazanin"/>
          <w:color w:val="111111"/>
          <w:sz w:val="28"/>
          <w:szCs w:val="28"/>
          <w:rtl w:val="true"/>
          <w:lang w:bidi="fa-IR"/>
        </w:rPr>
        <w:t>.</w:t>
      </w:r>
    </w:p>
    <w:p>
      <w:pPr>
        <w:pStyle w:val="Heading6"/>
        <w:numPr>
          <w:ilvl w:val="5"/>
          <w:numId w:val="1"/>
        </w:numPr>
        <w:rPr/>
      </w:pPr>
      <w:bookmarkStart w:id="876" w:name="__RefHeading___Toc2531363_1468164448"/>
      <w:bookmarkStart w:id="877" w:name="_Toc337"/>
      <w:bookmarkEnd w:id="876"/>
      <w:r>
        <w:rPr>
          <w:rtl w:val="true"/>
        </w:rPr>
        <w:t>ب</w:t>
      </w:r>
      <w:r>
        <w:rPr>
          <w:rtl w:val="true"/>
        </w:rPr>
        <w:t xml:space="preserve">) </w:t>
      </w:r>
      <w:r>
        <w:rPr>
          <w:rtl w:val="true"/>
        </w:rPr>
        <w:t>دیدگاه شیخ مفید</w:t>
      </w:r>
      <w:bookmarkEnd w:id="877"/>
    </w:p>
    <w:p>
      <w:pPr>
        <w:pStyle w:val="BookText"/>
        <w:rPr/>
      </w:pPr>
      <w:r>
        <w:rPr>
          <w:rFonts w:ascii="IRNazanin" w:hAnsi="IRNazanin" w:eastAsia="IRNazanin"/>
          <w:color w:val="111111"/>
          <w:sz w:val="28"/>
          <w:sz w:val="28"/>
          <w:szCs w:val="28"/>
          <w:rtl w:val="true"/>
          <w:lang w:bidi="fa-IR"/>
        </w:rPr>
        <w:t>شیخ مفید قدس سره در المقنعة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وثمن الکلب حرام إلّاما کان سلوقیاً للصّید؛</w:t>
      </w:r>
      <w:r>
        <w:rPr>
          <w:rStyle w:val="FootnoteAnchor"/>
          <w:rtl w:val="true"/>
        </w:rPr>
        <w:footnoteReference w:id="731"/>
      </w:r>
      <w:r>
        <w:rPr>
          <w:rFonts w:ascii="IRNazanin" w:hAnsi="IRNazanin" w:eastAsia="IRNazanin"/>
          <w:color w:val="111111"/>
          <w:sz w:val="28"/>
          <w:sz w:val="28"/>
          <w:szCs w:val="28"/>
          <w:rtl w:val="true"/>
          <w:lang w:bidi="fa-IR"/>
        </w:rPr>
        <w:t>ثمن سگ حرام است، مگر سگ صید سلوقی</w:t>
      </w:r>
      <w:r>
        <w:rPr>
          <w:rFonts w:eastAsia="IRNazanin" w:cs="IRNazanin"/>
          <w:color w:val="111111"/>
          <w:sz w:val="28"/>
          <w:szCs w:val="28"/>
          <w:rtl w:val="true"/>
          <w:lang w:bidi="fa-IR"/>
        </w:rPr>
        <w:t>.</w:t>
      </w:r>
    </w:p>
    <w:p>
      <w:pPr>
        <w:pStyle w:val="Heading6"/>
        <w:numPr>
          <w:ilvl w:val="5"/>
          <w:numId w:val="1"/>
        </w:numPr>
        <w:rPr/>
      </w:pPr>
      <w:bookmarkStart w:id="878" w:name="__RefHeading___Toc2531365_1468164448"/>
      <w:bookmarkStart w:id="879" w:name="_Toc338"/>
      <w:bookmarkEnd w:id="878"/>
      <w:r>
        <w:rPr>
          <w:rtl w:val="true"/>
        </w:rPr>
        <w:t>ج</w:t>
      </w:r>
      <w:r>
        <w:rPr>
          <w:rtl w:val="true"/>
        </w:rPr>
        <w:t xml:space="preserve">) </w:t>
      </w:r>
      <w:r>
        <w:rPr>
          <w:rtl w:val="true"/>
        </w:rPr>
        <w:t>دیدگاه علاّمۀ حلّی</w:t>
      </w:r>
      <w:bookmarkEnd w:id="879"/>
    </w:p>
    <w:p>
      <w:pPr>
        <w:pStyle w:val="BookText"/>
        <w:rPr/>
      </w:pPr>
      <w:r>
        <w:rPr>
          <w:rFonts w:ascii="IRNazanin" w:hAnsi="IRNazanin" w:eastAsia="IRNazanin"/>
          <w:color w:val="111111"/>
          <w:sz w:val="28"/>
          <w:sz w:val="28"/>
          <w:szCs w:val="28"/>
          <w:rtl w:val="true"/>
          <w:lang w:bidi="fa-IR"/>
        </w:rPr>
        <w:t>علاّمۀ حلّی قدس سره در منتهی المطلب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أجمع علمائنا علی تحریم بیع ما عدا الکلب الصید والماشیة والزرع والحائط من الکلاب؛</w:t>
      </w:r>
      <w:r>
        <w:rPr>
          <w:rStyle w:val="FootnoteAnchor"/>
          <w:rtl w:val="true"/>
        </w:rPr>
        <w:footnoteReference w:id="732"/>
      </w:r>
      <w:r>
        <w:rPr>
          <w:rFonts w:ascii="IRNazanin" w:hAnsi="IRNazanin" w:eastAsia="IRNazanin"/>
          <w:color w:val="111111"/>
          <w:sz w:val="28"/>
          <w:sz w:val="28"/>
          <w:szCs w:val="28"/>
          <w:rtl w:val="true"/>
          <w:lang w:bidi="fa-IR"/>
        </w:rPr>
        <w:t>اجماع قائم است بر این‌که بیع سگ، بجز سگ صید، ماشیه، زرع و حائط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تذکرة الفقهاء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الکلب إن کان عقوراً، حرّم بیعه عند علمائنا؛</w:t>
      </w:r>
      <w:r>
        <w:rPr>
          <w:rStyle w:val="FootnoteAnchor"/>
          <w:rtl w:val="true"/>
        </w:rPr>
        <w:footnoteReference w:id="733"/>
      </w:r>
      <w:r>
        <w:rPr>
          <w:rFonts w:ascii="IRNazanin" w:hAnsi="IRNazanin" w:eastAsia="IRNazanin"/>
          <w:color w:val="111111"/>
          <w:sz w:val="28"/>
          <w:sz w:val="28"/>
          <w:szCs w:val="28"/>
          <w:rtl w:val="true"/>
          <w:lang w:bidi="fa-IR"/>
        </w:rPr>
        <w:t>بیع سگ هراش، نزد علمای ما حرام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از جمع بین عبارات فقها می‌توان نتیجه گرفت که ایشان بیع سگ هراش</w:t>
      </w:r>
      <w:bookmarkStart w:id="880" w:name="pg13785_135296"/>
    </w:p>
    <w:p>
      <w:pPr>
        <w:pStyle w:val="BookText"/>
        <w:rPr/>
      </w:pPr>
      <w:bookmarkEnd w:id="880"/>
      <w:r>
        <w:rPr>
          <w:rFonts w:ascii="IRNazanin" w:hAnsi="IRNazanin" w:eastAsia="IRNazanin"/>
          <w:color w:val="111111"/>
          <w:sz w:val="28"/>
          <w:sz w:val="28"/>
          <w:szCs w:val="28"/>
          <w:rtl w:val="true"/>
          <w:lang w:bidi="fa-IR"/>
        </w:rPr>
        <w:t>را حرام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هراش همان گونه که گفته شد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وحشی و پرخاش‌گر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 که البتّه ذات سگ نیز همین است، مگر این‌که برای اموری مانند شکار آموزش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آموزش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با غرض عقلایی همراه باشد، جایز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تنها بیع سگ شکاری یا نگهبان جایز است و سگی که نگهداری شده تا هار نباشد و یا با استفاده از دارو، صفت هاری را از آن گرفته‌اند، فایده‌ای ندارد و بیع آن صحیح نیست</w:t>
      </w:r>
      <w:r>
        <w:rPr>
          <w:rFonts w:eastAsia="IRNazanin" w:cs="IRNazanin"/>
          <w:color w:val="111111"/>
          <w:sz w:val="28"/>
          <w:szCs w:val="28"/>
          <w:rtl w:val="true"/>
          <w:lang w:bidi="fa-IR"/>
        </w:rPr>
        <w:t>.</w:t>
      </w:r>
    </w:p>
    <w:p>
      <w:pPr>
        <w:pStyle w:val="Heading5"/>
        <w:numPr>
          <w:ilvl w:val="4"/>
          <w:numId w:val="1"/>
        </w:numPr>
        <w:rPr/>
      </w:pPr>
      <w:bookmarkStart w:id="881" w:name="__RefHeading___Toc2531367_1468164448"/>
      <w:bookmarkStart w:id="882" w:name="_Toc339"/>
      <w:bookmarkEnd w:id="881"/>
      <w:r>
        <w:rPr>
          <w:rtl w:val="true"/>
        </w:rPr>
        <w:t>بند دوم</w:t>
      </w:r>
      <w:r>
        <w:rPr>
          <w:rtl w:val="true"/>
        </w:rPr>
        <w:t xml:space="preserve">: </w:t>
      </w:r>
      <w:r>
        <w:rPr>
          <w:rtl w:val="true"/>
        </w:rPr>
        <w:t>ادلّۀ حرمت معاملۀ سگ</w:t>
      </w:r>
      <w:bookmarkEnd w:id="882"/>
    </w:p>
    <w:p>
      <w:pPr>
        <w:pStyle w:val="Heading6"/>
        <w:numPr>
          <w:ilvl w:val="5"/>
          <w:numId w:val="1"/>
        </w:numPr>
        <w:rPr/>
      </w:pPr>
      <w:bookmarkStart w:id="883" w:name="__RefHeading___Toc2531369_1468164448"/>
      <w:bookmarkStart w:id="884" w:name="_Toc340"/>
      <w:bookmarkEnd w:id="883"/>
      <w:r>
        <w:rPr>
          <w:rtl w:val="true"/>
        </w:rPr>
        <w:t>الف</w:t>
      </w:r>
      <w:r>
        <w:rPr>
          <w:rtl w:val="true"/>
        </w:rPr>
        <w:t xml:space="preserve">) </w:t>
      </w:r>
      <w:r>
        <w:rPr>
          <w:rtl w:val="true"/>
        </w:rPr>
        <w:t>اجماع</w:t>
      </w:r>
      <w:bookmarkEnd w:id="884"/>
    </w:p>
    <w:p>
      <w:pPr>
        <w:pStyle w:val="BookText"/>
        <w:rPr/>
      </w:pPr>
      <w:r>
        <w:rPr>
          <w:rFonts w:ascii="IRNazanin" w:hAnsi="IRNazanin" w:eastAsia="IRNazanin"/>
          <w:color w:val="111111"/>
          <w:sz w:val="28"/>
          <w:sz w:val="28"/>
          <w:szCs w:val="28"/>
          <w:rtl w:val="true"/>
          <w:lang w:bidi="fa-IR"/>
        </w:rPr>
        <w:t xml:space="preserve">با توجّه به اجماعی که علاّمۀ حلّی قدس سره در منتهی المطلب به آن اشاره کردند و نیز با توجّه به کلمات فقها در می‌یابیم که بر بطلان و حرمت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آموزش ندیده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اجماع وجود دارد؛ امّا از آن‌جا که این اجماع، مستند به روایات است، مدرکی بوده و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استناد به اجماع صحیح نیست</w:t>
      </w:r>
      <w:r>
        <w:rPr>
          <w:rStyle w:val="FootnoteAnchor"/>
          <w:rtl w:val="true"/>
        </w:rPr>
        <w:footnoteReference w:id="734"/>
      </w:r>
      <w:r>
        <w:rPr>
          <w:rFonts w:ascii="IRNazanin" w:hAnsi="IRNazanin" w:eastAsia="IRNazanin"/>
          <w:color w:val="111111"/>
          <w:sz w:val="28"/>
          <w:sz w:val="28"/>
          <w:szCs w:val="28"/>
          <w:rtl w:val="true"/>
          <w:lang w:bidi="fa-IR"/>
        </w:rPr>
        <w:t>و باید روایات این باب را بررسی نمود</w:t>
      </w:r>
      <w:r>
        <w:rPr>
          <w:rFonts w:eastAsia="IRNazanin" w:cs="IRNazanin"/>
          <w:color w:val="111111"/>
          <w:sz w:val="28"/>
          <w:szCs w:val="28"/>
          <w:rtl w:val="true"/>
          <w:lang w:bidi="fa-IR"/>
        </w:rPr>
        <w:t>.</w:t>
      </w:r>
    </w:p>
    <w:p>
      <w:pPr>
        <w:pStyle w:val="Heading6"/>
        <w:numPr>
          <w:ilvl w:val="5"/>
          <w:numId w:val="1"/>
        </w:numPr>
        <w:rPr/>
      </w:pPr>
      <w:bookmarkStart w:id="885" w:name="__RefHeading___Toc2531371_1468164448"/>
      <w:bookmarkStart w:id="886" w:name="_Toc341"/>
      <w:bookmarkEnd w:id="885"/>
      <w:r>
        <w:rPr>
          <w:rtl w:val="true"/>
        </w:rPr>
        <w:t>ب</w:t>
      </w:r>
      <w:r>
        <w:rPr>
          <w:rtl w:val="true"/>
        </w:rPr>
        <w:t xml:space="preserve">) </w:t>
      </w:r>
      <w:r>
        <w:rPr>
          <w:rtl w:val="true"/>
        </w:rPr>
        <w:t>روایات</w:t>
      </w:r>
      <w:bookmarkEnd w:id="886"/>
    </w:p>
    <w:p>
      <w:pPr>
        <w:pStyle w:val="BookText"/>
        <w:rPr/>
      </w:pPr>
      <w:r>
        <w:rPr>
          <w:rFonts w:ascii="IRNazanin" w:hAnsi="IRNazanin" w:eastAsia="IRNazanin"/>
          <w:color w:val="111111"/>
          <w:sz w:val="28"/>
          <w:sz w:val="28"/>
          <w:szCs w:val="28"/>
          <w:rtl w:val="true"/>
          <w:lang w:bidi="fa-IR"/>
        </w:rPr>
        <w:t>پیش از بررسی روایات، تذکّر این نکته ضروری است که کثرت روایات این باب، موجب تواتر اجمالی این روایات شده است و در چنین مواردی که نسبت به روایات یک موضوع، تواتر اجمالی موجود باشد، نیازی به بررسی سند این روایات نیست و انسان به دلیل کثرت این روایات با مضمون واحد، علم خواهد یافت که یکی از این احادیث از معصوم علیه السلام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دیگر در خصوص این موارد هرچند یقین به ضعف سند هم داشته باشیم، نیاز به بررسی سندی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نخست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بِإِسْنَادِهِ عَنِ الْحُسَیْنِ بْنِ سَعِیدٍ عَنْ فَضَالَةَ عَنْ أَبَانٍ عَنْ</w:t>
      </w:r>
    </w:p>
    <w:p>
      <w:pPr>
        <w:pStyle w:val="BookText"/>
        <w:rPr/>
      </w:pPr>
      <w:r>
        <w:rPr>
          <w:rFonts w:ascii="Amiri" w:hAnsi="Amiri" w:eastAsia="Amiri" w:cs="Amiri"/>
          <w:color w:val="111111"/>
          <w:sz w:val="28"/>
          <w:sz w:val="28"/>
          <w:szCs w:val="28"/>
          <w:rtl w:val="true"/>
          <w:lang w:bidi="ar-SA"/>
        </w:rPr>
        <w:t>مُحَمَّدِ بْنِ مُسْلِمٍ وَعَبْدِ الرَّحْمَنِ بْنِ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الْکَلْبِ الَّذِی لَا یَصِیدُ سُحْتٌ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بِثَمَنِ الْهِرِّ؛</w:t>
      </w:r>
      <w:r>
        <w:rPr>
          <w:rStyle w:val="FootnoteAnchor"/>
          <w:rtl w:val="true"/>
        </w:rPr>
        <w:footnoteReference w:id="735"/>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که در مقابل سگ غیرشکاری گرفته می‌شود، سحت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گربه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فضاله در این روایت، فضالة بن ایّوب عضدی است که موثّق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نیز مشترک بین دو نفر است، ابان بن تغلب و أبان بن عثمان که هر دو ثقه‌اند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اوّل در روضة المتّقین و امام خمینی قدس سرهما روایت را موثّق و همچون صحیح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ریاض المسائل</w:t>
      </w:r>
      <w:r>
        <w:rPr>
          <w:rStyle w:val="FootnoteAnchor"/>
          <w:rtl w:val="true"/>
        </w:rPr>
        <w:footnoteReference w:id="736"/>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الموثّق بابان المجمع علی تصحیح روایاته و روایات فضالة الراوی عنه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قدس سره نیز تعبیر به صحیح نموده است</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 xml:space="preserve">در این روایت امام صادق علیه السلام از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کرده‌اند که باید دید آیا وجود این قید خصوصیّت دارد یا خیر؟ به عبارت دیگر، آیا با توجّه به مفهوم روایت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معاملۀ سگی که شکار می‌کند، جایز است؟ در این باره باید به مبحث حجّیت مفهوم در علم اصول مراجعه شود؛ ولی با توجّه به این‌که در روایات دیگر این باب، بر جواز معاملۀ سگ شکاری تصریح شده است، نیازی به بررسی حجّیت مفهوم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بزرگان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لو لم تکن ظاهرة فی خصوص الکلب الهراش فلا ریب فی أنّها تعمّه؛</w:t>
      </w:r>
      <w:r>
        <w:rPr>
          <w:rStyle w:val="FootnoteAnchor"/>
          <w:rtl w:val="true"/>
        </w:rPr>
        <w:footnoteReference w:id="738"/>
      </w:r>
      <w:r>
        <w:rPr>
          <w:rFonts w:ascii="IRNazanin" w:hAnsi="IRNazanin" w:eastAsia="IRNazanin"/>
          <w:color w:val="111111"/>
          <w:sz w:val="28"/>
          <w:sz w:val="28"/>
          <w:szCs w:val="28"/>
          <w:rtl w:val="true"/>
          <w:lang w:bidi="fa-IR"/>
        </w:rPr>
        <w:t>این روایت، اگر ظهور در خصوص سگ هراش نداشته باشد، دست کم شکّی نیست که شامل آن می‌شود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روایت را ظاهر در خصوص کلب هراش دانسته و در نتیجه دلالت بر کلب صیود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 محقّق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روایت بر جواز بیع کلب الصید تمسّک نموده است</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برخی از اساتید نیز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المحتمل جدّا أن یکون ذکر الصید من باب المثال، فیراد منع بیع الکب الذی لا یترتّب علی وجوده فائدة عقلائیة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 الصید لا یختصّ بالهجوم علی حلال اللحم بل یراد به الهجمة علی ما أراد صاحبه التکالب علیه سواء کان إنساناً أو حیواناً حلال اللحم أو حرامه، فیشمل الصیود کلاب الحراسة والتفتیش أیضاً</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به نظر می‌رسد که احتمال اوّل، صحیح است و احتمال دوم، بسیار بعید از مدلول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احتمال اوّل نیز می‌توان خدشه کرد، به این بیان که ذکر صید از باب مثال نیست؛ بلکه در ظاهر روایت، خصوص کلب صید اراده شده است؛ امّا نسبت به دیگر کلاب که منفعت عقلایی دارند، می‌توانیم الغای خصوصیّت کنیم؛ فتدبّر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یَعْقُوبَ عَنْ عَلِیِّ بْنِ مُحَمَّدِ بْنِ بُنْدَارَ عَنْ أَحْمَدَ بْنِ أَبِی عَبْدِ اللّهِ عَنْ مُحَمَّدِ بْنِ عَلِیٍّ عَنْ عَبْدِ الرَّحْمَنِ بْنِ أَبِی هَاشِمٍ عَنِ الْقَاسِمِ بْنِ الْوَلِیدِ الْعَمَّارِیِّ عَنْ عَبْدِ الرَّحْمَنِ الْأَصَمِّ عَنْ مِسْمَعِ بْنِ عَبْدِ الْمَلِکِ عَنْ عَبْدِ اللّهِ الْعَامِرِیِّ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ثَمَنِ الْکَلْبِ الَّذِی لَایَصِیدُ</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سُحْتٌ وَامّا الصَّیُودُ فَلَا بَأْس؛</w:t>
      </w:r>
      <w:r>
        <w:rPr>
          <w:rStyle w:val="FootnoteAnchor"/>
          <w:rtl w:val="true"/>
        </w:rPr>
        <w:footnoteReference w:id="741"/>
      </w:r>
      <w:r>
        <w:rPr>
          <w:rFonts w:ascii="IRNazanin" w:hAnsi="IRNazanin" w:eastAsia="IRNazanin"/>
          <w:color w:val="111111"/>
          <w:sz w:val="28"/>
          <w:sz w:val="28"/>
          <w:szCs w:val="28"/>
          <w:rtl w:val="true"/>
          <w:lang w:bidi="fa-IR"/>
        </w:rPr>
        <w:t>از امام صادق علیه السلام در مورد ثمن سگ غیر شکاری پرسیدم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ولی معاملۀ سگ شکاری،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اوّل در روضة المتّقین</w:t>
      </w:r>
      <w:r>
        <w:rPr>
          <w:rStyle w:val="FootnoteAnchor"/>
          <w:rtl w:val="true"/>
        </w:rPr>
        <w:footnoteReference w:id="742"/>
      </w:r>
      <w:r>
        <w:rPr>
          <w:rFonts w:ascii="IRNazanin" w:hAnsi="IRNazanin" w:eastAsia="IRNazanin"/>
          <w:color w:val="111111"/>
          <w:sz w:val="28"/>
          <w:sz w:val="28"/>
          <w:szCs w:val="28"/>
          <w:rtl w:val="true"/>
          <w:lang w:bidi="fa-IR"/>
        </w:rPr>
        <w:t>سند را به عنوان قوی مطرح نموده است، در حالی که مجلسی دوّم در مرآة العقول سند را ضعیف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نیز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العامری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خویی قدس سره در معجم الرجال الحدیث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محمّد بن بندار همان علی بن محمّد ابی القاسم است که ثقه است</w:t>
      </w:r>
      <w:r>
        <w:rPr>
          <w:rFonts w:eastAsia="IRNazanin" w:cs="IRNazanin"/>
          <w:color w:val="111111"/>
          <w:sz w:val="28"/>
          <w:szCs w:val="28"/>
          <w:rtl w:val="true"/>
          <w:lang w:bidi="fa-IR"/>
        </w:rPr>
        <w:t>».</w:t>
      </w:r>
      <w:r>
        <w:rPr>
          <w:rStyle w:val="FootnoteAnchor"/>
          <w:rtl w:val="true"/>
        </w:rPr>
        <w:footnoteReference w:id="743"/>
      </w:r>
      <w:r>
        <w:rPr>
          <w:rFonts w:ascii="IRNazanin" w:hAnsi="IRNazanin" w:eastAsia="IRNazanin"/>
          <w:color w:val="111111"/>
          <w:sz w:val="28"/>
          <w:sz w:val="28"/>
          <w:szCs w:val="28"/>
          <w:rtl w:val="true"/>
          <w:lang w:bidi="fa-IR"/>
        </w:rPr>
        <w:t>امّا محقّق تستری در قاموس الرجال چنین عقیده‌ای ندارد</w:t>
      </w:r>
      <w:r>
        <w:rPr>
          <w:rFonts w:eastAsia="IRNazanin" w:cs="IRNazanin"/>
          <w:color w:val="111111"/>
          <w:sz w:val="28"/>
          <w:szCs w:val="28"/>
          <w:rtl w:val="true"/>
          <w:lang w:bidi="fa-IR"/>
        </w:rPr>
        <w:t>.</w:t>
      </w:r>
      <w:r>
        <w:rPr>
          <w:rStyle w:val="FootnoteAnchor"/>
          <w:rtl w:val="true"/>
        </w:rPr>
        <w:footnoteReference w:id="744"/>
      </w:r>
      <w:r>
        <w:rPr>
          <w:rFonts w:ascii="IRNazanin" w:hAnsi="IRNazanin" w:eastAsia="IRNazanin"/>
          <w:color w:val="111111"/>
          <w:sz w:val="28"/>
          <w:sz w:val="28"/>
          <w:szCs w:val="28"/>
          <w:rtl w:val="true"/>
          <w:lang w:bidi="fa-IR"/>
        </w:rPr>
        <w:t>در سند این روایت، ولید العماری و عبداللّه العامری مجهول‌اند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ضعف سند با عمل مشهور منجبر است، همان طور که صاحب مناهل قدس سره به این امر تصریح نموده است</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 xml:space="preserve">یک نکته این‌که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صیغۀ مبالغه است، آیا در حکم دخالتی دارد یا ندارد؟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که در این روایت، دو طرف مسئله ذکر شده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یصید، سحت است و صیود اشکالی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بهترین شاهد است بر این‌که ما در این بحث، نیازی به قاعدۀ اصولیِ حجّیت مفاهیم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عِدَّةٍ مِنْ أَصْحَابِنَا عَنْ سَهْلِ بْنِ زِیَادٍ عَنِ الْحَسَنِ بْنِ عَلِیٍّ الْقَاسَانِیِّ عَنِ الرِّضا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وَثَمَنُ الْکَلْبِ سُحْتٌ</w:t>
      </w:r>
      <w:r>
        <w:rPr>
          <w:rFonts w:eastAsia="Amiri" w:cs="Amiri" w:ascii="Amiri" w:hAnsi="Amiri"/>
          <w:color w:val="111111"/>
          <w:sz w:val="28"/>
          <w:szCs w:val="28"/>
          <w:rtl w:val="true"/>
          <w:lang w:bidi="ar-SA"/>
        </w:rPr>
        <w:t>.</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در این روایت، امام رضا علیه السلام بیع سگ را به‌طور مطلق حرام می‌دانند و بین سگ شکاری و غیر شکاری تفاوتی نگذاشته‌اند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سند این روایت، بحثی در رجال و درایه واقع شده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بارها در کافی تکرار شده، همان دو یا سه نفری هستند که مشخّص و معتبر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حسن بن علی القاسانی، حسن بن علی الوشّاء است که از جانب صاحب وسائل قدس سره به اشتباه ذکر شده است؛ وی از وجوه طائفۀ امامیّه و از اصحاب امام 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سهل بن زیاد نیز که مشهور او را قبول نمی‌کنند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تحقیقی که در محلّ خود انجام داده‌ایم، با توجّه به قرائن متعدّد، معتبر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وَعَنْهُ عَنِ الْقَاسِمِ بْنِ مُحَمَّدٍ عَنْ عَلِیٍّ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ثَمَنِ کَلْبِ الصَّیْدِ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بِثَمَنِهِ وَالْآخَرُ لَایَحِلُّ ثَمَنُهُ؛</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در این روایت، ابو بصیر از امام صادق علیه السلام در مورد معاملۀ سگ شکاری می‌پرسد که ایشان در جواب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امّا معاملۀ سگ غیر شکاری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وَبِهَذَا الْإِسْنَادِ عَنْ أَبِی عَبْدِاللّهِ علیه السلام فِی حَدِیثٍ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الْخَمْرِ وَمَهْرُ الْبَغِیِّ وَثَمَنُ الْکَلْبِ الَّذِی لَایَصْطَادُ مِنَ السُّحْتِ</w:t>
      </w:r>
      <w:r>
        <w:rPr>
          <w:rFonts w:eastAsia="Amiri" w:cs="Amiri" w:ascii="Amiri" w:hAnsi="Amiri"/>
          <w:color w:val="111111"/>
          <w:sz w:val="28"/>
          <w:szCs w:val="28"/>
          <w:rtl w:val="true"/>
          <w:lang w:bidi="ar-SA"/>
        </w:rPr>
        <w:t>.</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در این روایت نیز معاملۀ سگ غیر شکاری، حرام دانسته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السُّحْتُ ثَمَنُ الْمَیْتَةِ وَثَمَنُ الْکَلْبِ وَثَمَنُ الْخَمْرِ وَمَهْرُ الْبَغِیِّ وَالرِّشْوَةُ فِی الْحُکْمِ وَأَجْرُ الْکَاهِنِ</w:t>
      </w:r>
      <w:r>
        <w:rPr>
          <w:rFonts w:eastAsia="Amiri" w:cs="Amiri" w:ascii="Amiri" w:hAnsi="Amiri"/>
          <w:color w:val="111111"/>
          <w:sz w:val="28"/>
          <w:szCs w:val="28"/>
          <w:rtl w:val="true"/>
          <w:lang w:bidi="ar-SA"/>
        </w:rPr>
        <w:t>.</w:t>
      </w:r>
      <w:r>
        <w:rPr>
          <w:rStyle w:val="FootnoteAnchor"/>
          <w:rtl w:val="true"/>
        </w:rPr>
        <w:footnoteReference w:id="749"/>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امام صادق علیه السلام ثمن سگ را از مصادیق سحت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قدس سره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به اطلاق چنین روایاتی تمسّک کرد؛ یعنی هنگامی که 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السحت ثمن المیتة وثمن الکلب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نمی‌توان این جمله را شامل سگ شکاری و غیرشکاری قرار داد؛ چراکه شارع در این گونه روایات در مقام بیان حکم هر یک از انواع سگ نیست، بلکه فقط قصد شمارش عناوینی را دارد که مصداق سحت‌اند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هنگامی که در این روایت، ثمن سگ حرام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روایت، هم شامل سگ شکاری می‌شود و هم سگ غیر شکاری</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ثمرۀ این سخن، در این‌جا ظاهر می‌شود که شمار روایات مطلق در مقایسه با روایات مقیّد، بسیار زیاد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اصولیان در بحث‌های اصولی این است که حتّی اگر ده روایت مطلق و فقط یک روایت مقیّد داشته باشیم، این روایت مقیّد می‌تواند همۀ روایات مطلق را تقیید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اصولیان گاهی در فقه هنگامی که تعداد روایات مطلق بسیار است، کثرت آنها را قرینه‌ای قرار می‌دهند تا بر اساس آن، تنها روایت مقیّد موجود را بر استحباب حمل کنند و مطلقات را به‌وسیلۀ این روایت مقیّد، تقیید نزنند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ثمرۀ کلام امام خمینی قدس سره این است که اگر ما این روایات را به عنوان روایات مطلق به شمار آوردیم، چه بسا کثرت آنها باعث شود نتوانیم که آنها را به‌وسیلۀ روایت مقیّد تقیید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این روایات را مطلق محسوب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هفتم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عِدَّةٍ مِنْ أَصْحَابِنَا عَنْ سَهْلِ بْنِ زِیَادٍ عَنِ الْحَسَنِ بْنِ عَلِیٍّ الْوَشَّاءِ قَالَ</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أَبُو الْحَسَنِ الرِّضَا علیه السلام عَنْ شِرَاءِ الْمُغَنِّیَةِ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تَکُونُ لِلرَّجُلِ الْجَارِیَةُ تُلْهِیهِ وَمَا ثَمَنُهَا إِلاَّ ثَمَنُ کَلْبٍ وَثَمَنُ الْکَلْبِ سُحْتٌ وَالسُّحْتُ فِی النَّارِ؛</w:t>
      </w:r>
      <w:r>
        <w:rPr>
          <w:rStyle w:val="FootnoteAnchor"/>
          <w:rtl w:val="true"/>
        </w:rPr>
        <w:footnoteReference w:id="751"/>
      </w:r>
      <w:r>
        <w:rPr>
          <w:rFonts w:ascii="IRNazanin" w:hAnsi="IRNazanin" w:eastAsia="IRNazanin"/>
          <w:color w:val="111111"/>
          <w:sz w:val="28"/>
          <w:sz w:val="28"/>
          <w:szCs w:val="28"/>
          <w:rtl w:val="true"/>
          <w:lang w:bidi="fa-IR"/>
        </w:rPr>
        <w:t>از امام رضا علیه السلام دربارۀ خرید کنیز آوازه‌خوان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w:t>
      </w:r>
      <w:bookmarkStart w:id="887" w:name="pg13785_135302"/>
    </w:p>
    <w:p>
      <w:pPr>
        <w:pStyle w:val="BookText"/>
        <w:rPr/>
      </w:pPr>
      <w:bookmarkEnd w:id="887"/>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مرد کنیزی دارد که برای او آواز می‌خواند؛ پولی که برای این کنیز پرداخت می‌شود، مانند پولی است که در مقابل خرید سگ می‌دهند و پول سگ از مصادیق سحت و حرام است</w:t>
      </w:r>
      <w:r>
        <w:rPr>
          <w:rFonts w:eastAsia="IRNazanin" w:cs="IRNazanin"/>
          <w:color w:val="111111"/>
          <w:sz w:val="28"/>
          <w:szCs w:val="28"/>
          <w:rtl w:val="true"/>
          <w:lang w:bidi="fa-IR"/>
        </w:rPr>
        <w:t>.</w:t>
      </w:r>
    </w:p>
    <w:p>
      <w:pPr>
        <w:pStyle w:val="Heading6"/>
        <w:numPr>
          <w:ilvl w:val="5"/>
          <w:numId w:val="1"/>
        </w:numPr>
        <w:rPr/>
      </w:pPr>
      <w:bookmarkStart w:id="888" w:name="__RefHeading___Toc2531373_1468164448"/>
      <w:bookmarkStart w:id="889" w:name="_Toc342"/>
      <w:bookmarkEnd w:id="888"/>
      <w:r>
        <w:rPr>
          <w:rtl w:val="true"/>
        </w:rPr>
        <w:t>ج</w:t>
      </w:r>
      <w:r>
        <w:rPr>
          <w:rtl w:val="true"/>
        </w:rPr>
        <w:t xml:space="preserve">) </w:t>
      </w:r>
      <w:r>
        <w:rPr>
          <w:rtl w:val="true"/>
        </w:rPr>
        <w:t>چند نکته دربارۀ روایات</w:t>
      </w:r>
      <w:bookmarkEnd w:id="889"/>
    </w:p>
    <w:p>
      <w:pPr>
        <w:pStyle w:val="BookText"/>
        <w:rPr/>
      </w:pPr>
      <w:r>
        <w:rPr>
          <w:rFonts w:ascii="IRNazanin" w:hAnsi="IRNazanin" w:eastAsia="IRNazanin"/>
          <w:color w:val="111111"/>
          <w:sz w:val="28"/>
          <w:sz w:val="28"/>
          <w:szCs w:val="28"/>
          <w:rtl w:val="true"/>
          <w:lang w:bidi="fa-IR"/>
        </w:rPr>
        <w:t>در این‌جا چند نکته باید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پیش‌تر گفتیم، استناد به این روایات نیازی به حجّیت مفهوم ندارد؛ چون امام علیه السلام در این روایت، دو طرفش را ذکر کرده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کلبی که صید می‌کند، اشکالی ندارد و کلبی که صید نمی‌کند،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مفاهیم خوانده‌ایم که هرچند می‌گویند مفهوم حجّیت ندارد، ولی قول به عدم حجّیت مفهوم به معنای بی‌فایده بودن این قید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بگوییم جملۀ شرطیه مفهوم ندارد، در این‌صورت معنای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رجلاً إن کان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است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منحصره نیست؛ ولی این گونه نیست که وجودش کالعدم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اگر ما فقط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الکلب الذی لا یصید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داشتیم، در صورتی‌که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جملات نیز مفهوم ندارند، معنای عدم مفهوم این است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انحصاری برای حکم نیست، نه این‌که این قید، وجودش مانند نبودنش است و هیچ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مفاهیم فقط در صورتی که قرینه نباشد، قائل به عدم مفهوم می‌شوند، در حالی که در این روایات، مولا با آوردن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احتراز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سگی که صید می‌کند اشکالی ندارد، پس مفهوم کلام او این است که ثمن سگ غیر شکاری اشکال دارد</w:t>
      </w:r>
      <w:r>
        <w:rPr>
          <w:rFonts w:eastAsia="IRNazanin" w:cs="IRNazanin"/>
          <w:color w:val="111111"/>
          <w:sz w:val="28"/>
          <w:szCs w:val="28"/>
          <w:rtl w:val="true"/>
          <w:lang w:bidi="fa-IR"/>
        </w:rPr>
        <w:t>.</w:t>
      </w:r>
    </w:p>
    <w:p>
      <w:pPr>
        <w:pStyle w:val="Heading6"/>
        <w:numPr>
          <w:ilvl w:val="5"/>
          <w:numId w:val="1"/>
        </w:numPr>
        <w:rPr/>
      </w:pPr>
      <w:bookmarkStart w:id="890" w:name="__RefHeading___Toc2531375_1468164448"/>
      <w:bookmarkStart w:id="891" w:name="_Toc343"/>
      <w:bookmarkEnd w:id="890"/>
      <w:r>
        <w:rPr>
          <w:rtl w:val="true"/>
        </w:rPr>
        <w:t>د</w:t>
      </w:r>
      <w:r>
        <w:rPr>
          <w:rtl w:val="true"/>
        </w:rPr>
        <w:t xml:space="preserve">) </w:t>
      </w:r>
      <w:r>
        <w:rPr>
          <w:rtl w:val="true"/>
        </w:rPr>
        <w:t>دیدگاه امام خمینی</w:t>
      </w:r>
      <w:bookmarkEnd w:id="891"/>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قدس سره، در چند مرحله، نکاتی را دربارۀ این بحث مطرح کرده‌اند؛ لیکن پیش از بررسی این نکات باید به این مسئله توجّه کنیم که مقام علمی، فقهی و اصولی امام</w:t>
      </w:r>
    </w:p>
    <w:p>
      <w:pPr>
        <w:pStyle w:val="BookText"/>
        <w:rPr/>
      </w:pPr>
      <w:r>
        <w:rPr>
          <w:rFonts w:ascii="IRNazanin" w:hAnsi="IRNazanin" w:eastAsia="IRNazanin"/>
          <w:color w:val="111111"/>
          <w:sz w:val="28"/>
          <w:sz w:val="28"/>
          <w:szCs w:val="28"/>
          <w:rtl w:val="true"/>
          <w:lang w:bidi="fa-IR"/>
        </w:rPr>
        <w:t>خمینی قدس سره هنوز هم بر حوزه‌های خود ما روشن نشده است، که چه مقدار عمق فقهی در این مرد بزرگ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همین بحث که ایشان مطرح فرموده‌اند، هنرهای اجتهادی بسیاری را از خود نشان داده و مطالبی را بیان کرده‌اند که پیش از وی دیگران نگفته‌اند و ایشان آنها را به عنوان روش اجتهادی خود بیان نموده است؛ چراکه در این بحث، اگر ما باشیم و ظاهر چند روایت، از ظاهر روایت‌ها استفاده می‌شود که بر حرمت بیع کلاب غیر از سگ شکاری، اجماع وجود دارد؛ ولی با دقّت و تأمّلی که ایشان در کلمات فقها داشته‌اند، به نتیجه‌ای متفاوت می‌رسند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اجماع نداریم، بلکه شهرت میان فقیهان متقدّم بر جواز بیع سگ‌های سودمند وجود داشته است</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بنا بر این، ما ابتدا روش ایشان را به صورت اجمالی بیان نموده و سپس به‌طور مفصّل آن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اجمالاً روش ایشان در این بحث،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ایشان اثبات می‌کنند که در بحث حرمت بیع کلب، روایت مطلقه‌ای که در مقام بیان باشد و همۀ اقسام کلاب را حرام کند،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ایشان دربارۀ استثنایی که در روایات دربارۀ سگ شکاری وارد شده و بیع آن اجازه داده‌اند و نیز دربارۀ خود سگ شکاری، چهار احتمال را مطرح کرده و 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الذی یصید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عموم و خصوص من وجه وجود دارد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ادامه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مشهور که به صورت ساده می‌گویند یک روایت مطلق داریم و یک روایت مقیّد، پس باید مطلق را بر مقیّد حمل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چند عنوان از عناوینی که از این روایات به دست می‌آید را ذکر می‌کند و نسبت میان همۀ عناوین را عموم و خصوص من وجه قرار می‌دهد و سپس دربارۀ حکم مادّۀ اجتماع آنها گفتگو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ایشان در مرحلۀ بعد، در مقام اثبات جواز بیع کلاب نافعه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سگ‌های سودمند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برمی‌آید و می‌خواهد این را از راه قواعد استفاده کند و شهرت آن در میان متقدّمین و متأخّرین را ثابت نمایند؛ یعنی هرچند ممکن است برخی از روایات بر عدم جواز بیع سگ غیرشکاری دلالت کنند، ولی شهرت بین قدما و متاخّرین بر این است که سگ سودمندی که مثلاً نگهبانی می‌دهد،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اجمالیِ دیدگاه امام خمینی قدس سره، اکنون به بررسی تفصیلی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قدس سره پیش از ورود به روایات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نوع کلب داریم که عبارت‌اند از کلب سلوقی و غیر سلوقی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استفاده می‌شود که بیع کلب سلوقی جایز است؛ لیکن کلب غیر سلوقی خودش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نفع عقلایی دارد و یا هیچ نفع عقلایی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هیچ نفع عقلایی بر آن مترتّب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دیوانه‌ای که مرض هاری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روایات بر عدم جواز بیع آن دلالت می‌کنند؛ ولی در جایی‌که نفع عقلایی بر آن مترتّب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شکاری، نگهبان، ماشیه و حائط یا سگی که برای کشف جرائم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ببینیم که حکم این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غیر سلوقی که نفع دیگری غیر از شکار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Style w:val="FootnoteAnchor"/>
          <w:rtl w:val="true"/>
        </w:rPr>
        <w:footnoteReference w:id="753"/>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ایشان پس از بیان این تقسیم، به بررسی روایات ورود پیدا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مربوط به کلب بر دو قسم‌اند؛ زیرا در گروهی از آنها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به‌خاطر همین، ممکن است کسی گمان کند که این روایات بر حرمت بیع همۀ انواع کلب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نظر ما نمی‌توان از این گونه روایات، اطلاق‌گیری کرده و حرمت بیع سگ را به‌طور مطلق استفاده نمود؛ چراکه روایت 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می‌خواهد انواع سحت را معرّفی نماید و قصد ندارد حکم هر یک از اقسام کلب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به اطلاق آن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روایت حسن بن علی وشاء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مقام بیان اقسام سگ نیست؛ بلکه تنها ثمن کنیز خواننده را به ثمن سگ تشبیه کرده است؛ چون برای صحّت این تشبیه همین‌که در میان سگ‌ها، معاملۀ یک نوع آن حرام باشد، کافی است</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جَعْفَرٍ فِی قُرْبِ الْإِسْنَادِ عَنْ مُحَمَّدِ بْنِ الْحُسَیْنِ عَنْ إِبْرَاهِیمَ بْنِ أَبِی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الْأَوَّلِ علیه السلام جُعِلْتُ فِدَاکَ إِنَّ رَجُلاً مِنْ مَوَالِیکَ عِنْدَهُ جَوَارٍ مُغَنِّیَاتٌ قِیمَتُهُنَّ أَرْبَعَةَ عَشَرَ أَلْفَ دِینَارٍ وَقَدْ جَعَلَ لَکَ ثُلُثَهَا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لَاحَاجَةَ لِی فِیهَا إِنَّ ثَمَنَ الْکَلْبِ وَالْمُغَنِّیَةِ سُحْتٌ؛</w:t>
      </w:r>
      <w:r>
        <w:rPr>
          <w:rStyle w:val="FootnoteAnchor"/>
          <w:rtl w:val="true"/>
        </w:rPr>
        <w:footnoteReference w:id="755"/>
      </w:r>
      <w:r>
        <w:rPr>
          <w:rFonts w:ascii="IRNazanin" w:hAnsi="IRNazanin" w:eastAsia="IRNazanin"/>
          <w:color w:val="111111"/>
          <w:sz w:val="28"/>
          <w:sz w:val="28"/>
          <w:szCs w:val="28"/>
          <w:rtl w:val="true"/>
          <w:lang w:bidi="fa-IR"/>
        </w:rPr>
        <w:t>به امام کاظم علیه السلام گفته شد که یکی از دوستداران شما، کنیزان خواننده دارد که قیمت آنها چهارده هزار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فروخته و گفته می‌خواهم یک سوم آن را برای امام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پول نیاز نداریم و پولی که در مقابل سگ و زن خواننده داده می‌شود،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قدس سره در مورد این روایت نیز معتقد است که روایت، در مقام بیان اقسام سگ نیست؛ بلکه در مقام تحقیر ثمن مغنیه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به نظر می‌رسد که پذیرفتن دیدگاه امام خمینی قدس سره در این‌جا مشکل است؛ زیرا فهم عرفی از این روایت، این گونه است که حضرت علیه السلام برای بیان آلوده بودن ثمن زن خواننده، ثمن سگ را نیز به‌طور مطلق کنار آن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اطلاق قابل اعتناست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روایت دیگری آمده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عَنِ النَّضْرِ عَنِ الْقَاسِمِ بْنِ سُلَیْمَانَ عَنْ جَرَّاحٍ الْمَدَائِنِیِّ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w:t>
      </w:r>
    </w:p>
    <w:p>
      <w:pPr>
        <w:pStyle w:val="BookText"/>
        <w:rPr/>
      </w:pPr>
      <w:r>
        <w:rPr>
          <w:rFonts w:ascii="Amiri" w:hAnsi="Amiri" w:eastAsia="Amiri" w:cs="Amiri"/>
          <w:color w:val="111111"/>
          <w:sz w:val="28"/>
          <w:sz w:val="28"/>
          <w:szCs w:val="28"/>
          <w:rtl w:val="true"/>
          <w:lang w:bidi="ar-SA"/>
        </w:rPr>
        <w:t>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أَکْلِ السُّحْتِ ثَمَنُ الْخَمْرِ وَنَهَی عَنْ ثَمَنِ الْکَلْبِ</w:t>
      </w:r>
      <w:r>
        <w:rPr>
          <w:rFonts w:eastAsia="Amiri" w:cs="Amiri" w:ascii="Amiri" w:hAnsi="Amiri"/>
          <w:color w:val="111111"/>
          <w:sz w:val="28"/>
          <w:szCs w:val="28"/>
          <w:rtl w:val="true"/>
          <w:lang w:bidi="ar-SA"/>
        </w:rPr>
        <w:t>.</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در این روایت، از ثمن سگ به‌طور مطلق نهی شده است؛ امّا امام خمینی قدس سره روایت را ضعیف السند می‌داند؛ چون در سند آن قاسم بن سلیمان وجود دارد که ضعیف است</w:t>
      </w:r>
      <w:r>
        <w:rPr>
          <w:rFonts w:eastAsia="IRNazanin" w:cs="IRNazanin"/>
          <w:color w:val="111111"/>
          <w:sz w:val="28"/>
          <w:szCs w:val="28"/>
          <w:rtl w:val="true"/>
          <w:lang w:bidi="fa-IR"/>
        </w:rPr>
        <w:t>.</w:t>
      </w:r>
      <w:r>
        <w:rPr>
          <w:rStyle w:val="FootnoteAnchor"/>
          <w:rtl w:val="true"/>
        </w:rPr>
        <w:footnoteReference w:id="757"/>
      </w:r>
      <w:r>
        <w:rPr>
          <w:rFonts w:ascii="IRNazanin" w:hAnsi="IRNazanin" w:eastAsia="IRNazanin"/>
          <w:color w:val="111111"/>
          <w:sz w:val="28"/>
          <w:sz w:val="28"/>
          <w:szCs w:val="28"/>
          <w:rtl w:val="true"/>
          <w:lang w:bidi="fa-IR"/>
        </w:rPr>
        <w:t>به علاوه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روایت نیز مقداری اضطراب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نهایت می‌توان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وجود روایات مطلق در باب معاملۀ سگ را رد می‌کنند؛ ولی به نظر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بیان 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وجود چنین روایاتی را انکار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دستۀ دوم روایات که همان روایات خاص است،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دسته از روایات،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صورت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الصید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سگ شکاری و گاهی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الذی یصید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الذی لایصید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قدس سره این دو عنوان را متفاوت می‌داند و دربارۀ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یصید والذی لایصید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احتمال را مطرح نموده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فقط معاملۀ سگ سلوقی، خواه برای صید و خواه برای غیر آن، جایز است و معاملۀ سگ‌های غیر سلوقی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که این احتمال، خلاف ظاهر روایات است؛ زیرا عنوان صید در این دسته از روایات موضوعیت دارد و با وجود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معاملۀ سگ‌های سلوقی جایز و غیر آن باطل است</w:t>
      </w:r>
      <w:r>
        <w:rPr>
          <w:rFonts w:eastAsia="IRNazanin" w:cs="IRNazanin"/>
          <w:color w:val="111111"/>
          <w:sz w:val="28"/>
          <w:szCs w:val="28"/>
          <w:rtl w:val="true"/>
          <w:lang w:bidi="fa-IR"/>
        </w:rPr>
        <w:t>.</w:t>
      </w:r>
      <w:r>
        <w:rPr>
          <w:rStyle w:val="FootnoteAnchor"/>
          <w:rtl w:val="true"/>
        </w:rPr>
        <w:footnoteReference w:id="758"/>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مقصود روایات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سگ آموزش دیده و مقصودشان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سگ آموزش ندیده باشد؛ یعنی مضمون روایات این است که اگر سگی</w:t>
      </w:r>
    </w:p>
    <w:p>
      <w:pPr>
        <w:pStyle w:val="BookText"/>
        <w:rPr/>
      </w:pPr>
      <w:r>
        <w:rPr>
          <w:rFonts w:ascii="IRNazanin" w:hAnsi="IRNazanin" w:eastAsia="IRNazanin"/>
          <w:color w:val="111111"/>
          <w:sz w:val="28"/>
          <w:sz w:val="28"/>
          <w:szCs w:val="28"/>
          <w:rtl w:val="true"/>
          <w:lang w:bidi="fa-IR"/>
        </w:rPr>
        <w:t xml:space="preserve">برای کاری از قبیل شکار، نگهبانی و مانند آن آموزش دیده باشد، معاملۀ آن جایز است؛ ولی خرید و فروش سگ‌های غیر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این روایات انصراف دارد به این‌که عنوان صید، دخالت در حکم ندارد و قید صید، نشان دهندۀ عنوان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به نظر می‌رسد که این احتمال نیز صحیح نیست؛ زیرا حتّی اگر دربارۀ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بتوان گفت که این عبارت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انصراف دارد، ولی دربارۀ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الذی لایصید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نمی‌توان این ادّعا را مطرح کرد؛ زیرا ظاهرش این است که می‌خواهد وصف صید را به‌طور کلّی سلب کند و دربارۀ سگی که اصلاً شکار نمی‌کند، حکمی را صادر نماید، نه سگی که آموزش ندیده است؛ یعنی اگر در روایات فقط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پذیرش این انصراف ممکن بود؛ ولی از آن‌جا که دو عنوان داریم و 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سلبی است، نمی‌توان این ادّعا را پذیرفت</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این توضیح را نیز ما به کلام امام علیه السلام اضافه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اخص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سلب اعم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امام خمینی قدس سره دربارۀ مسئلۀ معلَّم و غیر معلَّم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روایتی از روایات بیع کلب، مسئلۀ معلَّم و غیر معلَّم مطرح نشده و مورد اشاره هم قرار نگرفته است؛ بلکه در بحث صید و ذبائح است که مسئلۀ معلّم و غیر معلم را مطرح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این تعبیر در روایات محلّ بحث وجود ندارد و فقط در کلمات فقها مانند شیخ طوسی قدس سره آمده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الصید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سگی باشد که به‌منظور شکارخریداری شود؛ یعنی قصد خریدار این باشد که برای شکار از آن استفاده کند، حتّی اگر شکاری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این احتمال نیز خلاف ظاهر روایات است</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مراد از کلب الصید، سگی است که عنوان شکاری بودن بر آن صدق کند؛ یعنی اگر این عنوان بر سگ صدق کند، در این صورت خرید و فروش او مانعی ندارد، خواه برای شکار استفاده شود و خواه برای کار دیگری همچون نگهبانی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سگی است که ملکۀ شکار کردن را داشته باشد و این صفت از او زائل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باید دانست که هر سگ آموزش دیده‌ای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سگ شکاری است؛ چون تا سگی ملکۀ شکار نداشته باشد، نمی‌تواند سگ مزرعه، سگ باغ و یا سگ نگهبان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هنگامی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الصید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سگی باشد که ملکۀ شکار را داراست، تنها سگ‌های ولگردی که این ملکه از آنها زائل شده است از محدودۀ حکم جواز خارج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حتّی سگ‌هایی را که برخی به عنوان زینت می‌خرند و نگهداری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امروزه نیز متأسفانه این فرهنگ غربی در میان عدّه‌ای رایج شده و پول‌های گزافی برای آن می‌پردازند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عنوان مهملات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 و از حکم جواز خارج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حکم برای این گونه سگ‌ها قابل تأمّل است و شاید بتوان گفت چنین سگ‌هایی مالیّت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کسی در اشکال به ایشان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روایات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الصید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سگی است که برای شکار استفاده می‌شود و خصوص داشتن ملکه کافی نیست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پاسخ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انصراف را قبول نداریم؛ زیرا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الذی لایصید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سگی است که ملکۀ صید از او زائل شده است، وگرنه به سگی که ملکه دارد ولی اکنون شکار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نمی‌گویند، پس به قرینۀ مقابلۀ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نمی‌توان این انصراف را پذیرفت</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پس در این مرحله، امام خمینی قدس سره چهار احتمال را ذکر کردند و احتمال چهارم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پایان به این نتیجه رسیدند که خرید و فروش هر سگی که نفعی دارد جایز است، مگر سگ‌های ولگرد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نفعی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قدس سره در مرحلۀ سوم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روایات این باب، سه عنوان استفاده می‌شود که عبارت‌اند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الصید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الذی یصید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الذی لایصید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عنوان اوّل و دوم در این است که سگ شکاری، شامل سگ‌های باغ و مزرعه و مانند آن نمی‌شود؛ ولی سگی که شکار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ملکۀ شکار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سایر سگ‌های نافع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نسبت به دو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الذی لایصید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فرض وجود دارد که در هر سه فرض، بین آنها عموم و خصوص من وجه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کلب الصید سلوقی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قریه‌ای در یمن منسوب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این‌صورت نسبت این عنوان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الذی لا یصید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و خصوص من وجه خواهد بود؛ زیرا ممکن است یک سگ، سلوقی باشد و صید کند و یا سلوقی باشد و صید نکند و یا غیر سلوقی باشد و صید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الصید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کلب سلوقی باشد که برای صید اخذ می‌شود، در این‌صورت معنای مقابلش عبارت خواهد بود از کلب سلوقی که برای صید اخذ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باز هم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الذی لایصید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الذی یصید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خصوص من وجه تصوّر می‌شود؛ زیرا در این‌جا سه فرد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 سلوقی که برای شکار آن را اخذ کرده‌اند، کلب سلوقی که برای شکار آن را اخذ نکرده‌اند، کلب غیر سلوقی که آن را برای شکار اخذ کرده‌اند و روشن است که هر دو عنوان، در این فرد سوم اجتماع می‌کنند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الصید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سگی باشد که شغل فعلی او شکار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الذی لا یصید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سگی باشد که شغل فعلی او شکار نیست، در این‌صورت</w:t>
      </w:r>
      <w:bookmarkStart w:id="892" w:name="pg13785_135310"/>
    </w:p>
    <w:p>
      <w:pPr>
        <w:pStyle w:val="BookText"/>
        <w:rPr/>
      </w:pPr>
      <w:bookmarkEnd w:id="892"/>
      <w:r>
        <w:rPr>
          <w:rFonts w:ascii="IRNazanin" w:hAnsi="IRNazanin" w:eastAsia="IRNazanin"/>
          <w:color w:val="111111"/>
          <w:sz w:val="28"/>
          <w:sz w:val="28"/>
          <w:szCs w:val="28"/>
          <w:rtl w:val="true"/>
          <w:lang w:bidi="fa-IR"/>
        </w:rPr>
        <w:t>نیز میان این دو عنوان نسبت عموم و خصوص من وجه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قدس سره پس از بیان این فرض‌ها،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فرض‌های سه‌گانه در مورد مادّۀ اجتماع، باید بر اساس قواعد باب تعارض و تعادل و تراجیح عمل کنیم و روشن است که بر اساس این قواعد، در مادّۀ اجتماع باید به عمومات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عموماتی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اقتضا می‌کنند که بیع همۀ کلاب نافعه،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فقط بیع کلابی که منفعت محللّۀ عقلایی ندارند و به آنها کلاب مهمله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جایز نیست</w:t>
      </w:r>
      <w:r>
        <w:rPr>
          <w:rFonts w:eastAsia="IRNazanin" w:cs="IRNazanin"/>
          <w:color w:val="111111"/>
          <w:sz w:val="28"/>
          <w:szCs w:val="28"/>
          <w:rtl w:val="true"/>
          <w:lang w:bidi="fa-IR"/>
        </w:rPr>
        <w:t>.</w:t>
      </w:r>
      <w:r>
        <w:rPr>
          <w:rStyle w:val="FootnoteAnchor"/>
          <w:rtl w:val="true"/>
        </w:rPr>
        <w:footnoteReference w:id="762"/>
      </w:r>
    </w:p>
    <w:p>
      <w:pPr>
        <w:pStyle w:val="Heading6"/>
        <w:numPr>
          <w:ilvl w:val="5"/>
          <w:numId w:val="1"/>
        </w:numPr>
        <w:rPr/>
      </w:pPr>
      <w:bookmarkStart w:id="893" w:name="__RefHeading___Toc2531377_1468164448"/>
      <w:bookmarkStart w:id="894" w:name="_Toc344"/>
      <w:bookmarkEnd w:id="893"/>
      <w:r>
        <w:rPr>
          <w:rtl w:val="true"/>
        </w:rPr>
        <w:t>ه</w:t>
      </w:r>
      <w:r>
        <w:rPr>
          <w:rtl w:val="true"/>
        </w:rPr>
        <w:t xml:space="preserve">) </w:t>
      </w:r>
      <w:r>
        <w:rPr>
          <w:rtl w:val="true"/>
        </w:rPr>
        <w:t>بررسی و نقد دیدگاه امام خمینی</w:t>
      </w:r>
      <w:bookmarkEnd w:id="894"/>
    </w:p>
    <w:p>
      <w:pPr>
        <w:pStyle w:val="BookText"/>
        <w:rPr/>
      </w:pPr>
      <w:r>
        <w:rPr>
          <w:rFonts w:ascii="IRNazanin" w:hAnsi="IRNazanin" w:eastAsia="IRNazanin"/>
          <w:color w:val="111111"/>
          <w:sz w:val="28"/>
          <w:sz w:val="28"/>
          <w:szCs w:val="28"/>
          <w:rtl w:val="true"/>
          <w:lang w:bidi="fa-IR"/>
        </w:rPr>
        <w:t>دربارۀ دیدگاه امام خمینی قدس سره، نکاتی وجود داردکه به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اطلاق هیچ یک از روایات را نمی‌پذیرند، در حالی که گفته شد برخی از روایات مطلق‌اند و می‌توان به اطلاق آنها تمسّک کرد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عقیدۀ ایشان، نسبت میان دو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الذی لایصید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و خصوص من وجه است؛ ولی این سخن صحیح نیست؛ زیرا هنگامی می‌توان میان دو عنوان، نسبت سنجی کرد که دو حکم و دو متعلّق وجود داشته باشد، در حالی که در این بحث دو حکم وجود ندارد؛ بلکه فقط یک استثنا برای حرمت وجود دارد که متعلّق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گاهی در برخی از تعابیر جنبۀ مثبت آن در نظر گرفته شده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گاهی جنبۀ نفی آن در نظر گرفته شده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الذی لایصید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اگر از اوّل بدانیم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و سپس مولا برای اخراج فاسق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الذی یکون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الذی لیس بفاسق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دو حکم و دو متعلّق وجود ندارد؛ بلکه یکی از آنها تعبیری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مسئله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استثنایی است که گاهی آن را به‌طور مثبت و گاهی به صورت منفی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مجالی برای نسبت سنجی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قدس سره داشتن ملکۀ شکار را شرط جواز معامله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پرسشی که مطرح می‌شود این است که آیا خود صید، موضوعیت دارد یا همان طور که پیش از این گفته شد صید، یک مصداق برای سگ آموزش دیده است؟</w:t>
      </w:r>
    </w:p>
    <w:p>
      <w:pPr>
        <w:pStyle w:val="BookText"/>
        <w:rPr/>
      </w:pPr>
      <w:r>
        <w:rPr>
          <w:rFonts w:ascii="IRNazanin" w:hAnsi="IRNazanin" w:eastAsia="IRNazanin"/>
          <w:color w:val="111111"/>
          <w:sz w:val="28"/>
          <w:sz w:val="28"/>
          <w:szCs w:val="28"/>
          <w:rtl w:val="true"/>
          <w:lang w:bidi="fa-IR"/>
        </w:rPr>
        <w:t xml:space="preserve">اگر صید به خودی خود، موضوعیت داشته باشد، در این‌صورت بر اساس مقتضای ادلّه، فقط معاملۀ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خواهد بود و معاملۀ سایر سگ‌های مفید جایز نیست؛ ولی اگر به عنوان مصداقی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باشد، معاملۀ سایر سگ‌های آموزش دیده نیز جایز خواهد بود، چه برای نگهبانی آموزش دیده باشند چه کارهای دیگر</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توضیح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دربارۀ روایات به این نتیجه رسیدیم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ملکه و عنوان ذاتی</w:t>
      </w:r>
      <w:r>
        <w:rPr>
          <w:rStyle w:val="FootnoteAnchor"/>
          <w:rtl w:val="true"/>
        </w:rPr>
        <w:footnoteReference w:id="764"/>
      </w:r>
      <w:r>
        <w:rPr>
          <w:rFonts w:ascii="IRNazanin" w:hAnsi="IRNazanin" w:eastAsia="IRNazanin"/>
          <w:color w:val="111111"/>
          <w:sz w:val="28"/>
          <w:sz w:val="28"/>
          <w:szCs w:val="28"/>
          <w:rtl w:val="true"/>
          <w:lang w:bidi="fa-IR"/>
        </w:rPr>
        <w:t>برای کلب مطرح شده است، در این‌صورت، خرید و فروش سگی که این ملکه را دارد جایز است هرچند به قصد صید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بیع سگی که این ملکه را ندارد، جایز نیست، حتّی اگر از جهات دیگر مفید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به این نتیجه برسیم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ملکه ذکر نشده است، بلکه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مصادیق سگ آموزش 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همین‌که به سگ گرفتن صید را آموزش داده باشند، از نظر روایات کافی است و روایات، کاری به این‌که صید برای او ملکه شده باشد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این‌صورت می‌توانیم از سگ شکاری به سگ‌های دیگر نیز تعدّی کنیم و بیع آنها را نیز جایز بشماریم</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برای یافتن پاسخ، به بررسی آیۀ چهارم از سورۀ مائده می‌پردازیم؛ چراکه با</w:t>
      </w:r>
    </w:p>
    <w:p>
      <w:pPr>
        <w:pStyle w:val="BookText"/>
        <w:rPr/>
      </w:pPr>
      <w:r>
        <w:rPr>
          <w:rFonts w:ascii="IRNazanin" w:hAnsi="IRNazanin" w:eastAsia="IRNazanin"/>
          <w:color w:val="111111"/>
          <w:sz w:val="28"/>
          <w:sz w:val="28"/>
          <w:szCs w:val="28"/>
          <w:rtl w:val="true"/>
          <w:lang w:bidi="fa-IR"/>
        </w:rPr>
        <w:t>کمی دقّت در این آیۀ شریفه معلوم می‌گردد که صید، یکی از مصادیق تعلیم و آموزش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خود صید، موضوع مستقلی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موضوعیت دارد، خواه برای صید آموزش دیده باشد، خواه برای محافظت از خانه یا مزرعه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این آیه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ما ذا أُحِلَّ لَهُمْ قُلْ أُحِلَّ لَکُمُ الطَّیِّباتُ وَما عَلَّمْتُمْ مِنَ الْجَوارِحِ مُکَلِّبینَ تُعَلِّمُونَهُنَّ مِمّا عَلَّمَکُمُ اللّهُ</w:t>
      </w:r>
      <w:r>
        <w:rPr>
          <w:rFonts w:eastAsia="Amiri" w:cs="Amiri" w:ascii="Amiri" w:hAnsi="Amiri"/>
          <w:color w:val="111111"/>
          <w:sz w:val="28"/>
          <w:szCs w:val="28"/>
          <w:rtl w:val="true"/>
          <w:lang w:bidi="ar-SA"/>
        </w:rPr>
        <w:t>»</w:t>
      </w:r>
      <w:r>
        <w:rPr>
          <w:rStyle w:val="FootnoteAnchor"/>
          <w:rtl w:val="true"/>
        </w:rPr>
        <w:footnoteReference w:id="765"/>
      </w:r>
      <w:r>
        <w:rPr>
          <w:rFonts w:ascii="IRNazanin" w:hAnsi="IRNazanin" w:eastAsia="IRNazanin"/>
          <w:color w:val="111111"/>
          <w:sz w:val="28"/>
          <w:sz w:val="28"/>
          <w:szCs w:val="28"/>
          <w:rtl w:val="true"/>
          <w:lang w:bidi="fa-IR"/>
        </w:rPr>
        <w:t>از تو سؤال می‌کنند چه چیزی برای آنها حلال است، بگو طیّبات و آن سگ‌هایی که آموزش داده‌اید از آنچه که خدا به شما یاد داده است</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جارحه و در این‌جا به معنای سگ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این معناست که اگر به سگ دستور شکار داده شد، اجابت کند و اگر دستور رها کردن داده شد، شکار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سگی که چنین خصوصیتی داشته باشد، سگ معلَّم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این تعلیم یک امر ملکه‌ای نیست؛ بلکه عنوان یادگیری را دارد، مثل این‌که یاد می‌گیرد صاحبش کیست، یا این‌که یاد می‌گیرد محدودۀ این خانه یا مزرعه چقدر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اصولیان در باب وضع، نظریه‌ای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که از نظریۀ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روان‌شناسی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نظریه، تکرار زیاد یک عمل موجب یادگیری می‌شود حتّی برای حیوانی مانند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می‌فهمد که اگر صاحبش دست خود را بالا آورد، باید به شکار برود و اگر پایین آورد، باید شکار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شرطی بودن یکی از اقسام آموزش و تعلیم است و ربطی به ملکه بودن ندارد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مقام بیان حکم خرید و فروش سگ نیست؛ بلکه صرفاً می‌خواهد بگوید اگر سگ آموزش دیده‌ای شکار کرد و بسم اللّه نیز گفته شد، در این صورت خوردن آن شکار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شارع، شکار یک سگ آموزش دیده را مباح می‌داند، یعنی این سگ منفعت عقلایی و شرعی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ملازمۀ روشن عرفی، خرید و فروش آن هم جایز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دقّت کرد که هر سگ آموزش دیده‌ای، قابل خرید و فروش نیست؛ بلکه ضابطه‌ای که از آیۀ شریفه به دست می‌آید این است که اگر سگی برای منفعت حلالی آموزش دید، قابل خرید و فروش است؛ چراکه ممکن است برای کشتن انسان یا دزدی آموزش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معاملۀ سگ‌هایی که برای منفعت عقلایی و حلال آموزش دیده‌اند، از نظر شارع مقدّس مانعی ندارد و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 اساس این مبنا می‌توان معاملۀ سگ‌های پاکوتاه که حالت زینتی دارند و آموزش می‌بینند که کجا بنشینند، کجا بروند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جایز دانست؛ هرچند همۀ این مطالب جدای از مسئلۀ نجاست سگ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دیدگاه امام خمینی قدس سره این است که معاملۀ سگ‌های نافع جایز است، خواه معلَّم باشند خواه غیر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فقط خرید و فروش سگ‌های مهمل و ولگرد را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در اشکال به فتوای ایشان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مستلزم تخصیص اکثر است؛ زیرا اگر شارع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 الکلب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سگ‌های نافع را استثنا کند، شمار این سگ‌ها به قدری زیاد است که اکثریت را تشکیل می‌دهند و استثنای آنها مستلزم تخصیص اکثر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ایشان در پاسخ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شمار سگ‌های ولگرد نسبت به سگ‌های نافع بسیار بیشتر است</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سپس ایشان برای فتوای خود سه مؤیّد ذکر می‌کنند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تحف العقول بر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المیتة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است؛ زیرا خرید و فروش شیء نجس را به قصد منفعت حلال، جایز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می‌تواند روایات این باب را تفسیر کند و نشانۀ این است که وقتی گفته می‌شود معاملۀ</w:t>
      </w:r>
    </w:p>
    <w:p>
      <w:pPr>
        <w:pStyle w:val="BookText"/>
        <w:rPr/>
      </w:pPr>
      <w:r>
        <w:rPr>
          <w:rFonts w:ascii="IRNazanin" w:hAnsi="IRNazanin" w:eastAsia="IRNazanin"/>
          <w:color w:val="111111"/>
          <w:sz w:val="28"/>
          <w:sz w:val="28"/>
          <w:szCs w:val="28"/>
          <w:rtl w:val="true"/>
          <w:lang w:bidi="fa-IR"/>
        </w:rPr>
        <w:t>سگ حرام است، منظور سگ‌های غیر نافع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محمّدتقی شیرازی قدس سره در حاشیۀ مکاسب، عکس این مطلب را بیان کرده و معتقد است که مورد روایات عام، عمومیت دارد و مورد روایات سگ، افراد کمتری را در برمی‌گیرد و خصوصیت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کم بودن تعداد، موجب می‌شود که روایات عام را تخصیص بزند</w:t>
      </w:r>
      <w:r>
        <w:rPr>
          <w:rFonts w:eastAsia="IRNazanin" w:cs="IRNazanin"/>
          <w:color w:val="111111"/>
          <w:sz w:val="28"/>
          <w:szCs w:val="28"/>
          <w:rtl w:val="true"/>
          <w:lang w:bidi="fa-IR"/>
        </w:rPr>
        <w:t>.</w:t>
      </w:r>
      <w:r>
        <w:rPr>
          <w:rStyle w:val="FootnoteAnchor"/>
          <w:rtl w:val="true"/>
        </w:rPr>
        <w:footnoteReference w:id="768"/>
      </w:r>
      <w:r>
        <w:rPr>
          <w:rFonts w:ascii="IRNazanin" w:hAnsi="IRNazanin" w:eastAsia="IRNazanin"/>
          <w:color w:val="111111"/>
          <w:sz w:val="28"/>
          <w:sz w:val="28"/>
          <w:szCs w:val="28"/>
          <w:rtl w:val="true"/>
          <w:lang w:bidi="fa-IR"/>
        </w:rPr>
        <w:t>لیکن امام خمینی قدس سره در پاسخ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بودن مورد، موجب اظهریت یک روایت نمی‌شود و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افراد روایت، موجب اظهر 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به کلام امام خمینی قدس سره وارد است که در باب حکومت، عرف باید حاکم و محکوم را مرتبط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جا شارع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بین الأقل والأکثر فابن علی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عرف، میان این دو ارتباط می‌بیند، ولی در مسئلۀ مورد بحث، عرف، روایات مخصوص به سگ را مخصِّص روایات عام می‌داند؛ چون در این‌جا به صورت خاص ذکر شده است و در نظر عرف، خاص نسبت به عام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پذیرفتن روایت تحف العقول به عنوان مؤیّد، مشکل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معاملۀ سگ‌های نافع، پیش از زمان شیخ طوسی قدس سره و پس از ایشان، مشهور است و در بین فقها تنها شیخ مفید</w:t>
      </w:r>
      <w:r>
        <w:rPr>
          <w:rStyle w:val="FootnoteAnchor"/>
          <w:rtl w:val="true"/>
        </w:rPr>
        <w:footnoteReference w:id="769"/>
      </w:r>
      <w:r>
        <w:rPr>
          <w:rFonts w:ascii="IRNazanin" w:hAnsi="IRNazanin" w:eastAsia="IRNazanin"/>
          <w:color w:val="111111"/>
          <w:sz w:val="28"/>
          <w:sz w:val="28"/>
          <w:szCs w:val="28"/>
          <w:rtl w:val="true"/>
          <w:lang w:bidi="fa-IR"/>
        </w:rPr>
        <w:t>و ابن سعید قدس سرهما</w:t>
      </w:r>
      <w:r>
        <w:rPr>
          <w:rStyle w:val="FootnoteAnchor"/>
          <w:rtl w:val="true"/>
        </w:rPr>
        <w:footnoteReference w:id="770"/>
      </w:r>
      <w:r>
        <w:rPr>
          <w:rFonts w:ascii="IRNazanin" w:hAnsi="IRNazanin" w:eastAsia="IRNazanin"/>
          <w:color w:val="111111"/>
          <w:sz w:val="28"/>
          <w:sz w:val="28"/>
          <w:szCs w:val="28"/>
          <w:rtl w:val="true"/>
          <w:lang w:bidi="fa-IR"/>
        </w:rPr>
        <w:t>معاملۀ سگ را به صورت مطلق حرام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برای اثبات شهرت، عباراتی را از علاّمۀ حلّی و شیخ طوسی قدس سرهما نقل می‌کند</w:t>
      </w:r>
      <w:r>
        <w:rPr>
          <w:rFonts w:eastAsia="IRNazanin" w:cs="IRNazanin"/>
          <w:color w:val="111111"/>
          <w:sz w:val="28"/>
          <w:szCs w:val="28"/>
          <w:rtl w:val="true"/>
          <w:lang w:bidi="fa-IR"/>
        </w:rPr>
        <w:t>.</w:t>
      </w:r>
      <w:r>
        <w:rPr>
          <w:rStyle w:val="FootnoteAnchor"/>
          <w:rtl w:val="true"/>
        </w:rPr>
        <w:footnoteReference w:id="771"/>
      </w:r>
      <w:r>
        <w:rPr>
          <w:rFonts w:ascii="IRNazanin" w:hAnsi="IRNazanin" w:eastAsia="IRNazanin"/>
          <w:color w:val="111111"/>
          <w:sz w:val="28"/>
          <w:sz w:val="28"/>
          <w:szCs w:val="28"/>
          <w:rtl w:val="true"/>
          <w:lang w:bidi="fa-IR"/>
        </w:rPr>
        <w:t>علاّمۀ حلّی در تذکرة الفقهاء می‌نویسد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جواز بیع الکلاب الّتی لها منفعة محللّه مثل کلب الصید والماشیة والزرع والحائط اجماعی</w:t>
      </w:r>
      <w:r>
        <w:rPr>
          <w:rFonts w:eastAsia="IRNazanin" w:cs="IRNazanin"/>
          <w:color w:val="111111"/>
          <w:sz w:val="28"/>
          <w:szCs w:val="28"/>
          <w:rtl w:val="true"/>
          <w:lang w:bidi="fa-IR"/>
        </w:rPr>
        <w:t>.</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شبیه همین عبارت را ابن زهره قدس سره در غنیة النزوع آورده است</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شیخ طوسی قدس سره نیز در الخلاف در بحث اجاره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یصحّ اجارة کلب الصید للصید، دلیلنا أنّ الأصل جوازه والمنع یحتاج إلی دلیل ولأنّ بیع هذه الکلاب یجوز عندنا</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امام خمینی قدس سره از این عبارات، شهرت را استظهار نموده است؛ ولی هنگامی که عبارات فقها مورد بررسی قرار می‌گیرد، معلوم می‌شود که فقط جواز معاملۀ سگ شکاری اجماعی است و تنها عبارتی که بر ادّعای امام خمینی قدس سره دلالت دارد، عبارت تذکرة الفقهاء است، که البتّه خود علاّمۀ حلّی قدس سره نیز در منتهی المطلب در برابر این سخن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أجمع علمائنا علی تحریم ما عدا کلب الصید وأجمع علمائنا علی جواز بیع کلب الصید واختلفوا فی الثلاثة الباقیة؛</w:t>
      </w:r>
      <w:r>
        <w:rPr>
          <w:rStyle w:val="FootnoteAnchor"/>
          <w:rtl w:val="true"/>
        </w:rPr>
        <w:footnoteReference w:id="775"/>
      </w:r>
      <w:r>
        <w:rPr>
          <w:rFonts w:ascii="IRNazanin" w:hAnsi="IRNazanin" w:eastAsia="IRNazanin"/>
          <w:color w:val="111111"/>
          <w:sz w:val="28"/>
          <w:sz w:val="28"/>
          <w:szCs w:val="28"/>
          <w:rtl w:val="true"/>
          <w:lang w:bidi="fa-IR"/>
        </w:rPr>
        <w:t>علمای ما بر تحریم سگ‌های غیر شکاری اجماع دارند و در خصوص معاملۀ سگ شکاری بر جواز آن اجماع کرده و در سه تای دیگر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قدس سره نیز در بحث بیع کتاب الخلاف، تنها در مورد سگ شکاری ادّعای اجماع کرده است</w:t>
      </w:r>
      <w:r>
        <w:rPr>
          <w:rFonts w:eastAsia="IRNazanin" w:cs="IRNazanin"/>
          <w:color w:val="111111"/>
          <w:sz w:val="28"/>
          <w:szCs w:val="28"/>
          <w:rtl w:val="true"/>
          <w:lang w:bidi="fa-IR"/>
        </w:rPr>
        <w:t>.</w:t>
      </w:r>
      <w:r>
        <w:rPr>
          <w:rStyle w:val="FootnoteAnchor"/>
          <w:rtl w:val="true"/>
        </w:rPr>
        <w:footnoteReference w:id="776"/>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آنچه که مؤیّد نظر امام خمینی قدس سره قرار می‌گیرد، همان کلام علاّمۀ حلّی در تذکرة الفقهاء است؛ لیکن سایر فقها و حتّی خود علاّمۀ حلّی قدس سره در منتهی المطلب، تنها معاملۀ سگ شکاری را جایز می‌دانند و دربارۀ آن ادّعای اجماع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مقام حتّی اگر اجماع یا شهرت ثابت شوند نیز هیچ کدام فایده‌ای ندارند؛ چون مستند به روایات می‌باشند، مگر آن‌که اجماع مدرکی را قبول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قابل توجّه این است که شیخ طوسی قدس سره در کتاب الخلاف گاهی ادّعای اجماع می‌کند، در حالی که در زمانِ خود ایشان نیز بین علمای شیعه اختلاف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ایشان از این ادّعای اجماع می‌تواند به یکی از چند صورت زیر توجیه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در یک مسئله‌ای نصّ صریح و روشن وجود دارد و به خاطر آن شیخ طوسی ادّعای اجماع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نص را ببیند برطبق آن فتوا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نیز مسئله‌ای مبتنی بر اصل برائت است و چون این اصل مورد اجماع علماست، شیخ طوسی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محقّق بروجردی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الخلاف هرجا که ادّعای اجماع کرده است، به عنوان یک دلیل اقناعی آن را ذکر می‌کند؛ چراکه مخاطب ایشان، اهل‌سنّت نیز بوده‌اند و به خاطر همین، اگر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این فتوا، حدیث امام صادق یا امام باقر علیهما السلام است، آنها قبول نمی‌کردند، ولی اجماع را می‌پذیرفتند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این مؤیّد هم پذیرفتنی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مؤیّد برای این‌که چرا معاملۀ سگ‌های نافع جایز است، سیرۀ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قدس سره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سیرۀ مسلمان‌ها در تمام عصرها حتّی عصر ائمه علیهم السلام بر این بوده است که کلاب نافع را مال می‌دانستند و با آن معاملۀ مال و ملک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آنها را خرید و فروش می‌نمودند، اجاره می‌دادند، آثار ملکیت را بر آن بار می‌کردند، هبه می‌کردند، وقف می‌کردند و غیر ذلک</w:t>
      </w:r>
      <w:r>
        <w:rPr>
          <w:rFonts w:eastAsia="IRNazanin" w:cs="IRNazanin"/>
          <w:color w:val="111111"/>
          <w:sz w:val="28"/>
          <w:szCs w:val="28"/>
          <w:rtl w:val="true"/>
          <w:lang w:bidi="fa-IR"/>
        </w:rPr>
        <w:t>.</w:t>
      </w:r>
      <w:r>
        <w:rPr>
          <w:rStyle w:val="FootnoteAnchor"/>
          <w:rtl w:val="true"/>
        </w:rPr>
        <w:footnoteReference w:id="777"/>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هرچند این سیره وجود دارد، ولی هنگامی سیره حجّیت دارد که امضا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بحث ما در مقابل همین سیره‌ای که ایشان ذکر کرده‌اند، استثنا هم وجود دارد؛ یعنی همان مسلمانانی که سگ‌های نافع را معامله می‌کردند، معاملۀ سگ‌های غیر معلَّم را جایز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سیره فقط اصل معامله شدن سگ را ثابت می‌کند، ولی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جواز بیع، در مورد همه سگ‌های</w:t>
      </w:r>
      <w:bookmarkStart w:id="895" w:name="pg13785_135317"/>
    </w:p>
    <w:p>
      <w:pPr>
        <w:pStyle w:val="BookText"/>
        <w:rPr/>
      </w:pPr>
      <w:bookmarkEnd w:id="895"/>
      <w:r>
        <w:rPr>
          <w:rFonts w:ascii="IRNazanin" w:hAnsi="IRNazanin" w:eastAsia="IRNazanin"/>
          <w:color w:val="111111"/>
          <w:sz w:val="28"/>
          <w:sz w:val="28"/>
          <w:szCs w:val="28"/>
          <w:rtl w:val="true"/>
          <w:lang w:bidi="fa-IR"/>
        </w:rPr>
        <w:t>نافع و معلَّم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سیره، دلیل لبّی است و در دلیل لبّی باید به قدر متیقّن بسنده کرد و قدر متیقّن این سیره، جواز معاملۀ سگ شکاری است، نه همۀ سگ‌های نافع و نه همۀ سگ‌های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دیدگاه امام خمینی قدس سره صحیح به 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ملاکی که از آیۀ شریفه استفاده شد، دانستیم که معاملۀ سگ‌های آموزش 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منفعت حلال جایز است؛ ولی سگ‌های ولگرد و غیر معلَّم را نمی‌توان خرید و فروش کرد</w:t>
      </w:r>
      <w:r>
        <w:rPr>
          <w:rFonts w:eastAsia="IRNazanin" w:cs="IRNazanin"/>
          <w:color w:val="111111"/>
          <w:sz w:val="28"/>
          <w:szCs w:val="28"/>
          <w:rtl w:val="true"/>
          <w:lang w:bidi="fa-IR"/>
        </w:rPr>
        <w:t>.</w:t>
      </w:r>
    </w:p>
    <w:p>
      <w:pPr>
        <w:pStyle w:val="Heading4"/>
        <w:numPr>
          <w:ilvl w:val="3"/>
          <w:numId w:val="1"/>
        </w:numPr>
        <w:rPr/>
      </w:pPr>
      <w:bookmarkStart w:id="896" w:name="__RefHeading___Toc2531379_1468164448"/>
      <w:bookmarkStart w:id="897" w:name="_Toc345"/>
      <w:bookmarkEnd w:id="896"/>
      <w:r>
        <w:rPr>
          <w:rtl w:val="true"/>
        </w:rPr>
        <w:t>گفتار دوم</w:t>
      </w:r>
      <w:r>
        <w:rPr>
          <w:rtl w:val="true"/>
        </w:rPr>
        <w:t xml:space="preserve">: </w:t>
      </w:r>
      <w:r>
        <w:rPr>
          <w:rtl w:val="true"/>
        </w:rPr>
        <w:t>معاملۀ خوک</w:t>
      </w:r>
      <w:bookmarkEnd w:id="897"/>
    </w:p>
    <w:p>
      <w:pPr>
        <w:pStyle w:val="Heading5"/>
        <w:numPr>
          <w:ilvl w:val="4"/>
          <w:numId w:val="1"/>
        </w:numPr>
        <w:rPr/>
      </w:pPr>
      <w:bookmarkStart w:id="898" w:name="__RefHeading___Toc2531381_1468164448"/>
      <w:bookmarkStart w:id="899" w:name="_Toc346"/>
      <w:bookmarkEnd w:id="898"/>
      <w:r>
        <w:rPr>
          <w:rtl w:val="true"/>
        </w:rPr>
        <w:t>اشارة</w:t>
      </w:r>
      <w:bookmarkEnd w:id="899"/>
    </w:p>
    <w:p>
      <w:pPr>
        <w:pStyle w:val="BookText"/>
        <w:rPr/>
      </w:pPr>
      <w:r>
        <w:rPr>
          <w:rFonts w:ascii="IRNazanin" w:hAnsi="IRNazanin" w:eastAsia="IRNazanin"/>
          <w:color w:val="111111"/>
          <w:sz w:val="28"/>
          <w:sz w:val="28"/>
          <w:szCs w:val="28"/>
          <w:rtl w:val="true"/>
          <w:lang w:bidi="fa-IR"/>
        </w:rPr>
        <w:t>بحث دربارۀ معاملۀ خوک در ضمن سه بند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 اوّل حکم معاملۀ خوک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 دوم این بحث مطرح می‌گردد که در صورت جواز معاملۀ خوک، انتفاع از آنچه حکمی دارد؟ و در بند سوم نیز دربارۀ حکم استفاده از اجزای خوگ گفتگو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نکته نیز الزامی است که مراد از خوک، خوکی است که در خشکی زندگی می‌کند و خوک دریایی مورد بحث نیست</w:t>
      </w:r>
      <w:r>
        <w:rPr>
          <w:rFonts w:eastAsia="IRNazanin" w:cs="IRNazanin"/>
          <w:color w:val="111111"/>
          <w:sz w:val="28"/>
          <w:szCs w:val="28"/>
          <w:rtl w:val="true"/>
          <w:lang w:bidi="fa-IR"/>
        </w:rPr>
        <w:t>.</w:t>
      </w:r>
    </w:p>
    <w:p>
      <w:pPr>
        <w:pStyle w:val="Heading5"/>
        <w:numPr>
          <w:ilvl w:val="4"/>
          <w:numId w:val="1"/>
        </w:numPr>
        <w:rPr/>
      </w:pPr>
      <w:bookmarkStart w:id="900" w:name="__RefHeading___Toc2531383_1468164448"/>
      <w:bookmarkStart w:id="901" w:name="_Toc347"/>
      <w:bookmarkEnd w:id="900"/>
      <w:r>
        <w:rPr>
          <w:rtl w:val="true"/>
        </w:rPr>
        <w:t>بند اوّل</w:t>
      </w:r>
      <w:r>
        <w:rPr>
          <w:rtl w:val="true"/>
        </w:rPr>
        <w:t xml:space="preserve">: </w:t>
      </w:r>
      <w:r>
        <w:rPr>
          <w:rtl w:val="true"/>
        </w:rPr>
        <w:t>حکم معاملۀ خوک</w:t>
      </w:r>
      <w:bookmarkEnd w:id="901"/>
    </w:p>
    <w:p>
      <w:pPr>
        <w:pStyle w:val="Heading6"/>
        <w:numPr>
          <w:ilvl w:val="5"/>
          <w:numId w:val="1"/>
        </w:numPr>
        <w:rPr/>
      </w:pPr>
      <w:bookmarkStart w:id="902" w:name="__RefHeading___Toc2531385_1468164448"/>
      <w:bookmarkStart w:id="903" w:name="_Toc348"/>
      <w:bookmarkEnd w:id="902"/>
      <w:r>
        <w:rPr>
          <w:rtl w:val="true"/>
        </w:rPr>
        <w:t>اشارة</w:t>
      </w:r>
      <w:bookmarkEnd w:id="903"/>
    </w:p>
    <w:p>
      <w:pPr>
        <w:pStyle w:val="BookText"/>
        <w:rPr/>
      </w:pPr>
      <w:r>
        <w:rPr>
          <w:rFonts w:ascii="IRNazanin" w:hAnsi="IRNazanin" w:eastAsia="IRNazanin"/>
          <w:color w:val="111111"/>
          <w:sz w:val="28"/>
          <w:sz w:val="28"/>
          <w:szCs w:val="28"/>
          <w:rtl w:val="true"/>
          <w:lang w:bidi="fa-IR"/>
        </w:rPr>
        <w:t>برای بررسی حکم معاملۀ خوک پس از بررسی عبارات فقها و روایات موجود در این باب، در نهایت، نتیجۀ مباحث مطرح می‌شود</w:t>
      </w:r>
      <w:r>
        <w:rPr>
          <w:rFonts w:eastAsia="IRNazanin" w:cs="IRNazanin"/>
          <w:color w:val="111111"/>
          <w:sz w:val="28"/>
          <w:szCs w:val="28"/>
          <w:rtl w:val="true"/>
          <w:lang w:bidi="fa-IR"/>
        </w:rPr>
        <w:t>.</w:t>
      </w:r>
    </w:p>
    <w:p>
      <w:pPr>
        <w:pStyle w:val="Heading6"/>
        <w:numPr>
          <w:ilvl w:val="5"/>
          <w:numId w:val="1"/>
        </w:numPr>
        <w:rPr/>
      </w:pPr>
      <w:bookmarkStart w:id="904" w:name="__RefHeading___Toc2531387_1468164448"/>
      <w:bookmarkStart w:id="905" w:name="_Toc349"/>
      <w:bookmarkEnd w:id="904"/>
      <w:r>
        <w:rPr>
          <w:rtl w:val="true"/>
        </w:rPr>
        <w:t>الف</w:t>
      </w:r>
      <w:r>
        <w:rPr>
          <w:rtl w:val="true"/>
        </w:rPr>
        <w:t xml:space="preserve">) </w:t>
      </w:r>
      <w:r>
        <w:rPr>
          <w:rtl w:val="true"/>
        </w:rPr>
        <w:t>عبارات فقها</w:t>
      </w:r>
      <w:bookmarkEnd w:id="905"/>
    </w:p>
    <w:p>
      <w:pPr>
        <w:pStyle w:val="BookText"/>
        <w:rPr/>
      </w:pPr>
      <w:r>
        <w:rPr>
          <w:rFonts w:ascii="IRNazanin" w:hAnsi="IRNazanin" w:eastAsia="IRNazanin"/>
          <w:color w:val="111111"/>
          <w:sz w:val="28"/>
          <w:sz w:val="28"/>
          <w:szCs w:val="28"/>
          <w:rtl w:val="true"/>
          <w:lang w:bidi="fa-IR"/>
        </w:rPr>
        <w:t>بزرگان ما همچون شیخ انصاری قدس سره در کتاب المکاسب هنگامی که می‌خواهند اقوال در یک مسئلۀ فقهی را مطرح کنند، از شیخ طوسی شروع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شیخ طوسی که شیخ الطائفه بوده است، برای مجتهدین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بروجردی قدس سره که از اعاظم فقها و اصوایین قرن اخیر بوده است نیز در روش فقهی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شاگردان ایشان بیان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از قول شیخ طوسی قدس سره مطلب را شروع می‌کرده‌اند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قدس سره در کتاب الخلاف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لایجوز بیع شیء من المسوخ مثل القرد والخنزیر والدب والثعلب والإرنب والذئب والفیل وقال الشافعی کلّما ینتفع به یجوز بیعه مثل القرد والفیل وغیر ذلک دلیلنا اجماع الفرقه وأیضاً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إذا حرّم شیئاً حرّم 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الأشیاء محرّمة اللحم بلاخلاف إلّاالثعلب فإنّ فیه خلافاً</w:t>
      </w:r>
      <w:r>
        <w:rPr>
          <w:rFonts w:eastAsia="IRNazanin" w:cs="IRNazanin"/>
          <w:color w:val="111111"/>
          <w:sz w:val="28"/>
          <w:szCs w:val="28"/>
          <w:rtl w:val="true"/>
          <w:lang w:bidi="fa-IR"/>
        </w:rPr>
        <w:t>.</w:t>
      </w:r>
      <w:r>
        <w:rPr>
          <w:rStyle w:val="FootnoteAnchor"/>
          <w:rtl w:val="true"/>
        </w:rPr>
        <w:footnoteReference w:id="778"/>
      </w:r>
      <w:r>
        <w:rPr>
          <w:rFonts w:ascii="IRNazanin" w:hAnsi="IRNazanin" w:eastAsia="IRNazanin"/>
          <w:color w:val="111111"/>
          <w:sz w:val="28"/>
          <w:sz w:val="28"/>
          <w:szCs w:val="28"/>
          <w:rtl w:val="true"/>
          <w:lang w:bidi="fa-IR"/>
        </w:rPr>
        <w:t>خرید و فروش موجوداتی که مسخ شده‌اند، جایز نیست، مانند بوزینه، خوک، خرس، روباه، خرگوش، گرگ و فیل و چیزهای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گفته معاملۀ هر چیزی که بشود از آن استفاده کرد جایز است مثل بوزینه، فیل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اجماع امامیّه است و همچنین حدیث نبوی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هرگاه چیزی را حرام کند، ثمن آن را نیز حرام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موارد نیز بدون هیچ اختلافی، حرام گوشت هستند و فقط در حکم روباه اختلاف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اجماعی که ایشان در این‌جا مطرح کرده است، با یکی از سه توجیهی که در باب معاملۀ سگ گفته شد، قابل توجیه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النهایة نیز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لحم الخنزیر فبیعه وهبته وأکله حرام وکذلک کلّ ما کان من الخنزیر من شعرٍ وجلدٍ وشحمٍ وغیر ذلک؛</w:t>
      </w:r>
      <w:r>
        <w:rPr>
          <w:rStyle w:val="FootnoteAnchor"/>
          <w:rtl w:val="true"/>
        </w:rPr>
        <w:footnoteReference w:id="779"/>
      </w:r>
      <w:r>
        <w:rPr>
          <w:rFonts w:ascii="IRNazanin" w:hAnsi="IRNazanin" w:eastAsia="IRNazanin"/>
          <w:color w:val="111111"/>
          <w:sz w:val="28"/>
          <w:sz w:val="28"/>
          <w:szCs w:val="28"/>
          <w:rtl w:val="true"/>
          <w:lang w:bidi="fa-IR"/>
        </w:rPr>
        <w:t>از جمله مکاسب محرّمه، گوشت خوک است که فروختن، هدیّه دادن و خوردن آن حرام است؛ همچنین مو و پوست و دنبۀ آن نیز حرام 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بحث ما دربارۀ خرید و فروش مجموع خوک زنده است، نه معاملۀ گوشت، پوست یا موی آن؛ یعنی بحث ما در این‌جا دربارۀ کسی است که می‌خواهد خوک زنده را بفروشد، نه کسی که می‌خواهد گوشت آن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از عبارت شیخ طوسی قدس سره در النهایة، نمی‌توان در این بحث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ایشان در المبسوط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نجس العین مثل الکلب والخنزیر والفأرة والخمر والدم وما توالد منهم وجمیع المسوخ وما توالد من ذلک أو من أحدها فلا یجوز بیعه ولا إجارته ولا الإنتفاع به ولا إقتنائه بحال اجماعاً إلّاالکلب فإنّ فیه خلافاً؛</w:t>
      </w:r>
      <w:r>
        <w:rPr>
          <w:rStyle w:val="FootnoteAnchor"/>
          <w:rtl w:val="true"/>
        </w:rPr>
        <w:footnoteReference w:id="780"/>
      </w:r>
      <w:r>
        <w:rPr>
          <w:rFonts w:ascii="IRNazanin" w:hAnsi="IRNazanin" w:eastAsia="IRNazanin"/>
          <w:color w:val="111111"/>
          <w:sz w:val="28"/>
          <w:sz w:val="28"/>
          <w:szCs w:val="28"/>
          <w:rtl w:val="true"/>
          <w:lang w:bidi="fa-IR"/>
        </w:rPr>
        <w:t>خرید و فروش، اجاره و انتفاع از نجس العین، مانند سگ، خوک، فضله موش، شراب، خون و هرآنچه از آنها متولّد می‌شود و همۀ مسخ شده‌ها و هرچه که از آنها متولّد می‌شود، اجماعاً حرام است، غیر از سگ که اختلافی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عبارت، این است که حتّی اگر خوک، انتفاع حلالی هم داشته باشد، مثلاً برای شخم زدن استفاده شود یا در باغ وحش از آن نگهداری کنند، باز هم خرید و فروش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قدس سره در منتهی المطلب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أجمع العلماء کافّة علی تحریم بیع المیتة والخمر والخنزیر، بالنصّ والإجماع؛</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علما بر تحریم بیع میته، خمر و خنزیر، به نص و اجماع استدلال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نراقی قدس سره نیز چنین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حرمة التکسّب بهما إجماعیّة؛</w:t>
      </w:r>
      <w:r>
        <w:rPr>
          <w:rStyle w:val="FootnoteAnchor"/>
          <w:rtl w:val="true"/>
        </w:rPr>
        <w:footnoteReference w:id="782"/>
      </w:r>
      <w:r>
        <w:rPr>
          <w:rFonts w:ascii="IRNazanin" w:hAnsi="IRNazanin" w:eastAsia="IRNazanin"/>
          <w:color w:val="111111"/>
          <w:sz w:val="28"/>
          <w:sz w:val="28"/>
          <w:szCs w:val="28"/>
          <w:rtl w:val="true"/>
          <w:lang w:bidi="fa-IR"/>
        </w:rPr>
        <w:t>حرمت معاملۀ سگ و خوک اجماعی است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بررسی کلام برخی از بزرگان، مشاهده شد که ایشان ادّعای اجماع بر حرمت معاملۀ خوک دارند، امّا از آن‌جا که این اجماع مستند به روایات است، نمی‌تواند به عنوان دلیل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روایات موجود در این باب مورد بررسی قرار گیرد</w:t>
      </w:r>
      <w:r>
        <w:rPr>
          <w:rFonts w:eastAsia="IRNazanin" w:cs="IRNazanin"/>
          <w:color w:val="111111"/>
          <w:sz w:val="28"/>
          <w:szCs w:val="28"/>
          <w:rtl w:val="true"/>
          <w:lang w:bidi="fa-IR"/>
        </w:rPr>
        <w:t>.</w:t>
      </w:r>
      <w:bookmarkStart w:id="906" w:name="pg13785_135320"/>
    </w:p>
    <w:p>
      <w:pPr>
        <w:pStyle w:val="Heading6"/>
        <w:numPr>
          <w:ilvl w:val="5"/>
          <w:numId w:val="1"/>
        </w:numPr>
        <w:rPr/>
      </w:pPr>
      <w:bookmarkStart w:id="907" w:name="__RefHeading___Toc2531389_1468164448"/>
      <w:bookmarkStart w:id="908" w:name="_Toc350"/>
      <w:bookmarkEnd w:id="906"/>
      <w:bookmarkEnd w:id="907"/>
      <w:r>
        <w:rPr>
          <w:rtl w:val="true"/>
        </w:rPr>
        <w:t>ب</w:t>
      </w:r>
      <w:r>
        <w:rPr>
          <w:rtl w:val="true"/>
        </w:rPr>
        <w:t xml:space="preserve">) </w:t>
      </w:r>
      <w:r>
        <w:rPr>
          <w:rtl w:val="true"/>
        </w:rPr>
        <w:t>بررسی روایات</w:t>
      </w:r>
      <w:bookmarkEnd w:id="908"/>
    </w:p>
    <w:p>
      <w:pPr>
        <w:pStyle w:val="BookText"/>
        <w:rPr/>
      </w:pPr>
      <w:r>
        <w:rPr>
          <w:rFonts w:ascii="IRNazanin" w:hAnsi="IRNazanin" w:eastAsia="IRNazanin"/>
          <w:color w:val="111111"/>
          <w:sz w:val="28"/>
          <w:sz w:val="28"/>
          <w:szCs w:val="28"/>
          <w:rtl w:val="true"/>
          <w:lang w:bidi="fa-IR"/>
        </w:rPr>
        <w:t>دربارۀ خوک، روایات پرشماری وجود دارد که می‌توان آنها را به گونه‌های مختلفی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تقسیمی که محقّق خویی قدس سره در مصباح الفقاهه ذکر کرده‌اند،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روایات بر حرمت تکلیفی و وضعی بیع خوک و گروهی دیگر بر صحّت وضعی و حرمت تکلیفی‌اش دلالت دارند؛ یعنی اگر کسی بیع خوک را انجام داد کار حرامی را مرتکب شده است، امّا بیع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تقسیم‌بندی به لحاظ بایع است؛ زیرا از برخی روایات استفاده می‌شود که بیع خوک مطلقاً باطل و حرام است، چه بایعش مسلمان باشد و چه ذمّی؛ و از برخی دیگر استفاده می‌شود که بیع خوک مطلقاً صحیح است، خواه بایعش مسلمان باشد و خواه ذمّی؛ و از گروه سوم هم تفصیل استفاده می‌شود؛ یعنی برخی از روایات میان جایی که بایع مسلمان باشد با جایی که بایع ذمّی باشد، فرق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بحث، بر اساس تقسیم بندی دوم پیش می‌رویم و در ضمن بحث، از تقسیم‌بندی نخست نیز استفاده می‌کنیم</w:t>
      </w:r>
      <w:r>
        <w:rPr>
          <w:rFonts w:eastAsia="IRNazanin" w:cs="IRNazanin"/>
          <w:color w:val="111111"/>
          <w:sz w:val="28"/>
          <w:szCs w:val="28"/>
          <w:rtl w:val="true"/>
          <w:lang w:bidi="fa-IR"/>
        </w:rPr>
        <w:t>.</w:t>
      </w:r>
    </w:p>
    <w:p>
      <w:pPr>
        <w:pStyle w:val="Heading6"/>
        <w:numPr>
          <w:ilvl w:val="5"/>
          <w:numId w:val="1"/>
        </w:numPr>
        <w:rPr/>
      </w:pPr>
      <w:bookmarkStart w:id="909" w:name="__RefHeading___Toc2531391_1468164448"/>
      <w:bookmarkStart w:id="910" w:name="_Toc351"/>
      <w:bookmarkEnd w:id="909"/>
      <w:r>
        <w:rPr/>
        <w:t>1</w:t>
      </w:r>
      <w:r>
        <w:rPr>
          <w:rtl w:val="true"/>
        </w:rPr>
        <w:t xml:space="preserve">- </w:t>
      </w:r>
      <w:r>
        <w:rPr>
          <w:rtl w:val="true"/>
        </w:rPr>
        <w:t>دستۀ اوّل روایات</w:t>
      </w:r>
      <w:bookmarkEnd w:id="910"/>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یکم</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نخستین روایت می‌توان به عبارتی از روایت تحف العقول اشاره کرد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شیء من وجوه الحرام</w:t>
      </w:r>
      <w:r>
        <w:rPr>
          <w:rFonts w:eastAsia="IRNazanin" w:cs="IRNazanin"/>
          <w:color w:val="111111"/>
          <w:sz w:val="28"/>
          <w:szCs w:val="28"/>
          <w:rtl w:val="true"/>
          <w:lang w:bidi="fa-IR"/>
        </w:rPr>
        <w:t>»</w:t>
      </w:r>
      <w:r>
        <w:rPr>
          <w:rStyle w:val="FootnoteAnchor"/>
          <w:rtl w:val="true"/>
        </w:rPr>
        <w:footnoteReference w:id="783"/>
      </w:r>
      <w:r>
        <w:rPr>
          <w:rFonts w:ascii="IRNazanin" w:hAnsi="IRNazanin" w:eastAsia="IRNazanin"/>
          <w:color w:val="111111"/>
          <w:sz w:val="28"/>
          <w:sz w:val="28"/>
          <w:szCs w:val="28"/>
          <w:rtl w:val="true"/>
          <w:lang w:bidi="fa-IR"/>
        </w:rPr>
        <w:t>و برای وجوه حرام، معاملۀ مردار، خون و گوشت خوک را مثال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روایت، ضابطه‌ای معرّفی شده است که بر اساس آن، معاملۀ هر چیزی که در آن فساد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مشکل این‌جاست که در این روایت، بحث از گوشت خوک مطرح شده است، در حالی که بحث ما دربارۀ حکم معاملۀ خوک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از این روایت در این بحث استفاده نمود</w:t>
      </w:r>
      <w:r>
        <w:rPr>
          <w:rFonts w:eastAsia="IRNazanin" w:cs="IRNazanin"/>
          <w:color w:val="111111"/>
          <w:sz w:val="28"/>
          <w:szCs w:val="28"/>
          <w:rtl w:val="true"/>
          <w:lang w:bidi="fa-IR"/>
        </w:rPr>
        <w:t>.</w:t>
      </w:r>
      <w:bookmarkStart w:id="911" w:name="pg13785_135321"/>
    </w:p>
    <w:p>
      <w:pPr>
        <w:pStyle w:val="BookText"/>
        <w:rPr/>
      </w:pPr>
      <w:bookmarkEnd w:id="911"/>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الْجَعْفَرِیَّاتُ، بِإِسْنَادِهِ عَنْ جَعْفَرِ بْنِ مُحَمَّدٍ عَنْ أَبِیهِ عَنْ جَدِّهِ عَلِیِّ بْنِ الْحُسَیْنِ عَنْ أَبِیهِ عَنْ عَلِیِّ بْنِ أَبِی طَالِبٍ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السُّحْتِ ثَمَنُ الْمَیْتَةِ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وَثَمَنُ الْخِنْزِیرِ وَ</w:t>
      </w:r>
      <w:r>
        <w:rPr>
          <w:rFonts w:eastAsia="Amiri" w:cs="Amiri" w:ascii="Amiri" w:hAnsi="Amiri"/>
          <w:color w:val="111111"/>
          <w:sz w:val="28"/>
          <w:szCs w:val="28"/>
          <w:rtl w:val="true"/>
          <w:lang w:bidi="ar-SA"/>
        </w:rPr>
        <w:t>....</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این روایت در جعفریّات آمده است</w:t>
      </w:r>
      <w:r>
        <w:rPr>
          <w:rStyle w:val="FootnoteAnchor"/>
          <w:rtl w:val="true"/>
        </w:rPr>
        <w:footnoteReference w:id="785"/>
      </w:r>
      <w:r>
        <w:rPr>
          <w:rFonts w:ascii="IRNazanin" w:hAnsi="IRNazanin" w:eastAsia="IRNazanin"/>
          <w:color w:val="111111"/>
          <w:sz w:val="28"/>
          <w:sz w:val="28"/>
          <w:szCs w:val="28"/>
          <w:rtl w:val="true"/>
          <w:lang w:bidi="fa-IR"/>
        </w:rPr>
        <w:t>که پیش‌تر پیرامون اعتبار آن بحث شد و یکی از مصادیق سحت را پولی می‌داند که در مقابل خوک گرفته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روینا عن جعفر بن محمّد عن أبیه عن آبائه عن علی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نَهَی عَنْ بَیْعِ الْأَحْرَارِ وَعَنْ بَیْعِ الْمَیْتَةِ وَالدَّمِ وَالْخِنْزِیرِ وَالْأَصْنَامِ وَعَنْ عَسْبِ الْفَحْلِ وَعَنْ ثَمَنِ الْخَمْرِ وَعَنْ بَیْعِ الْعَذِرَةِ وَقَالَ هِیَ مَیْتَةٌ</w:t>
      </w:r>
      <w:r>
        <w:rPr>
          <w:rFonts w:eastAsia="Amiri" w:cs="Amiri" w:ascii="Amiri" w:hAnsi="Amiri"/>
          <w:color w:val="111111"/>
          <w:sz w:val="28"/>
          <w:szCs w:val="28"/>
          <w:rtl w:val="true"/>
          <w:lang w:bidi="ar-SA"/>
        </w:rPr>
        <w:t>.</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بر اساس این روایت، پیامبر گرامی اسلام صلی الله علیه و آله از معاملۀ خوک نهی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دستۀ اوّل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روایات از نظر مشهور، ضعیف است و همان‌گونه که گفته شد، فقط سند روایت تحف العقول از نظر ما صحیح و قابل پذیرش است؛ امّا حکم این روایت نیز شامل موضوع مورد بحث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روایات یاد شده، در مقام شمارش محرّمات‌اند و از امام خمینی قدس سره نقل شد که نمی‌توان به اطلاق چنین روایاتی تمسّک کرد</w:t>
      </w:r>
      <w:r>
        <w:rPr>
          <w:rFonts w:eastAsia="IRNazanin" w:cs="IRNazanin"/>
          <w:color w:val="111111"/>
          <w:sz w:val="28"/>
          <w:szCs w:val="28"/>
          <w:rtl w:val="true"/>
          <w:lang w:bidi="fa-IR"/>
        </w:rPr>
        <w:t>.</w:t>
      </w:r>
      <w:r>
        <w:rPr>
          <w:rStyle w:val="FootnoteAnchor"/>
          <w:rtl w:val="true"/>
        </w:rPr>
        <w:footnoteReference w:id="787"/>
      </w:r>
      <w:r>
        <w:rPr>
          <w:rFonts w:ascii="IRNazanin" w:hAnsi="IRNazanin" w:eastAsia="IRNazanin"/>
          <w:color w:val="111111"/>
          <w:sz w:val="28"/>
          <w:sz w:val="28"/>
          <w:szCs w:val="28"/>
          <w:rtl w:val="true"/>
          <w:lang w:bidi="fa-IR"/>
        </w:rPr>
        <w:t>بنا بر این، از روایات این دسته نمی‌توان استفاده کرد</w:t>
      </w:r>
      <w:r>
        <w:rPr>
          <w:rFonts w:eastAsia="IRNazanin" w:cs="IRNazanin"/>
          <w:color w:val="111111"/>
          <w:sz w:val="28"/>
          <w:szCs w:val="28"/>
          <w:rtl w:val="true"/>
          <w:lang w:bidi="fa-IR"/>
        </w:rPr>
        <w:t>.</w:t>
      </w:r>
    </w:p>
    <w:p>
      <w:pPr>
        <w:pStyle w:val="Heading6"/>
        <w:numPr>
          <w:ilvl w:val="5"/>
          <w:numId w:val="1"/>
        </w:numPr>
        <w:rPr/>
      </w:pPr>
      <w:bookmarkStart w:id="912" w:name="__RefHeading___Toc2531393_1468164448"/>
      <w:bookmarkStart w:id="913" w:name="_Toc352"/>
      <w:bookmarkEnd w:id="912"/>
      <w:r>
        <w:rPr/>
        <w:t>2</w:t>
      </w:r>
      <w:r>
        <w:rPr>
          <w:rtl w:val="true"/>
        </w:rPr>
        <w:t xml:space="preserve">- </w:t>
      </w:r>
      <w:r>
        <w:rPr>
          <w:rtl w:val="true"/>
        </w:rPr>
        <w:t>دستۀ دوم روایات</w:t>
      </w:r>
      <w:bookmarkEnd w:id="913"/>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عَنْ أَبِیهِ عَنِ ابْنِ أَبِی عُمَیْرٍ عَنِ ابْنِ أُذَیْنَةَ عَنْ زُرَارَةَ عَنْ أَبِی عَبْدِ</w:t>
      </w:r>
    </w:p>
    <w:p>
      <w:pPr>
        <w:pStyle w:val="BookText"/>
        <w:rPr/>
      </w:pPr>
      <w:r>
        <w:rPr>
          <w:rFonts w:ascii="Amiri" w:hAnsi="Amiri" w:eastAsia="Amiri" w:cs="Amiri"/>
          <w:color w:val="111111"/>
          <w:sz w:val="28"/>
          <w:sz w:val="28"/>
          <w:szCs w:val="28"/>
          <w:rtl w:val="true"/>
          <w:lang w:bidi="ar-SA"/>
        </w:rPr>
        <w:t>اللّهِ علیه السلام فِی الرَّجُلِ یَکُونُ لِی عَلَیْهِ الدَّرَاهِمُ فَیَبِیعُ بِهَا خَمْراً وَخِنْزِیراً ثُمَّ یَقْضِی مِنْهَا،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أَوْ قَالَ خُذْهَا؛</w:t>
      </w:r>
      <w:r>
        <w:rPr>
          <w:rStyle w:val="FootnoteAnchor"/>
          <w:rtl w:val="true"/>
        </w:rPr>
        <w:footnoteReference w:id="788"/>
      </w:r>
      <w:r>
        <w:rPr>
          <w:rFonts w:ascii="IRNazanin" w:hAnsi="IRNazanin" w:eastAsia="IRNazanin"/>
          <w:color w:val="111111"/>
          <w:sz w:val="28"/>
          <w:sz w:val="28"/>
          <w:szCs w:val="28"/>
          <w:rtl w:val="true"/>
          <w:lang w:bidi="fa-IR"/>
        </w:rPr>
        <w:t>بر ذمّۀ کسی مقداری درهم است، شراب و خوک را می‌فروشد و از آن پول دین خود را ادا می‌کند،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که حسنه یا صحیحه است،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مشخّص نیست که منظور از آن، مسلمان است یا غیر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اهل ذمّه است؛ چون مسلمان شراب و خوک نمی‌خرد؛ ولی نسبت به فروشنده اطلاق دارد، چون ممکن است یک مسلمان اینها را به کافر بفروشد و از پول آن، بدهی خود را ادا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بِإِسْنَادِهِ عَنِ الْحُسَیْنِ بْنِ سَعِیدٍ عَنِ الْقَاسِمِ بْنِ مُحَمَّدٍ عَنْ مُحَمَّدِ بْنِ یَحْیَی الْخَثْعَمِیِّ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یَکُونُ لَنَا عَلَیْهِ الدَّیْنُ فَیَبِیعُ الْخَمْرَ وَالْخَنَازِیرَ فَیَقْضِینَا،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 لَیْسَ عَلَیْکَ مِنْ ذَلِکَ شَیْ‌ءٌ؛</w:t>
      </w:r>
      <w:r>
        <w:rPr>
          <w:rStyle w:val="FootnoteAnchor"/>
          <w:rtl w:val="true"/>
        </w:rPr>
        <w:footnoteReference w:id="789"/>
      </w:r>
      <w:r>
        <w:rPr>
          <w:rFonts w:ascii="IRNazanin" w:hAnsi="IRNazanin" w:eastAsia="IRNazanin"/>
          <w:color w:val="111111"/>
          <w:sz w:val="28"/>
          <w:sz w:val="28"/>
          <w:szCs w:val="28"/>
          <w:rtl w:val="true"/>
          <w:lang w:bidi="fa-IR"/>
        </w:rPr>
        <w:t>از امام صادق علیه السلام در مورد مردی که به ما بدهکار است پرسیدم که او برای ادای دین خود شراب و خوک‌ها را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و آن پول برای شما حلال است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سند این روایت، قاسم بن محمّد وجود دارد که مجهول است؛ لیکن از نظر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 معنایش این است که فروش شراب و خوک و کسب درآمد از این راه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علیک من ذلک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پولی را که گرفته‌اید برای شما حلال است؛ لیکن در این‌جا این پرسش مطرح می‌شود که آیا این جمله مفهوم دارد یا خیر؟ یعنی آیا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عبارت این</w:t>
      </w:r>
    </w:p>
    <w:p>
      <w:pPr>
        <w:pStyle w:val="BookText"/>
        <w:rPr/>
      </w:pPr>
      <w:r>
        <w:rPr>
          <w:rFonts w:ascii="IRNazanin" w:hAnsi="IRNazanin" w:eastAsia="IRNazanin"/>
          <w:color w:val="111111"/>
          <w:sz w:val="28"/>
          <w:sz w:val="28"/>
          <w:szCs w:val="28"/>
          <w:rtl w:val="true"/>
          <w:lang w:bidi="fa-IR"/>
        </w:rPr>
        <w:t xml:space="preserve">است که دریافت این پول در برابر طلبتان برای شما حلال است، ولی برای بایعی که این بیع را انجام داده، حلال نیست؛ و یا باید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کنیم و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پولی که بایع در برابر خمر و خنزیر دریافت کرده، حلال است و هم پولی هم که شما در برابر طلب خود گرفته‌اید؟</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وَعَنْهُ عَنْ عَبْدِ اللّهِ بْنِ بَحْرٍ عَنِ ابْنِ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یَکُونُ لَهُ عَلَی الرَّجُلِ مَالٌ فَیَبِیعُ بَیْنَ یَدَیْهِ خَمْراً وَخَنَازِیرَ یَأْخُذُ ثَمَنَهُ،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Style w:val="FootnoteAnchor"/>
          <w:rtl w:val="true"/>
        </w:rPr>
        <w:footnoteReference w:id="790"/>
      </w:r>
      <w:r>
        <w:rPr>
          <w:rFonts w:ascii="IRNazanin" w:hAnsi="IRNazanin" w:eastAsia="IRNazanin"/>
          <w:color w:val="111111"/>
          <w:sz w:val="28"/>
          <w:sz w:val="28"/>
          <w:szCs w:val="28"/>
          <w:rtl w:val="true"/>
          <w:lang w:bidi="fa-IR"/>
        </w:rPr>
        <w:t>از امام صادق علیه السلام در مورد مردی که برای ادای دین خود شراب و خوک را مورد معامله قرار می‌دهد، پرسیده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این روایت، عبداللّه بن بحر وجود دارد که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نیز به قرینۀ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مؤیّدی برای صحّت معاملۀ خوک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عَلِیِّ بْنِ إِبْرَاهِیمَ عَنْ أَبِیهِ عَنْ حَمَّادٍ عَنْ حَرِیزٍ عَنْ مُحَمَّدِ بْنِ مُسْلِمٍ عَنْ أَبِی جَعْفَرٍ علیه السلام فِی رَجُلٍ کَانَ لَهُ عَلَی رَجُلٍ دَرَاهِمُ فَبَاعَ خَمْراً وَخَنَازِیرَ وَهُوَ یَنْظُرُ فَقَضَاهُ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 امّا لِلْمُقْتَضِی فَحَلالٌ وَاما لِلْبَائِعِ فَحَرَامٌ؛</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مردی از دیگری پولی می‌خواهد و او هم شراب و خوک را می‌فروشد و طلبکار را می‌بیند و دین او را پرداخت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پول را می‌گیرد اشکالی ندارد، ولی برای فروشنده حرام است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بین بایع و مقتضی تفصیل داده شده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طلب خود را می‌گیرد، حلال و برای بایع حرام است</w:t>
      </w:r>
      <w:r>
        <w:rPr>
          <w:rFonts w:eastAsia="IRNazanin" w:cs="IRNazanin"/>
          <w:color w:val="111111"/>
          <w:sz w:val="28"/>
          <w:szCs w:val="28"/>
          <w:rtl w:val="true"/>
          <w:lang w:bidi="fa-IR"/>
        </w:rPr>
        <w:t>.</w:t>
      </w:r>
      <w:bookmarkStart w:id="914" w:name="pg13785_135324"/>
    </w:p>
    <w:p>
      <w:pPr>
        <w:pStyle w:val="BookText"/>
        <w:rPr/>
      </w:pPr>
      <w:bookmarkEnd w:id="914"/>
      <w:r>
        <w:rPr>
          <w:rFonts w:ascii="IRNazanin" w:hAnsi="IRNazanin" w:eastAsia="IRNazanin"/>
          <w:color w:val="111111"/>
          <w:sz w:val="28"/>
          <w:sz w:val="28"/>
          <w:szCs w:val="28"/>
          <w:rtl w:val="true"/>
          <w:lang w:bidi="fa-IR"/>
        </w:rPr>
        <w:t>این روایت، صحیح است 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فروشنده‌ای که شراب و خوک را فروخته است، دچار حرمت تکلیفی شده است، امّا معاملۀ او صحیح بوده است، و گرنه این پول برای طلبکار نیز حلال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این صحیحۀ محمّد بن مسلم استفاده می‌کنیم که بین حکم وضعی و تکلیفی باید فرق گذاشت؛ ولی آیا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قاعدۀ الزام نیست، بلکه از باب قاعدۀ تسهیل است؛ یعنی کفّار هم که خمر و خنزیر می‌فروشند، کار حرامی انجام می‌دهند؛ امّا شارع برای آسان شدن کار بر ما، آن را حلال کرده است؟</w:t>
      </w:r>
    </w:p>
    <w:p>
      <w:pPr>
        <w:pStyle w:val="Heading6"/>
        <w:numPr>
          <w:ilvl w:val="5"/>
          <w:numId w:val="1"/>
        </w:numPr>
        <w:rPr/>
      </w:pPr>
      <w:bookmarkStart w:id="915" w:name="__RefHeading___Toc2531395_1468164448"/>
      <w:bookmarkStart w:id="916" w:name="_Toc353"/>
      <w:bookmarkEnd w:id="915"/>
      <w:r>
        <w:rPr/>
        <w:t>3</w:t>
      </w:r>
      <w:r>
        <w:rPr>
          <w:rtl w:val="true"/>
        </w:rPr>
        <w:t xml:space="preserve">- </w:t>
      </w:r>
      <w:r>
        <w:rPr>
          <w:rtl w:val="true"/>
        </w:rPr>
        <w:t>دستۀ سوم روایات</w:t>
      </w:r>
      <w:bookmarkEnd w:id="916"/>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بْنُ إِبْرَاهِیمَ عَنْ أَبِیهِ عَنِ ابْنِ أَبِی عُمَیْرٍ عَنْ بَعْضِ أَصْحَابِنَا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نَصْرَانِیٍّ أَسْلَمَ وَعِنْدَهُ خَمْرٌ وَخَنَازِیرُ وَعَلَیْهِ دَیْنٌ هَلْ یَبِیعُ خَمْرَهُ وَخَنَازِیرَهُ وَیَقْضِی دَیْنَهُ؟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792"/>
      </w:r>
      <w:r>
        <w:rPr>
          <w:rFonts w:ascii="IRNazanin" w:hAnsi="IRNazanin" w:eastAsia="IRNazanin"/>
          <w:color w:val="111111"/>
          <w:sz w:val="28"/>
          <w:sz w:val="28"/>
          <w:szCs w:val="28"/>
          <w:rtl w:val="true"/>
          <w:lang w:bidi="fa-IR"/>
        </w:rPr>
        <w:t>معاویة بن سعید می‌گوید از امام رضا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مسیحی مسلمان شده است و شراب و خوک دارد و بدهی به گردن اوست، آیا می‌تواند شراب و خوک را بفروشد و دین خود را بپردازد؟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استفاده می‌شود که از نگاه سائل، روشن بوده است که اگر شخص مسیحی یا یهودی باشد، فروش شراب و خوک برای او مانعی ندارد، ولی اکنون که او مسلمان شده است این سؤال برای سائل مطرح شده است که فروش خوک و شراب برای او چه حکمی دارد؟ حضرت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مسلمان شده، دیگر نباید شراب و خوک را بفروشد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حاضر نیز بسیاری از غیر مسلمانان، از خمر و خنزیر درآمد بسیاری</w:t>
      </w:r>
    </w:p>
    <w:p>
      <w:pPr>
        <w:pStyle w:val="BookText"/>
        <w:rPr/>
      </w:pPr>
      <w:r>
        <w:rPr>
          <w:rFonts w:ascii="IRNazanin" w:hAnsi="IRNazanin" w:eastAsia="IRNazanin"/>
          <w:color w:val="111111"/>
          <w:sz w:val="28"/>
          <w:sz w:val="28"/>
          <w:szCs w:val="28"/>
          <w:rtl w:val="true"/>
          <w:lang w:bidi="fa-IR"/>
        </w:rPr>
        <w:t>دارند و خانه و خودرو و مانند آن می‌خرند و می‌فروشند و مسلمانان هم ممکن است از آنها خانه یا خودرو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نمی‌توانیم بگوییم همۀ اینها باطل است، و اتّفاقاً یکی از مصادیق قاعدۀ الزام همین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مسلمانان معاملۀ خمر و خنزیر را بین خود حلال و جایز می‌دانند، ما هم نسبت به خودمان بر طبق قاعدۀ الزام، آثار صحّت را بار می‌نماییم و درآمدی که از آن دارند را در معامله‌ای از آنان اخذ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پولی را که یک نصرانی به ما هدیّه می‌کند، حلال است، و حتّی بیشتر جزیه‌ای که در صدر اسلام از یهودی‌ها و نصرانی‌ها گرفته می‌شد، از پول خمر و خنزیر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وَعَنْهُ عَنْ أَبِیهِ عَنْ إِسْمَاعِیلَ بْنِ مَرَّارٍ عَنْ یُونُسَ فِی مَجُوسِیٍّ بَاعَ خَمْراً أَوْ خَنَازِیرَ إِلَی أَجَلٍ مُسَمًّی ثُمَّ أَسْلَمَ قَبْلَ أَنْ یَحِلَّ الْمَالُ،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دَرَاهِمُهُ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رَجُلٌ وَلَهُ خَمْرٌ وَخَنَازِیرُ ثُمَّ مَاتَ وَهِیَ فِی مِلْکِهِ وَعَلَیْهِ دَیْنٌ،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یَبِیعُ دُیَّانُهُ أَوْ وَلِیٌّ لَهُ غَیْرُ مُسْلِمٍ خَمْرَهُ وَخَنَازِیرَهُ وَیَقْضِی دَیْنَهُ وَلَیْسَ لَهُ أَنْ یَبِیعَهُ وَهُوَ حَیٌّ وَلَا یُمْسِکَهُ</w:t>
      </w:r>
      <w:r>
        <w:rPr>
          <w:rFonts w:eastAsia="Amiri" w:cs="Amiri" w:ascii="Amiri" w:hAnsi="Amiri"/>
          <w:color w:val="111111"/>
          <w:sz w:val="28"/>
          <w:szCs w:val="28"/>
          <w:rtl w:val="true"/>
          <w:lang w:bidi="ar-SA"/>
        </w:rPr>
        <w:t>.</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نسبت به اسماعیل بن مرّار که در سند این روایت وجود دارد، اشکال وجود دارد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یونس، یونس بن عبدالرحمن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مقطوعه است؛ یعنی یکی از اصحاب ائمه علیهم السلام آن را نقل می‌کند، ولی اسمی از معصوم علیه السلام هرچند به صورت ضمیر برده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جواب مقطوعه بودن این روایت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عبدالرحمن با آن مقام و جلالتی که داشته است، از غیر امام علیه السلام نقل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قدس سره در المکاسب المحرّمه احتمال داده‌اند که این فتوای خود یونس باشد که امری بعید است</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رَجُلَیْنِ نَصْرَانِیَّیْنِ بَاعَ أَحَدُهُمَا خَمْراً أَوْ خِنْزِیراً إِلَی أَجَلٍ فَأَسْلَمَا قَبْلَ أَنْ یَقْبِضَا الثَّمَنَ هَلْ یَحِلُّ لَهُمَا ثَمَنُهُ بَعْدَ الْإِسْلَامِ؟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لَهُ الثَّمَنُ فَلَا بَأْسَ أَنْ یَأْخُذَهُ؛</w:t>
      </w:r>
      <w:r>
        <w:rPr>
          <w:rStyle w:val="FootnoteAnchor"/>
          <w:rtl w:val="true"/>
        </w:rPr>
        <w:footnoteReference w:id="795"/>
      </w:r>
      <w:r>
        <w:rPr>
          <w:rFonts w:ascii="IRNazanin" w:hAnsi="IRNazanin" w:eastAsia="IRNazanin"/>
          <w:color w:val="111111"/>
          <w:sz w:val="28"/>
          <w:sz w:val="28"/>
          <w:szCs w:val="28"/>
          <w:rtl w:val="true"/>
          <w:lang w:bidi="fa-IR"/>
        </w:rPr>
        <w:t>علی بن جعفر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 مورد دو مرد مسیحی پرسیدم که یکی از آنها شراب و خوک را به صورت نسیه فروخته است و قبل از این‌که پول را بگیرد، مسلمان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پول بعد از اسلام صحیح است؟ امام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ندارد که آن پول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 هم این است که معامله، قبل از اسلام آوردن کافر منعقد شده و در همان زمان، انتقال ملکیّت صورت گرفته است، هرچند ثمن در آن زمان اخذ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این روایت، عبداللّه بن الحسن مجهول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که مانند روایت قبل است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وَبِإِسْنَادِهِ عَنْ مُحَمَّدِ بْنِ أَحْمَدَ بْنِ یَحْیَی عَنْ أَحْمَدَ بْنِ الْحَسَنِ عَنْ عَمْرِو بْنِ سَعِیدٍ عَنْ مُصَدِّقٍ عَنْ عَمَّارٍ عَنْ أَبِی عَبْدِ اللّهِ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رَجُلَیْنِ نَصْرَانِیَّیْنِ بَاعَ أَحَدُهُمَا مِنْ صَاحِبِهِ خَمْراً أَوْ خَنَازِیرَ ثُمَّ أَسْلَمَا قَبْلَ أَنْ یَقْبِضَا الدَّرَاهِمَ هَلْ تَحِلُّ لَهُ الدَّرَاهِمُ؟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796"/>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یَعْقُوبَ عَنْ مُحَمَّدِ بْنِ یَحْیَی عَنْ أَحْمَدَ بْنِ مُحَمَّدٍ عَنِ ابْنِ فَضَّالٍ</w:t>
      </w:r>
      <w:bookmarkStart w:id="917" w:name="pg13785_135327"/>
    </w:p>
    <w:p>
      <w:pPr>
        <w:pStyle w:val="BookText"/>
        <w:rPr/>
      </w:pPr>
      <w:bookmarkEnd w:id="917"/>
      <w:r>
        <w:rPr>
          <w:rFonts w:ascii="Amiri" w:hAnsi="Amiri" w:eastAsia="Amiri" w:cs="Amiri"/>
          <w:color w:val="111111"/>
          <w:sz w:val="28"/>
          <w:sz w:val="28"/>
          <w:szCs w:val="28"/>
          <w:rtl w:val="true"/>
          <w:lang w:bidi="ar-SA"/>
        </w:rPr>
        <w:t>عَنْ یُونُسَ بْنِ یَعْقُوبَ عَنْ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لِی عَلَی رَجُلٍ ذِمِّیٍّ دَرَاهِمُ فَیَبِیعُ الْخَمْرَ وَالْخِنْزِیرَ وَأَنَا حَاضِرٌ فَیَحِلُّ لِی أَخْذُهَا؟ فَقَالَ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لَکَ عَلَیْهِ دَرَاهِمُ فَقَضَاکَ دَرَاهِمَکَ؛</w:t>
      </w:r>
      <w:r>
        <w:rPr>
          <w:rStyle w:val="FootnoteAnchor"/>
          <w:rtl w:val="true"/>
        </w:rPr>
        <w:footnoteReference w:id="797"/>
      </w:r>
      <w:r>
        <w:rPr>
          <w:rFonts w:ascii="IRNazanin" w:hAnsi="IRNazanin" w:eastAsia="IRNazanin"/>
          <w:color w:val="111111"/>
          <w:sz w:val="28"/>
          <w:sz w:val="28"/>
          <w:szCs w:val="28"/>
          <w:rtl w:val="true"/>
          <w:lang w:bidi="fa-IR"/>
        </w:rPr>
        <w:t>منصور بن حازم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 که از یک کافر ذمّی مقداری درهم می‌خواهم و او خوک و شرابی را می‌فروشد و من نیز در مجلس معامله حضور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گرفتن آن پول برای من حلال است؟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او درهم می‌خواستی که او هم به تو درهم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تا این‌جا دانستیم که ما با سه گروه از روایات رو به رو هستیم که گروه سوم، دارای پنج روایت است؛ لیکن روایت دوم و سوم از نظر سند ضعیف‌اند و به‌خاطر همین، تنها می‌توان به روایات 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منصور بن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w:t>
      </w:r>
      <w:r>
        <w:rPr>
          <w:rFonts w:eastAsia="IRNazanin" w:cs="IRNazanin"/>
          <w:color w:val="111111"/>
          <w:sz w:val="28"/>
          <w:szCs w:val="28"/>
          <w:rtl w:val="true"/>
          <w:lang w:bidi="fa-IR"/>
        </w:rPr>
        <w:t>.</w:t>
      </w:r>
    </w:p>
    <w:p>
      <w:pPr>
        <w:pStyle w:val="Heading6"/>
        <w:numPr>
          <w:ilvl w:val="5"/>
          <w:numId w:val="1"/>
        </w:numPr>
        <w:rPr/>
      </w:pPr>
      <w:bookmarkStart w:id="918" w:name="__RefHeading___Toc2531397_1468164448"/>
      <w:bookmarkStart w:id="919" w:name="_Toc354"/>
      <w:bookmarkEnd w:id="918"/>
      <w:r>
        <w:rPr/>
        <w:t>4</w:t>
      </w:r>
      <w:r>
        <w:rPr>
          <w:rtl w:val="true"/>
        </w:rPr>
        <w:t xml:space="preserve">- </w:t>
      </w:r>
      <w:r>
        <w:rPr>
          <w:rtl w:val="true"/>
        </w:rPr>
        <w:t>جمع میان روایات</w:t>
      </w:r>
      <w:bookmarkEnd w:id="919"/>
    </w:p>
    <w:p>
      <w:pPr>
        <w:pStyle w:val="BookText"/>
        <w:rPr/>
      </w:pPr>
      <w:r>
        <w:rPr>
          <w:rFonts w:ascii="IRNazanin" w:hAnsi="IRNazanin" w:eastAsia="IRNazanin"/>
          <w:color w:val="111111"/>
          <w:sz w:val="28"/>
          <w:sz w:val="28"/>
          <w:szCs w:val="28"/>
          <w:rtl w:val="true"/>
          <w:lang w:bidi="fa-IR"/>
        </w:rPr>
        <w:t>پس از بررسی این سه گروه از روایات، باید دربارۀ وجوه جمع میان آنها گفتگو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احتمالات و روش‌های گوناگونی در این زمینه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احتمال این است که روایاتی را که به صورت مطلق از معاملۀ خوک نهی کرده‌اند، به دلیل ضعف سند کنار بگذاریم، و سپس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دستۀ دوم که معاملۀ خوک را به‌طور مطلق جایز می‌دانند، توسّط روایات دستۀ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معامله را تنها در صورتی که بایع، کافر ذمّی باشد، جایز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می‌خورد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نقد این روش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سند روایات دستۀ اوّل ضعیف است، لیکن شمار این روایات به حدّ استفاضه می‌رسد و یا دست‌کم این مضمون به نحو تواتر اجمالی از روایات برداشت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کم و بیش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مضمون از معصوم علیه السلام صادر شده است و نمی‌توان این روایات راکنار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کسی در اشکال به این روش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هنگامی می‌توانیم مطلق را بر مقیّد حمل کنیم که میان آنها تنافی وجود داشته باشد، مانند این‌که مولا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تعتق رقبة 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جایی که تنافی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مولا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 مؤمنة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معلوم می‌شود که مطلوب مولا همان آزاد کردن بنده است و بندۀ مؤمن، رجحان دارد و اگر غیر مؤمن را هم به 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 آن‌جا هم امتثال،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نیز بین دو دستۀ مطلق و مقیّد، تنافی وجود ندارد و نمی‌توان مطلق را بر مقیّد حمل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در دفاع از این روش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روایات دستۀ سوم، برخی روایات به صورت منفی وارد شده‌اند، مانند روایتی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ذمّی مسلمان شد و مقداری خمر و خنزیر در اختیارش بود، خودش نمی‌تواند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لسان نفی است و با این لسان نفی، می‌توان لسان اطلاق را تقیید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دیگری که برای جمع میان این روایات ذکر شده، این است که ابتدا با روایات دستۀ دوم، دستۀ سوم را تقیید بزنیم و سپس با نتیجۀ این تقیید، در ظاهر دستۀ اوّل تصرّف کنیم؛ یعنی پس از مقیّد کردن دستۀ دوم، این نتیجه حاصل می‌شود که اگر فروشندۀ خوک، کافر ذمّی باشد، معامله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این نتیجه، در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الخنزیر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می‌شود و نتیجه این می‌شود که فروش خوک کراهت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احتمال، علاوه بر بطلان انقلاب نسبت، این است که هیچ کدام از فقهای امامیّه و اهل‌سنّت بر کراهت معاملۀ خوک فتوا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شیخ طوسی قدس سره در الخلاف آورده است که ابوحنیفه این معامله را مکروه می‌داند</w:t>
      </w:r>
      <w:r>
        <w:rPr>
          <w:rFonts w:eastAsia="IRNazanin" w:cs="IRNazanin"/>
          <w:color w:val="111111"/>
          <w:sz w:val="28"/>
          <w:szCs w:val="28"/>
          <w:rtl w:val="true"/>
          <w:lang w:bidi="fa-IR"/>
        </w:rPr>
        <w:t>.</w:t>
      </w:r>
      <w:r>
        <w:rPr>
          <w:rStyle w:val="FootnoteAnchor"/>
          <w:rtl w:val="true"/>
        </w:rPr>
        <w:footnoteReference w:id="798"/>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تعبیر دیگر، هرچند در فقه، در بسیاری از موارد حمل ظاهر به اظهر صورت می‌پذیرد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جای دیگر آمده است، بر کراهت</w:t>
      </w:r>
    </w:p>
    <w:p>
      <w:pPr>
        <w:pStyle w:val="BookText"/>
        <w:rPr/>
      </w:pPr>
      <w:r>
        <w:rPr>
          <w:rFonts w:ascii="IRNazanin" w:hAnsi="IRNazanin" w:eastAsia="IRNazanin"/>
          <w:color w:val="111111"/>
          <w:sz w:val="28"/>
          <w:sz w:val="28"/>
          <w:szCs w:val="28"/>
          <w:rtl w:val="true"/>
          <w:lang w:bidi="fa-IR"/>
        </w:rPr>
        <w:t xml:space="preserve">حمل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این‌جا نمی‌توان ظاهر را بر اظهر حمل کرد؛ چراکه فتوایی را نتیجه می‌دهد که هیچ یک از فقها تا به حال به آن فتوا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فتوا دادن برخلاف نظر فقها به مستند و دلیل قوی نیاز دارد و نمی‌توان بدون دلیل، فتوای جدیدی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فقیه نباید به آسانی فتوایی دهد که تا به حال فقیهی به آن فتوا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فقیهی چنین فتوایی دهد، باید در فقاهت او تأمّل کرد؛ چراکه باب اجتهاد باز است، ولی بی در و پیکر نیست که هر کسی هر حرفی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مسئلۀ مهمّی است که انسان دربارۀ کاری که هزار سال فقها به حرمت آن فتوا داده‌اند،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روش اجتهاد شیخ انصاری، صاحب جواهر، سیّد مرتضی، علاّمه، محقّق و محقّق نراقی قدس سرهم را مورد بررسی قرار دهیم، خواهیم دید که اصل اساسی در روش آنها این است که فتوایی ندهند که کسی تا به حال چنین فتوایی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اجتهاد این است که بتوان مسائل مستحدثه را با ضوابط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اجتهاد، مفتوح است؛ یعنی ما ضوابطی را برای استنباط حکم الهی داریم که می‌توانند تا روز قیامت هر موضوع مستحدثی را حل کنند؛ امّا معنایش این نیست که دربارۀ چیزی که تا به حال همۀ فقها به حرمت آن فتوا داده‌اند، بگوییم حلال است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خویی قدس سره برای جمع میان این روایات معتقد است که ابتدا با دستۀ سوم روایات، دستۀ اوّل را مقیّد می‌کنیم و در نتیجه، معنای مجموع آنها این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الخنزیر سحت إذا کان البایع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فروشنده مسلمان باشد، پولی که در مقابل خوک گرفته می‌شود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روایات دستۀ اوّل با دستۀ دوم، نسبت عام و خاص مطلق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گروه اوّل را به‌وسیلۀ گروه سوم تخصیص بزنیم، این روایات نسبت به روایات گروه دوم، اخص می‌شود؛ یعنی روایات مانعه می‌گوید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بایع مسلمان بود معامله‌اش اشکال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روایات مجوّزه مطلق است و هر</w:t>
      </w:r>
      <w:bookmarkStart w:id="920" w:name="pg13785_135330"/>
    </w:p>
    <w:p>
      <w:pPr>
        <w:pStyle w:val="BookText"/>
        <w:rPr/>
      </w:pPr>
      <w:bookmarkEnd w:id="920"/>
      <w:r>
        <w:rPr>
          <w:rFonts w:ascii="IRNazanin" w:hAnsi="IRNazanin" w:eastAsia="IRNazanin"/>
          <w:color w:val="111111"/>
          <w:sz w:val="28"/>
          <w:sz w:val="28"/>
          <w:szCs w:val="28"/>
          <w:rtl w:val="true"/>
          <w:lang w:bidi="fa-IR"/>
        </w:rPr>
        <w:t>بیعی را اجازه می‌دهد حتّی اگر بایع مسلمان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این‌صورت، اگر مطلق را بر مقیّد حمل کنیم، اشکال پیشین</w:t>
      </w:r>
      <w:r>
        <w:rPr>
          <w:rStyle w:val="FootnoteAnchor"/>
          <w:rtl w:val="true"/>
        </w:rPr>
        <w:footnoteReference w:id="799"/>
      </w:r>
      <w:r>
        <w:rPr>
          <w:rFonts w:ascii="IRNazanin" w:hAnsi="IRNazanin" w:eastAsia="IRNazanin"/>
          <w:color w:val="111111"/>
          <w:sz w:val="28"/>
          <w:sz w:val="28"/>
          <w:szCs w:val="28"/>
          <w:rtl w:val="true"/>
          <w:lang w:bidi="fa-IR"/>
        </w:rPr>
        <w:t>هم لازم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از مجموع این روایات استفاده می‌شود که معاملۀ خوک، در صورتی صحیح است که فروشنده آن مسلمان نباشد</w:t>
      </w:r>
      <w:r>
        <w:rPr>
          <w:rFonts w:eastAsia="IRNazanin" w:cs="IRNazanin"/>
          <w:color w:val="111111"/>
          <w:sz w:val="28"/>
          <w:szCs w:val="28"/>
          <w:rtl w:val="true"/>
          <w:lang w:bidi="fa-IR"/>
        </w:rPr>
        <w:t>.</w:t>
      </w:r>
      <w:r>
        <w:rPr>
          <w:rStyle w:val="FootnoteAnchor"/>
          <w:rtl w:val="true"/>
        </w:rPr>
        <w:footnoteReference w:id="800"/>
      </w:r>
    </w:p>
    <w:p>
      <w:pPr>
        <w:pStyle w:val="Heading6"/>
        <w:numPr>
          <w:ilvl w:val="5"/>
          <w:numId w:val="1"/>
        </w:numPr>
        <w:rPr/>
      </w:pPr>
      <w:bookmarkStart w:id="921" w:name="__RefHeading___Toc2531399_1468164448"/>
      <w:bookmarkStart w:id="922" w:name="_Toc355"/>
      <w:bookmarkEnd w:id="921"/>
      <w:r>
        <w:rPr/>
        <w:t>5</w:t>
      </w:r>
      <w:r>
        <w:rPr>
          <w:rtl w:val="true"/>
        </w:rPr>
        <w:t xml:space="preserve">- </w:t>
      </w:r>
      <w:r>
        <w:rPr>
          <w:rtl w:val="true"/>
        </w:rPr>
        <w:t>یادآوری چند نکته</w:t>
      </w:r>
      <w:bookmarkEnd w:id="922"/>
    </w:p>
    <w:p>
      <w:pPr>
        <w:pStyle w:val="BookText"/>
        <w:rPr/>
      </w:pPr>
      <w:r>
        <w:rPr>
          <w:rFonts w:ascii="IRNazanin" w:hAnsi="IRNazanin" w:eastAsia="IRNazanin"/>
          <w:color w:val="111111"/>
          <w:sz w:val="28"/>
          <w:sz w:val="28"/>
          <w:szCs w:val="28"/>
          <w:rtl w:val="true"/>
          <w:lang w:bidi="fa-IR"/>
        </w:rPr>
        <w:t>در این‌جا یادآوری چند نکته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روایات نسبت به شراب</w:t>
      </w:r>
    </w:p>
    <w:p>
      <w:pPr>
        <w:pStyle w:val="BookText"/>
        <w:rPr/>
      </w:pPr>
      <w:r>
        <w:rPr>
          <w:rFonts w:ascii="IRNazanin" w:hAnsi="IRNazanin" w:eastAsia="IRNazanin"/>
          <w:color w:val="111111"/>
          <w:sz w:val="28"/>
          <w:sz w:val="28"/>
          <w:szCs w:val="28"/>
          <w:rtl w:val="true"/>
          <w:lang w:bidi="fa-IR"/>
        </w:rPr>
        <w:t>شاید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مجوّزه، فروش شراب نیز جایز دانسته شده است، در حالی که شراب در تمام شرائع حرام بوده و جواز معاملۀ آن خلاف ضرورت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روایات مجوّزه چنین معنایی وجود دارد، باید همۀ روایات مجوّزه را کنار بگذاریم، و یا باید فقط از همین قسمت چشم پوشی کنیم؟</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اصول آمده است که تبعیض در حجّیت مانعی ندارد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گاهی تبعیض در حجّیت به این معناست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التزامی در اصل حدوثش تابع دلالت مطابقی است، ولی در حجیتش تابع آن نیست، که ما این دیدگاه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تبعیض در حجّیت به این معناست که اگر بخشی از یک روایت بر خلاف اجماع یا بر خلاف ضرورت بود، ولی بخش دیگرش مشکلی نداشت، در این‌جا آن بخش دیگر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از تبعیض در حجّیت را همۀ فقها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در روایات مجوّزه نسبت به بیع خمر اشکالی وجود دارد، ما تبعیض در حجّیت را می‌پذیریم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مقداری که بر خلاف ضرورت است کنار برود، ولی بقیۀ آنها حجّت‌اند و باید بر اساس صناعت با آنها رفتار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می‌گیریم که بایع ذمّی اگر خنزیر را به ذمّیِ دیگر فروخت، این بیع بر حسب ضوابط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فروشنده، کافر اهل ذمّه باشد، معاملۀ خوک مانعی ندارد به شرطی که مشتری هم ذمّی باشد؛ لیکن مسلمان، حقّ فروش خوک را ندارد حتّی اگر مشتری ذمّی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شیخ انصاری</w:t>
      </w:r>
    </w:p>
    <w:p>
      <w:pPr>
        <w:pStyle w:val="BookText"/>
        <w:rPr/>
      </w:pPr>
      <w:r>
        <w:rPr>
          <w:rFonts w:ascii="IRNazanin" w:hAnsi="IRNazanin" w:eastAsia="IRNazanin"/>
          <w:color w:val="111111"/>
          <w:sz w:val="28"/>
          <w:sz w:val="28"/>
          <w:szCs w:val="28"/>
          <w:rtl w:val="true"/>
          <w:lang w:bidi="fa-IR"/>
        </w:rPr>
        <w:t>عجیب این است که شیخ انصاری قدس سره، در بحث بیع خنزیر فقط به اجماع تمسّک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نظر ایشان این بوده است که چون روایات این مسئله همه با هم متعارض‌اند، پس باید همه را کنار بگذاریم و به سراغ اجماع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طبق توضیحی که داده شد، دانستیم که این روایات طبق صناعت فقه و اصول، قابل جمع‌اند و به‌خاطر همین، ممکن است این اجماع مستند به این روایات باشد که در این‌صورت این اجماع، مدرکی یا محتمل المدرک است و اعتباری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روایات باب مردار بر این بحث</w:t>
      </w:r>
    </w:p>
    <w:p>
      <w:pPr>
        <w:pStyle w:val="BookText"/>
        <w:rPr/>
      </w:pPr>
      <w:r>
        <w:rPr>
          <w:rFonts w:ascii="IRNazanin" w:hAnsi="IRNazanin" w:eastAsia="IRNazanin"/>
          <w:color w:val="111111"/>
          <w:sz w:val="28"/>
          <w:sz w:val="28"/>
          <w:szCs w:val="28"/>
          <w:rtl w:val="true"/>
          <w:lang w:bidi="fa-IR"/>
        </w:rPr>
        <w:t>این پرسش در این‌جا مطرح می‌شود که آیا می‌توان روایات باب مردار را بر این بحث منطبق نمود و نتیجه گرفت که اگر فروشنده، مسلمان و مشتری ذمّی باشد، معامله صحیح است؟</w:t>
      </w:r>
    </w:p>
    <w:p>
      <w:pPr>
        <w:pStyle w:val="BookText"/>
        <w:rPr/>
      </w:pPr>
      <w:r>
        <w:rPr>
          <w:rFonts w:ascii="IRNazanin" w:hAnsi="IRNazanin" w:eastAsia="IRNazanin"/>
          <w:color w:val="111111"/>
          <w:sz w:val="28"/>
          <w:sz w:val="28"/>
          <w:szCs w:val="28"/>
          <w:rtl w:val="true"/>
          <w:lang w:bidi="fa-IR"/>
        </w:rPr>
        <w:t>به عبارت دیگر، در بحث مردار دانستیم که فروش مردار به کسی که مردار را حلال می‌داند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بتوان از مردار الغای خصوصیت کرد و ملاک را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یستحل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بدون این‌که خصوصیّتی برای میته باشد، می‌توان ادّعا کرد که فروش خوک به ذمّی نیز صحیح است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به نظر می‌رسد که پذیرفتن این سخن مشکل است؛ زیرا فقیه تنها با وجود اطمینان، اجازه الغای خصوصیت دارد، در حالی که در بحث مردار گفته شد که چه بسا مردار و گوشت آن در روایات این باب، خصوصیت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الغای خصوصیت در هر مورد باید به عرف و مخاطبین مراجعه شود؛ یعنی اگر مخاطبین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ندارد، در آن‌جا الغای خصوصیت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w:t>
      </w:r>
    </w:p>
    <w:p>
      <w:pPr>
        <w:pStyle w:val="BookText"/>
        <w:rPr/>
      </w:pPr>
      <w:r>
        <w:rPr>
          <w:rFonts w:ascii="IRNazanin" w:hAnsi="IRNazanin" w:eastAsia="IRNazanin"/>
          <w:color w:val="111111"/>
          <w:sz w:val="28"/>
          <w:sz w:val="28"/>
          <w:szCs w:val="28"/>
          <w:rtl w:val="true"/>
          <w:lang w:bidi="fa-IR"/>
        </w:rPr>
        <w:t>مولا به عبدش می‌گوید یک لیوان آب برای من بیاور، عرف از این جمله می‌فهمد که مولا آب می‌خواهد، ولی بلافاصله از خود لیوان الغای خصوصیت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بحث ما عرف از عنوان میته الغای خصوصیت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از روایات و قاعده استفاده شد که معاملۀ مردار حرام است و فروش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یستحلّ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استثناست، و در استثنائات باید بر همان مورد خودش بسنده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گفتیم بیع مردار به کسی که آن را حلال می‌داند، به‌خاطر منافع محللّه‌اش مانعی ندارد و فقط برای خوردن حرام است و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یستحلّ المیته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خلاف قاعده نیست، در این‌صورت در بحث بیع خوک نیز می‌توان به آن قائل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بودن مشتری</w:t>
      </w:r>
    </w:p>
    <w:p>
      <w:pPr>
        <w:pStyle w:val="BookText"/>
        <w:rPr/>
      </w:pPr>
      <w:r>
        <w:rPr>
          <w:rFonts w:ascii="IRNazanin" w:hAnsi="IRNazanin" w:eastAsia="IRNazanin"/>
          <w:color w:val="111111"/>
          <w:sz w:val="28"/>
          <w:sz w:val="28"/>
          <w:szCs w:val="28"/>
          <w:rtl w:val="true"/>
          <w:lang w:bidi="fa-IR"/>
        </w:rPr>
        <w:t>چه بسا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از دستۀ دوم روایات باب خوک، استفاده کرد که برای جایز شدن معامله، فقط لازم است که مشتری ذمّی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یک مسلمان، خوکی را به کافر ذمّی بفروشد، عمل او صحیح است؛ چون در روایات مجوّزه آمده است که من از یک یهودی یا نصرانی طلبکارم و او هم خمر و خنزیر دارد و به یک ذمّی دیگر می‌فروشد و دین من را ادا می‌کند، امام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اگر ما بگوییم روایات مجوّزه، تنها موردی را تجویز می‌کنند که بایع و مشتری هر دو ذمّی باشند، نتیجه این است که اگر یکی از آنها ذمّی نبود، از این روایات مجوّزه خارج شود؛ لیکن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روایات مجوّزه استفاده می‌کنیم که ملاک تجویز، ذمّی بودن مشتری است خواه بایع مسلمان باشد و خواه ذمی، در این‌صورت می‌توان فروش خوک توسّط مسلمان به ذمّی را جایز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نظر می‌رسد که برداشت دوم از روایات ممکن نیست؛ بلکه ظاهر روایات این است که هم فروشنده باید ذمّی باشد، هم خریدار</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نتیجۀ این سه روش این شد که اگر مسلمانی، خوک‌های زیادی در اختیار داشت، ظاهر ادلّه این است که بیعش به مشتری ذمّی نیز جایز نیست</w:t>
      </w:r>
      <w:r>
        <w:rPr>
          <w:rFonts w:eastAsia="IRNazanin" w:cs="IRNazanin"/>
          <w:color w:val="111111"/>
          <w:sz w:val="28"/>
          <w:szCs w:val="28"/>
          <w:rtl w:val="true"/>
          <w:lang w:bidi="fa-IR"/>
        </w:rPr>
        <w:t>.</w:t>
      </w:r>
      <w:bookmarkStart w:id="923" w:name="pg13785_135333"/>
    </w:p>
    <w:p>
      <w:pPr>
        <w:pStyle w:val="BookText"/>
        <w:rPr/>
      </w:pPr>
      <w:bookmarkEnd w:id="923"/>
      <w:r>
        <w:rPr>
          <w:rFonts w:ascii="IRNazanin" w:hAnsi="IRNazanin" w:eastAsia="IRNazanin"/>
          <w:color w:val="111111"/>
          <w:sz w:val="28"/>
          <w:sz w:val="28"/>
          <w:szCs w:val="28"/>
          <w:rtl w:val="true"/>
          <w:lang w:bidi="fa-IR"/>
        </w:rPr>
        <w:t>همۀ این مطلب با قطع نظر از قاعدۀ الزام است؛ امّا بنا بر تحقیق مفصّلی که در این قاعده انجام داده‌ایم، به این نتیجه می‌رسیم که فروش خوک و حتّی خمر، به کسانی که آن را حلال می‌دانند ولو بر حسب دین تحریف شدۀ آنان، اشکالی ندارد و صحیح است</w:t>
      </w:r>
      <w:r>
        <w:rPr>
          <w:rFonts w:eastAsia="IRNazanin" w:cs="IRNazanin"/>
          <w:color w:val="111111"/>
          <w:sz w:val="28"/>
          <w:szCs w:val="28"/>
          <w:rtl w:val="true"/>
          <w:lang w:bidi="fa-IR"/>
        </w:rPr>
        <w:t>.</w:t>
      </w:r>
    </w:p>
    <w:p>
      <w:pPr>
        <w:pStyle w:val="Heading5"/>
        <w:numPr>
          <w:ilvl w:val="4"/>
          <w:numId w:val="1"/>
        </w:numPr>
        <w:rPr/>
      </w:pPr>
      <w:bookmarkStart w:id="924" w:name="__RefHeading___Toc2531401_1468164448"/>
      <w:bookmarkStart w:id="925" w:name="_Toc356"/>
      <w:bookmarkEnd w:id="924"/>
      <w:r>
        <w:rPr>
          <w:rtl w:val="true"/>
        </w:rPr>
        <w:t>بند دوم</w:t>
      </w:r>
      <w:r>
        <w:rPr>
          <w:rtl w:val="true"/>
        </w:rPr>
        <w:t xml:space="preserve">: </w:t>
      </w:r>
      <w:r>
        <w:rPr>
          <w:rtl w:val="true"/>
        </w:rPr>
        <w:t>استفاده از خوک</w:t>
      </w:r>
      <w:bookmarkEnd w:id="925"/>
    </w:p>
    <w:p>
      <w:pPr>
        <w:pStyle w:val="BookText"/>
        <w:rPr/>
      </w:pPr>
      <w:r>
        <w:rPr>
          <w:rFonts w:ascii="IRNazanin" w:hAnsi="IRNazanin" w:eastAsia="IRNazanin"/>
          <w:color w:val="111111"/>
          <w:sz w:val="28"/>
          <w:sz w:val="28"/>
          <w:szCs w:val="28"/>
          <w:rtl w:val="true"/>
          <w:lang w:bidi="fa-IR"/>
        </w:rPr>
        <w:t>اگر معاملۀ خوک جایز باشد، بدون شک استفاده از آن نیز جایز است؛ لیکن اکنون که معاملۀ خوک فقط در یک صورت جایز است و در بقیۀ موارد جایز نیست، آیا می‌توان از آن در منافع حلال استفاده کرد یا خیر؟</w:t>
      </w:r>
    </w:p>
    <w:p>
      <w:pPr>
        <w:pStyle w:val="BookText"/>
        <w:rPr/>
      </w:pPr>
      <w:r>
        <w:rPr>
          <w:rFonts w:ascii="IRNazanin" w:hAnsi="IRNazanin" w:eastAsia="IRNazanin"/>
          <w:color w:val="111111"/>
          <w:sz w:val="28"/>
          <w:sz w:val="28"/>
          <w:szCs w:val="28"/>
          <w:rtl w:val="true"/>
          <w:lang w:bidi="fa-IR"/>
        </w:rPr>
        <w:t>به‌عنوان مثال، قرارگرفتن خوک در میان اسب‌ها موجب سرعت بیش‌تر و چالاکی آنها می‌شود، آیا می‌توان از خوک برای این کار استفاده کرد؟</w:t>
      </w:r>
    </w:p>
    <w:p>
      <w:pPr>
        <w:pStyle w:val="BookText"/>
        <w:rPr/>
      </w:pPr>
      <w:r>
        <w:rPr>
          <w:rFonts w:ascii="IRNazanin" w:hAnsi="IRNazanin" w:eastAsia="IRNazanin"/>
          <w:color w:val="111111"/>
          <w:sz w:val="28"/>
          <w:sz w:val="28"/>
          <w:szCs w:val="28"/>
          <w:rtl w:val="true"/>
          <w:lang w:bidi="fa-IR"/>
        </w:rPr>
        <w:t>امام خمینی قدس سره استفادۀ حلال از خوک را بنا بر قواعد جایز می‌داند؛ زیرا قاعده این است که استفاده به خاطر منفعت حلال مانعی ندارد؛ لیکن پس از این مطلب سخنی را از شیخ طوسی قدس سره در المبسوط نقل می‌کند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معاملۀ خوک و انتفاع از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خمینی قدس سره در پایان احتیاط کرده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الأحوط عدم الإنتفاع</w:t>
      </w:r>
      <w:r>
        <w:rPr>
          <w:rFonts w:eastAsia="IRNazanin" w:cs="IRNazanin"/>
          <w:color w:val="111111"/>
          <w:sz w:val="28"/>
          <w:szCs w:val="28"/>
          <w:rtl w:val="true"/>
          <w:lang w:bidi="fa-IR"/>
        </w:rPr>
        <w:t>».</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در این‌جا لازم است که دوباره این نکتۀ اجتهادی را یادآوری کنیم که هرچند ایشان طبق قواعد، انتفاع از خوک را جایز می‌داند، ولی از آن‌جا که هیچ فقیهی تا کنون به آن فتوا نداده است، احتیاط می‌کنند</w:t>
      </w:r>
      <w:r>
        <w:rPr>
          <w:rFonts w:eastAsia="IRNazanin" w:cs="IRNazanin"/>
          <w:color w:val="111111"/>
          <w:sz w:val="28"/>
          <w:szCs w:val="28"/>
          <w:rtl w:val="true"/>
          <w:lang w:bidi="fa-IR"/>
        </w:rPr>
        <w:t>.</w:t>
      </w:r>
    </w:p>
    <w:p>
      <w:pPr>
        <w:pStyle w:val="Heading5"/>
        <w:numPr>
          <w:ilvl w:val="4"/>
          <w:numId w:val="1"/>
        </w:numPr>
        <w:rPr/>
      </w:pPr>
      <w:bookmarkStart w:id="926" w:name="__RefHeading___Toc2531403_1468164448"/>
      <w:bookmarkStart w:id="927" w:name="_Toc357"/>
      <w:bookmarkEnd w:id="926"/>
      <w:r>
        <w:rPr>
          <w:rtl w:val="true"/>
        </w:rPr>
        <w:t>بند سوم</w:t>
      </w:r>
      <w:r>
        <w:rPr>
          <w:rtl w:val="true"/>
        </w:rPr>
        <w:t xml:space="preserve">: </w:t>
      </w:r>
      <w:r>
        <w:rPr>
          <w:rtl w:val="true"/>
        </w:rPr>
        <w:t>استفاده از اجزای خوک</w:t>
      </w:r>
      <w:bookmarkEnd w:id="927"/>
    </w:p>
    <w:p>
      <w:pPr>
        <w:pStyle w:val="Heading6"/>
        <w:numPr>
          <w:ilvl w:val="5"/>
          <w:numId w:val="1"/>
        </w:numPr>
        <w:rPr/>
      </w:pPr>
      <w:bookmarkStart w:id="928" w:name="__RefHeading___Toc2531405_1468164448"/>
      <w:bookmarkStart w:id="929" w:name="_Toc358"/>
      <w:bookmarkEnd w:id="928"/>
      <w:r>
        <w:rPr>
          <w:rtl w:val="true"/>
        </w:rPr>
        <w:t>اشارة</w:t>
      </w:r>
      <w:bookmarkEnd w:id="929"/>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دیگری که در این گفتار مطرح می‌شود، این است که استفاده از اجزای خوک، مانند پوست یا موی آن جایز است یا خیر؟ دربارۀ این موضوع، فقها به‌طور مستقل</w:t>
      </w:r>
      <w:bookmarkStart w:id="930" w:name="pg13785_135334"/>
    </w:p>
    <w:p>
      <w:pPr>
        <w:pStyle w:val="BookText"/>
        <w:rPr/>
      </w:pPr>
      <w:bookmarkEnd w:id="930"/>
      <w:r>
        <w:rPr>
          <w:rFonts w:ascii="IRNazanin" w:hAnsi="IRNazanin" w:eastAsia="IRNazanin"/>
          <w:color w:val="111111"/>
          <w:sz w:val="28"/>
          <w:sz w:val="28"/>
          <w:szCs w:val="28"/>
          <w:rtl w:val="true"/>
          <w:lang w:bidi="fa-IR"/>
        </w:rPr>
        <w:t>بحث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روایات خاصّی نیز در این باب وجود دارد که باید مورد بررسی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از مواردی است که بین عبارات و فتاوای مشهور فقها، با آنچه که در روایات آمده است، کاملاً تفاوت وجود دارد؛ یعنی از عبارات فقها استفاده می‌شود که انتفاع از مو و پوست خوک جایز نیست؛ امّا از روایات استفاده می‌شود که این انتفاع جایز است</w:t>
      </w:r>
      <w:r>
        <w:rPr>
          <w:rFonts w:eastAsia="IRNazanin" w:cs="IRNazanin"/>
          <w:color w:val="111111"/>
          <w:sz w:val="28"/>
          <w:szCs w:val="28"/>
          <w:rtl w:val="true"/>
          <w:lang w:bidi="fa-IR"/>
        </w:rPr>
        <w:t>.</w:t>
      </w:r>
    </w:p>
    <w:p>
      <w:pPr>
        <w:pStyle w:val="Heading6"/>
        <w:numPr>
          <w:ilvl w:val="5"/>
          <w:numId w:val="1"/>
        </w:numPr>
        <w:rPr/>
      </w:pPr>
      <w:bookmarkStart w:id="931" w:name="__RefHeading___Toc2531407_1468164448"/>
      <w:bookmarkStart w:id="932" w:name="_Toc359"/>
      <w:bookmarkEnd w:id="931"/>
      <w:r>
        <w:rPr>
          <w:rtl w:val="true"/>
        </w:rPr>
        <w:t>الف</w:t>
      </w:r>
      <w:r>
        <w:rPr>
          <w:rtl w:val="true"/>
        </w:rPr>
        <w:t xml:space="preserve">) </w:t>
      </w:r>
      <w:r>
        <w:rPr>
          <w:rtl w:val="true"/>
        </w:rPr>
        <w:t>دیدگاه فقها</w:t>
      </w:r>
      <w:bookmarkEnd w:id="9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المقنع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وإیّاک أن تجعل جلد الخنزیر دلواً تستقی به الماء؛</w:t>
      </w:r>
      <w:r>
        <w:rPr>
          <w:rStyle w:val="FootnoteAnchor"/>
          <w:rtl w:val="true"/>
        </w:rPr>
        <w:footnoteReference w:id="802"/>
      </w:r>
      <w:r>
        <w:rPr>
          <w:rFonts w:ascii="IRNazanin" w:hAnsi="IRNazanin" w:eastAsia="IRNazanin"/>
          <w:color w:val="111111"/>
          <w:sz w:val="28"/>
          <w:sz w:val="28"/>
          <w:szCs w:val="28"/>
          <w:rtl w:val="true"/>
          <w:lang w:bidi="fa-IR"/>
        </w:rPr>
        <w:t>از این‌که از پوست خوک دلو درست کنی و با آن آب بکشی، پرهیز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مفتاح الکرامة قدس سره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حلّی قدس سره استفاده از پوست خوک جهت کشیدن آب چاه را جایز می‌داند و دیدگاه او مانند همان دیدگاه شیخ صدوق قدس سره است</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در حالی که بر اساس آنچه در المقنع آمده، دیدگاه شیخ صدوق قدس سره عدم جواز استفاده از پوست خوک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نقل صاحب مفتاح قدس سره با آنچه در المقنع آمده تهافت وجود دارد که شاید بتوان برای جمع میان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آنچه در مفتاح الکرامة آمده، این است که هنگامی می‌توان از پوست خوک برای کشیدن آب استفاده کرد که آب را در کارهایی مانند آبیاری 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نیاز به طهارت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کنند؛ ولی در جایی که برای وضو، غسل و کارهایی دیگری که نیاز به طهارت آب دارند استفاده شود، نمی‌توان از پوست خوک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می‌توان گفت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قدس سره نیز که کشیدن آب با پوست خوک را جایز نمی‌داند، مربوط به مواردی است که طهارت آب لازم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النهایة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شعر الخنزیر لایجوز له أن یستعمله مع الإختیار، فإن اضطرّ إلی إستعماله فلیستعمل منه ما لم یکن بقی فیه دسم؛</w:t>
      </w:r>
      <w:r>
        <w:rPr>
          <w:rStyle w:val="FootnoteAnchor"/>
          <w:rtl w:val="true"/>
        </w:rPr>
        <w:footnoteReference w:id="804"/>
      </w:r>
      <w:r>
        <w:rPr>
          <w:rFonts w:ascii="IRNazanin" w:hAnsi="IRNazanin" w:eastAsia="IRNazanin"/>
          <w:color w:val="111111"/>
          <w:sz w:val="28"/>
          <w:sz w:val="28"/>
          <w:szCs w:val="28"/>
          <w:rtl w:val="true"/>
          <w:lang w:bidi="fa-IR"/>
        </w:rPr>
        <w:t>از موی خوک نمی‌توان در صورت اختیار استفاده کرد، اگر هم اضطرار پیدا کرد، باید از مویی استفاده کند که چربی در آن وجود نداشته باشد؛ زیرا از آن‌جا که خوک نجس است، وجود چربی باعث سرایت نجاست به بدن یا لباس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ادریس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السرائر چنین می‌نویسد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شعر الخنزیر، لا یجوز للإنسان إستعماله مع الإختیار، علی الصحیح من أقوال أصحابنا، وإن کان قد ذهب منهم قوم إلی جواز إستعماله، وتمسّک بأنّه لا تحلّه الحیاة، إلّاأنّ أخبارنا متواترة عن الأئمّة الأطهار بتحریم إستعماله، والإحتیاط یقتضی ذلک، فإن اضطرّ إلی إستعماله فلیستعمل منه، ما لم یکن فیه دسم، بأن یترکه فی فخار، ویجعله فی النّار، فإذا ذهب دسمه، إستعمله عند الضرورة والحاجة إلیه، ویغسل یده عند حضور الصلاة، علی ما وردت الأخبار بذلک؛</w:t>
      </w:r>
      <w:r>
        <w:rPr>
          <w:rStyle w:val="FootnoteAnchor"/>
          <w:rtl w:val="true"/>
        </w:rPr>
        <w:footnoteReference w:id="805"/>
      </w:r>
      <w:r>
        <w:rPr>
          <w:rFonts w:ascii="IRNazanin" w:hAnsi="IRNazanin" w:eastAsia="IRNazanin"/>
          <w:color w:val="111111"/>
          <w:sz w:val="28"/>
          <w:sz w:val="28"/>
          <w:szCs w:val="28"/>
          <w:rtl w:val="true"/>
          <w:lang w:bidi="fa-IR"/>
        </w:rPr>
        <w:t>طبق دیدگاه صحیح از میان اقوال امامیّه، در حالت اختیار استفاده از موی خوک جایز نیست، اگر چه برخی گفته‌اند جایز است و استدلالشان هم این است که موی خوک حیات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اخبار متواتری از ائمّۀ اطهار علیهم السلام دربارۀ حرمت استعمال موی خوک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به استعمال آن اضطرار پیدا کند، می‌تواند از آن استفاده کند، ولی باید آن را در تنور گذاشته و آتش روشن کند تا چربی آن برود و سپس آن را در حاجت خود مورد استفاده قرار دهد، و هنگام حضور در نماز دستان خود را بشوید، چنانچه اخبار نیز بر همین مطلب وارد شده‌اند</w:t>
      </w:r>
      <w:r>
        <w:rPr>
          <w:rFonts w:eastAsia="IRNazanin" w:cs="IRNazanin"/>
          <w:color w:val="111111"/>
          <w:sz w:val="28"/>
          <w:szCs w:val="28"/>
          <w:rtl w:val="true"/>
          <w:lang w:bidi="fa-IR"/>
        </w:rPr>
        <w:t>.</w:t>
      </w:r>
      <w:bookmarkStart w:id="933" w:name="pg13785_135336"/>
    </w:p>
    <w:p>
      <w:pPr>
        <w:pStyle w:val="BookText"/>
        <w:rPr/>
      </w:pPr>
      <w:bookmarkEnd w:id="933"/>
      <w:r>
        <w:rPr>
          <w:rFonts w:ascii="IRNazanin" w:hAnsi="IRNazanin" w:eastAsia="IRNazanin"/>
          <w:color w:val="111111"/>
          <w:sz w:val="28"/>
          <w:sz w:val="28"/>
          <w:szCs w:val="28"/>
          <w:rtl w:val="true"/>
          <w:lang w:bidi="fa-IR"/>
        </w:rPr>
        <w:t>منظور از قوم در کلام ایشان، سیّد مرتضی قدس سره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شیخ صدوق و شیخ طوسی و ابن ادریس قدس سرهم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موی خوک اختیاراً جایز نیست، و اگر اضطراری حاصل شد باز هم باید آن را در گرما قرار دهند تا خشک شود، سپس استفاده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حلّی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شرایع الإسلام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لایجوز إستعمال شعر الخنزیر إختیاراً، فإن اضطرّ استعمل ما لا دسم فیه وغسل یده؛</w:t>
      </w:r>
      <w:r>
        <w:rPr>
          <w:rStyle w:val="FootnoteAnchor"/>
          <w:rtl w:val="true"/>
        </w:rPr>
        <w:footnoteReference w:id="806"/>
      </w:r>
      <w:r>
        <w:rPr>
          <w:rFonts w:ascii="IRNazanin" w:hAnsi="IRNazanin" w:eastAsia="IRNazanin"/>
          <w:color w:val="111111"/>
          <w:sz w:val="28"/>
          <w:sz w:val="28"/>
          <w:szCs w:val="28"/>
          <w:rtl w:val="true"/>
          <w:lang w:bidi="fa-IR"/>
        </w:rPr>
        <w:t>استفاده از موی خوک در حال اختیار جایز نیست و اگر مجبور به استفاده شد، از آنچه چربی ندارد، استفاده کند و پس از آن دستش را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عبارت را علاّمۀ حلّی قدس سره در کتاب قواعد الإحکام آورده است؛</w:t>
      </w:r>
      <w:r>
        <w:rPr>
          <w:rStyle w:val="FootnoteAnchor"/>
          <w:rtl w:val="true"/>
        </w:rPr>
        <w:footnoteReference w:id="807"/>
      </w:r>
      <w:r>
        <w:rPr>
          <w:rFonts w:ascii="IRNazanin" w:hAnsi="IRNazanin" w:eastAsia="IRNazanin"/>
          <w:color w:val="111111"/>
          <w:sz w:val="28"/>
          <w:sz w:val="28"/>
          <w:szCs w:val="28"/>
          <w:rtl w:val="true"/>
          <w:lang w:bidi="fa-IR"/>
        </w:rPr>
        <w:t>ولی در مختلف، عکس این نظر را مطرح کرده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والمعتمد جواز إستعماله مطلقاً ونجاسته لا تعارض الإنتفاع به لما فیه من المنفعة العاجلة الخالیة من ضرر عاجل أو آجل، فیکون سائغاً عملاً بالأصل السالم من معارضه؛</w:t>
      </w:r>
      <w:r>
        <w:rPr>
          <w:rStyle w:val="FootnoteAnchor"/>
          <w:rtl w:val="true"/>
        </w:rPr>
        <w:footnoteReference w:id="808"/>
      </w:r>
      <w:r>
        <w:rPr>
          <w:rFonts w:ascii="IRNazanin" w:hAnsi="IRNazanin" w:eastAsia="IRNazanin"/>
          <w:color w:val="111111"/>
          <w:sz w:val="28"/>
          <w:sz w:val="28"/>
          <w:szCs w:val="28"/>
          <w:rtl w:val="true"/>
          <w:lang w:bidi="fa-IR"/>
        </w:rPr>
        <w:t>استفاده از موی خوک جایز است، چه در حال اختیار و چه در حال اضطرار، و نجس بودن خوک، مانع انتفاع از آن نمی‌شود؛ چون ضرری بر آن مترتّب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اصل بر جواز استفاده است و هیچ معارضی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طبق دیدگاه بیشتر فقها، استفاده از اجزای خوک جایز نیست و فقط علاّمۀ حلّی قدس سره در مختلف و برخی دیگر، این انتفاع را جایز می‌دانند</w:t>
      </w:r>
      <w:r>
        <w:rPr>
          <w:rFonts w:eastAsia="IRNazanin" w:cs="IRNazanin"/>
          <w:color w:val="111111"/>
          <w:sz w:val="28"/>
          <w:szCs w:val="28"/>
          <w:rtl w:val="true"/>
          <w:lang w:bidi="fa-IR"/>
        </w:rPr>
        <w:t>.</w:t>
      </w:r>
    </w:p>
    <w:p>
      <w:pPr>
        <w:pStyle w:val="Heading6"/>
        <w:numPr>
          <w:ilvl w:val="5"/>
          <w:numId w:val="1"/>
        </w:numPr>
        <w:rPr/>
      </w:pPr>
      <w:bookmarkStart w:id="934" w:name="__RefHeading___Toc2531409_1468164448"/>
      <w:bookmarkStart w:id="935" w:name="_Toc360"/>
      <w:bookmarkEnd w:id="934"/>
      <w:r>
        <w:rPr>
          <w:rtl w:val="true"/>
        </w:rPr>
        <w:t>ب</w:t>
      </w:r>
      <w:r>
        <w:rPr>
          <w:rtl w:val="true"/>
        </w:rPr>
        <w:t xml:space="preserve">) </w:t>
      </w:r>
      <w:r>
        <w:rPr>
          <w:rtl w:val="true"/>
        </w:rPr>
        <w:t>بررسی روایات</w:t>
      </w:r>
      <w:bookmarkEnd w:id="9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یکم</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بِإِسْنَادِهِ عَنْ مُحَمَّدِ بْنِ أَحْمَدَ بْنِ یَحْیَی، عَنْ عَبْدِ اللّهِ بْنِ</w:t>
      </w:r>
    </w:p>
    <w:p>
      <w:pPr>
        <w:pStyle w:val="BookText"/>
        <w:rPr/>
      </w:pPr>
      <w:r>
        <w:rPr>
          <w:rFonts w:ascii="Amiri" w:hAnsi="Amiri" w:eastAsia="Amiri" w:cs="Amiri"/>
          <w:color w:val="111111"/>
          <w:sz w:val="28"/>
          <w:sz w:val="28"/>
          <w:szCs w:val="28"/>
          <w:rtl w:val="true"/>
          <w:lang w:bidi="ar-SA"/>
        </w:rPr>
        <w:t>جَعْفَرٍ عَنْ أَیُّوبَ بْنِ نُوحٍ عَنْ صَفْوَانَ عَنْ سَیْفٍ التَّمَّارِ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رَجُلاً مِنْ مَوَالِیکَ یَعْمَلُ الْحَمَائِلَ بِشَعْرِ الْخِنْزِیرِ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 فَلْیَغْسِلْ یَدَهُ؛</w:t>
      </w:r>
      <w:r>
        <w:rPr>
          <w:rStyle w:val="FootnoteAnchor"/>
          <w:rtl w:val="true"/>
        </w:rPr>
        <w:footnoteReference w:id="809"/>
      </w:r>
      <w:r>
        <w:rPr>
          <w:rFonts w:ascii="IRNazanin" w:hAnsi="IRNazanin" w:eastAsia="IRNazanin"/>
          <w:color w:val="111111"/>
          <w:sz w:val="28"/>
          <w:sz w:val="28"/>
          <w:szCs w:val="28"/>
          <w:rtl w:val="true"/>
          <w:lang w:bidi="fa-IR"/>
        </w:rPr>
        <w:t>به امام علیه السلام گفته شد که مردی از دوستداران شما با موی خوک، علامت شمشیر بر روی لباس‌ها درست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کار، دست خود را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حمائل جمع حمیله به معنای شمشیر روی لباس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بن تمّار، مردّد بین چند نفر است و اگر سیف بن سلیمان تمّار باشد، روایت موثّق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استفاده می‌شود که انتفاع از موی خوک با وجود نجاست آن،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نکتۀ دیگر این است که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 الحمائل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این باشد که آن شخص حمائل را برای خودش درست می‌کند، که این احتمال بعید است؛ چون فعل مضارع دلالت بر استمرار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مقصود این باشد که کار را برای فروش انجام می‌دهد؛ پس می‌توان جواز معاملۀ موی خوک را نیز از این روایت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نتوان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قرینه برای معامله قرار داد، می‌توان از راه ترک استفصال، جواز معامله را ثابت کرد؛ یعنی عدم تفصیل امام علیه السلام میان این دو حالت، دلالت بر جواز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نکته‌ای که باید مورد توجّه قرار گیرد، این است که در این روایت هیچ قرینه‌ای مبنی بر ضرورت و اضطرار در انجام این‌کار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عَلِیِّ بْنِ الْحُسَیْنِ بِإِسْنَادِهِ عَنْ حَنَانِ بْنِ سَدِیرٍ عَنْ بُرْدٍ الْإِسْکَافِ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إِنِّی رَجُلٌ خَرَّازٌ وَلَا یَسْتَقِیمُ عَمَلُنَا إِلاَّ بِشَعْرِ الْخِنْزِیرِ نَخْرُزُ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مِنْهُ وَبَرَةً فَاجْعَلْهَا فِی فَخَّارَةٍ ثُمَّ أَوْقِدْ تَحْتَهَا حَتَّی یَذْهَبَ دَسَمُهَا ثُمَّ اعْمَلْ بِه؛</w:t>
      </w:r>
      <w:r>
        <w:rPr>
          <w:rStyle w:val="FootnoteAnchor"/>
          <w:rtl w:val="true"/>
        </w:rPr>
        <w:footnoteReference w:id="810"/>
      </w:r>
      <w:r>
        <w:rPr>
          <w:rFonts w:ascii="IRNazanin" w:hAnsi="IRNazanin" w:eastAsia="IRNazanin"/>
          <w:color w:val="111111"/>
          <w:sz w:val="28"/>
          <w:sz w:val="28"/>
          <w:szCs w:val="28"/>
          <w:rtl w:val="true"/>
          <w:lang w:bidi="fa-IR"/>
        </w:rPr>
        <w:t>راوی می‌گوید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هستم که شغلم خرّازی است و مواد کار ما، موی خوک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کوره بگذار و زیر آن آتش روشن کن و پس از این‌که چربی‌اش از بین رفت، از آن استفاده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به دو سند مختلف در همین باب آمده است؛ در یکی از سندها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اسکان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اسکاف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که هر دو تضعیف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محقّق اردبیلی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دقّت و تسلّط زیادی در علم رجال داشته است و در سند روایات مناقشه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این‌جا ایرادی را مطرح نکرده است و نیز 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یحیی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بنا بر قول رجالیان فقط از افراد موثّق نقل روایت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نفر روایت نقل کرده‌اند، می‌توان سند این روایت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مبنا که اگر در سند روایت، یکی از اصحاب اجماع وجود داشته باشد، نسبت به ما بعد آن تحقیق لازم نیست، خلاف تحقیق است و مبنای صحیحی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صرف‌نظر از سند، این روایت بر جواز استفاده از موی خوک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باید دقّت شود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لایستقیم عملنا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بر اضطرار نمی‌کند، بلکه منظور این است که طبیعت و اقتضای کار ما این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وَعَنْهُ عَنِ ابْنِ أَبِی عُمَیْرٍ عَنْ هِشَامِ بْنِ سَالِمٍ عَنْ سُلَیْمَانَ الْإِسْکَافِ قَالَ</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عَبْدِ اللّهِ علیه السلام عَنْ شَعْرِ الْخِنْزِیرِ یَخْرُزُ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 وَلَکِنْ یَغْسِلُ یَدَهُ إِذَا أَرَادَ أَنْ یُصَلِّیَ</w:t>
      </w:r>
      <w:r>
        <w:rPr>
          <w:rFonts w:eastAsia="Amiri" w:cs="Amiri" w:ascii="Amiri" w:hAnsi="Amiri"/>
          <w:color w:val="111111"/>
          <w:sz w:val="28"/>
          <w:szCs w:val="28"/>
          <w:rtl w:val="true"/>
          <w:lang w:bidi="ar-SA"/>
        </w:rPr>
        <w:t>.</w:t>
      </w:r>
      <w:r>
        <w:rPr>
          <w:rStyle w:val="FootnoteAnchor"/>
          <w:rtl w:val="true"/>
        </w:rPr>
        <w:footnoteReference w:id="81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وَبِإِسْنَادِهِ عَنْ مُحَمَّدِ بْنِ عَلِیِّ بْنِ مَحْبُوبٍ عَنْ یَعْقُوبَ بْنِ یَزِیدَ عَنِ ابْنِ أَبِی عُمَیْرٍ عَنْ أَبِی زِیَادٍ النَّهْدِیِّ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جِلْدِ الْخِنْزِیرِ یُجْعَلُ دَلْواً یُسْتَقَی بِهِ الْمَاءُ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Style w:val="FootnoteAnchor"/>
          <w:rtl w:val="true"/>
        </w:rPr>
        <w:footnoteReference w:id="812"/>
      </w:r>
      <w:r>
        <w:rPr>
          <w:rFonts w:ascii="IRNazanin" w:hAnsi="IRNazanin" w:eastAsia="IRNazanin"/>
          <w:color w:val="111111"/>
          <w:sz w:val="28"/>
          <w:sz w:val="28"/>
          <w:szCs w:val="28"/>
          <w:rtl w:val="true"/>
          <w:lang w:bidi="fa-IR"/>
        </w:rPr>
        <w:t>زراره می‌گوید از امام صادق علیه السلام پرسیدم، آیا می‌توان با پوست خوک برای کشیدن آب، دلو درست کرد؟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وسائل قدس سره پس از ذکر این روایت از قول شیخ طوسی قدس سره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أنّه لا بأس أن یستقی به، لکن یستعمل فی سقی الدواب والأشجار ونحو ذلک؛</w:t>
      </w:r>
      <w:r>
        <w:rPr>
          <w:rStyle w:val="FootnoteAnchor"/>
          <w:rtl w:val="true"/>
        </w:rPr>
        <w:footnoteReference w:id="813"/>
      </w:r>
      <w:r>
        <w:rPr>
          <w:rFonts w:ascii="IRNazanin" w:hAnsi="IRNazanin" w:eastAsia="IRNazanin"/>
          <w:color w:val="111111"/>
          <w:sz w:val="28"/>
          <w:sz w:val="28"/>
          <w:szCs w:val="28"/>
          <w:rtl w:val="true"/>
          <w:lang w:bidi="fa-IR"/>
        </w:rPr>
        <w:t>بهتر آن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آب با آن اشکالی ندارد، ولی باید از آن برای آب دادن به حیوانات و درختان و مانند آن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به نظر می‌رسد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یُستقی به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و چنین تفصیلی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مُحَمَّدِ بْنِ یَحْیَی عَنْ أَحْمَدَ بْنِ مُحَمَّدٍ عَنِ ابْنِ مَحْبُوبٍ عَنِ ابْنِ رِئَابٍ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الْحَبْلِ یَکُونُ مِنْ شَعْرِ الْخِنْزِیرِ یُسْتَقَی بِهِ الْمَاءُ مِنَ الْبِئْرِ هَلْ یُتَوَضَّأُ مِنْ ذَلِکَ الْمَاءِ؟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Style w:val="FootnoteAnchor"/>
          <w:rtl w:val="true"/>
        </w:rPr>
        <w:footnoteReference w:id="814"/>
      </w:r>
      <w:r>
        <w:rPr>
          <w:rFonts w:ascii="IRNazanin" w:hAnsi="IRNazanin" w:eastAsia="IRNazanin"/>
          <w:color w:val="111111"/>
          <w:sz w:val="28"/>
          <w:sz w:val="28"/>
          <w:szCs w:val="28"/>
          <w:rtl w:val="true"/>
          <w:lang w:bidi="fa-IR"/>
        </w:rPr>
        <w:t>از امام صادق علیه السلام سؤال کردم که اگر با موی خوک طناب درست کرده و به‌وسیلۀ آن از چاه آب کشیده شود، آیا می‌توان با آن آب وضو گرفت؟ 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پاسخ امام صادق علیه السلام آمده است، اطلاق دارد و شامل</w:t>
      </w:r>
      <w:bookmarkStart w:id="936" w:name="pg13785_135340"/>
    </w:p>
    <w:p>
      <w:pPr>
        <w:pStyle w:val="BookText"/>
        <w:rPr/>
      </w:pPr>
      <w:bookmarkEnd w:id="936"/>
      <w:r>
        <w:rPr>
          <w:rFonts w:ascii="IRNazanin" w:hAnsi="IRNazanin" w:eastAsia="IRNazanin"/>
          <w:color w:val="111111"/>
          <w:sz w:val="28"/>
          <w:sz w:val="28"/>
          <w:szCs w:val="28"/>
          <w:rtl w:val="true"/>
          <w:lang w:bidi="fa-IR"/>
        </w:rPr>
        <w:t>شخصی که آب می‌کشد و غیر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ظاهر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یتوضّأ من ذلک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 دلو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استفاده می‌شود که استفاده از موی خوک اشکالی ندارد، هرچند در ذهن سائل این بوده که وقتی طناب به داخل چاه می‌رود، با آب دلو تماس پیدا می‌کند و ممکن است آن را نجس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این مطلب که موی خوک، منّجس هست یا خیر را از این روایت استفاده کرد؛ ولی آنچه به روشنی از روایت برداشت می‌شود، جواز انتفاع از موی خوک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انتفاع از هر چیزی به حسب خودش است و انتفاع از آب، خوردن و وضو گرفتن است، ولی بستن طناب به دلو از مقدّمات انتفاع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نمی‌توان جواز انتفاع از موی خوک را از روایت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انتفاع، یعنی انسان چیزی را در مسیر رفع حاجت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دو عنوان تصرّف و انتفاع وجود دارد؛ یعنی گاهی کسی در زمین دیگری می‌نشیند که این تصرّف و غصب است، هرچند ممکن است زمین آن قدر داغ باشد که حتّی پای او را بسوزاند و هیچ‌گونه انتفاعی از آن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کسی زیر سایۀ درختی نشسته و صاحب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درست است که در درخت تصرّفی نکرده است، ولی حقّ انتفاع از این درخت، مخصوص صاحب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انتفاع، یعنی انسان برای رفع حاجت خود از چیزی استفاده کند و عرف نیز بستن طناب به دلو را به انتفاع تعبیر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نمی‌توان این اشکال را پذیرفت</w:t>
      </w:r>
      <w:r>
        <w:rPr>
          <w:rFonts w:eastAsia="IRNazanin" w:cs="IRNazanin"/>
          <w:color w:val="111111"/>
          <w:sz w:val="28"/>
          <w:szCs w:val="28"/>
          <w:rtl w:val="true"/>
          <w:lang w:bidi="fa-IR"/>
        </w:rPr>
        <w:t>.</w:t>
      </w:r>
    </w:p>
    <w:p>
      <w:pPr>
        <w:pStyle w:val="Heading6"/>
        <w:numPr>
          <w:ilvl w:val="5"/>
          <w:numId w:val="1"/>
        </w:numPr>
        <w:rPr/>
      </w:pPr>
      <w:bookmarkStart w:id="937" w:name="__RefHeading___Toc2531411_1468164448"/>
      <w:bookmarkStart w:id="938" w:name="_Toc361"/>
      <w:bookmarkEnd w:id="937"/>
      <w:r>
        <w:rPr>
          <w:rtl w:val="true"/>
        </w:rPr>
        <w:t>ج</w:t>
      </w:r>
      <w:r>
        <w:rPr>
          <w:rtl w:val="true"/>
        </w:rPr>
        <w:t xml:space="preserve">) </w:t>
      </w:r>
      <w:r>
        <w:rPr>
          <w:rtl w:val="true"/>
        </w:rPr>
        <w:t>دیدگاه برگزیده</w:t>
      </w:r>
      <w:bookmarkEnd w:id="938"/>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بررسی دیدگاه‌های فقها و روایات این باب، معلوم گردید که ظاهراً این دو در مقابل یک‌دیگر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استفاده از اجزای خوک را حرام می‌دانند و ادّعای اجماع کرده‌اند؛ امّا مضمون روایات این است که این انتفاع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فقها جواز را منوط به اضطرار می‌دانند، ولی در روایاتی که ذکر شد، هیچ سخنی از اضطرار</w:t>
      </w:r>
    </w:p>
    <w:p>
      <w:pPr>
        <w:pStyle w:val="BookText"/>
        <w:rPr/>
      </w:pPr>
      <w:r>
        <w:rPr>
          <w:rFonts w:ascii="IRNazanin" w:hAnsi="IRNazanin" w:eastAsia="IRNazanin"/>
          <w:color w:val="111111"/>
          <w:sz w:val="28"/>
          <w:sz w:val="28"/>
          <w:szCs w:val="28"/>
          <w:rtl w:val="true"/>
          <w:lang w:bidi="fa-IR"/>
        </w:rPr>
        <w:t>به میان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فقها نسبت به یک مسئله، اجماع کرده‌اند و در مقابل آنها یک روایت صحیح السند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از این روایت، اعراض کرده‌اند و باید آن را رها کرد؛ لیکن در این بحث، روایات متعدّدی وجود دارد و به‌خاطر همین باید برای حلّ تضادّ میان روایات و نظر فقها چاره‌ای اندیشید؛ چراکه بسیار مشکل است که تصوّر کنیم فقهای قائل به حرمت، روایات این باب را ندیده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وجهی در روایات پیدا شود که بتواند میان این روایات و شهرت موجود را 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قدس سره در این باره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و اجماعی که در کلام فقها به آن اشاره شده، صحیح نیست؛ زیرا شیخ صدوق در المقنع، علاّمۀ حلّی در مختلف الشیعة، فاضل هندی در کشف اللثام و محقّق اردبیلی قدس سرهم که از بزرگان فقه محسوب می‌شوند، انتفاع از موی خوک را جایز می‌دانند</w:t>
      </w:r>
      <w:r>
        <w:rPr>
          <w:rFonts w:eastAsia="IRNazanin" w:cs="IRNazanin"/>
          <w:color w:val="111111"/>
          <w:sz w:val="28"/>
          <w:szCs w:val="28"/>
          <w:rtl w:val="true"/>
          <w:lang w:bidi="fa-IR"/>
        </w:rPr>
        <w:t>.</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همچنین امام خمینی قدس سره دربارۀ کلام ابن ادریس قدس سره که مطرح شد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اشتباه است و باید این گونه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اخبارنا بالجواز 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نظر می‌رسد که این سخن امام خمینی قدس سره صحیح نیست؛ زیرا در ادامۀ عبارت ابن ادریس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بتحریم استعماله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ابن ادریس از اخباری که بر حرمت استفاده از موی خوک دلالت می‌کنند و متواتر هستند، احادیثی است که انتفاع از عین نجاست را حرام می‌داند؛ زیرا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فقهای امامیّه، صحیح این است که استعمال موی خوک جایز نیست، و فقط سیّد مرتضی قدس سره آن را اجازه داده و دلیل او هم این است که موی خوک را پاک می‌داند، چون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تحلّه الحیات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هندی قدس سره نیز برای جمع بین اضطراری که در کلام فقها آمده است با اطلاقی که در روایات وجود دارد،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ولعلّه یکفی فی الإضطرار عدم کمال العمل بدونه؛</w:t>
      </w:r>
      <w:r>
        <w:rPr>
          <w:rStyle w:val="FootnoteAnchor"/>
          <w:rtl w:val="true"/>
        </w:rPr>
        <w:footnoteReference w:id="816"/>
      </w:r>
      <w:r>
        <w:rPr>
          <w:rFonts w:ascii="IRNazanin" w:hAnsi="IRNazanin" w:eastAsia="IRNazanin"/>
          <w:color w:val="111111"/>
          <w:sz w:val="28"/>
          <w:sz w:val="28"/>
          <w:szCs w:val="28"/>
          <w:rtl w:val="true"/>
          <w:lang w:bidi="fa-IR"/>
        </w:rPr>
        <w:t>برای صدق اضطرار، همین‌که عمل شخص، بدون استفاده از خوک کامل نباشد،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گمان نکنید که اختیار و اضطراری که در کلمات فقها آمده، همان اختیار و اضطرار اصطلاحی است که در مقابل اختیار قرار دارد و حکم تکلیفی را بر می‌دارد؛ بلکه مراد از اضطرار، مرتبه‌ای ضعیف‌تر است؛ یعنی به معنای عدم کمال عمل بدون استفاده از خوک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همین‌که می‌خواهد از چاه آب بکشد و طنابی ندارد، یک راه این است که خودش در چاه برود و آب بخورد، و یک راه این است که صبر کند، و راه سوم هم این است که موی خوک را به دلو بسته و در چاه بیندازد و آب بیرون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میان روایات این باب، چنین قیدی وجود داشته باشد، می‌تواند سایر روایات را مقیّد کند و در این‌صورت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ابن ادریس قدس سره نیز همان روایات مقیّد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این معنا، این است که در روایت دوم، سائل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رجلٌ خرّاز ولا یستقیم عملنا الّا بشعر 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دارد که اضطرار به حدّی نیست که رافع حکم تکلیفی باشد؛ بلکه اقتضای کار خرّازی استفاده از موی خوک است، وگرنه می‌شود این کار را انجام نداد و سراغ شغل دیگری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اشکال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قید در کلام سائل بوده است؛ ولی امام علیه السلام به صورت مطلق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مبنای آخوند خراسانی قدس سره پذیرفته شود، قدر متیقّن در مقام تخاطب، مانع از اطلاق است؛ یعنی هنگامی که سائل در کلام خود قیدی آورده است، پاسخ امام علیه السلام نیز به‌طور یقین، آن قید را در بر دارد و چون در مقام گفتگو بوده‌اند، باید به همین مقدار بسنده کرد و نمی‌توان از کلام امام علیه السلام اطلاق‌گیری کرد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مبنای آخوند پذیرفته نشود و بگوییم قدر متیقّن در مقام تخاطب، مانع از</w:t>
      </w:r>
    </w:p>
    <w:p>
      <w:pPr>
        <w:pStyle w:val="BookText"/>
        <w:rPr/>
      </w:pPr>
      <w:r>
        <w:rPr>
          <w:rFonts w:ascii="IRNazanin" w:hAnsi="IRNazanin" w:eastAsia="IRNazanin"/>
          <w:color w:val="111111"/>
          <w:sz w:val="28"/>
          <w:sz w:val="28"/>
          <w:szCs w:val="28"/>
          <w:rtl w:val="true"/>
          <w:lang w:bidi="fa-IR"/>
        </w:rPr>
        <w:t>اطلاق نیست، لیکن با این حال در این موارد تحریمی، خصوصیتی وجود دارد که مانع از اطلاق‌گیری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ابن ادریس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روایات است؛ ولی از این روایات قیدی را فهمیده است که اگر آن قید واقعاً وجود داشته باشد، بقیّۀ روایات را نیز مقیّد می‌کند و اگر وجود نداشته باشد، بقیّۀ روایات نیز به‌طور مطلق بر عدم جواز استفاده از موی خوک دلالت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ما نیز اختیار و اضطرار در کلمات فقها را به مثل آنچه در این روایات آمده است، معنا می‌کنیم تا تعارض بین آنها بر 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موی خوک به‌طور مطلق جایز نیست، ولی اگر به آن احتیاج بود، اشکالی ندارد؛ یعنی شارع تا حدّ امکان مانع استفاده از موی خوک شده است، ولی در مواردی که به آن نیاز باشد،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این‌جا حکم به کراهت نمی‌دهید؟</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از روایات حکم کراهتی برداشت کنیم؛ بلکه نهایتاً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حالت اختیار و اضطرار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معنای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داده شده است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وجود این‌که امام خمینی، محقّق خویی و دیگر بزرگان قدس سرهم، جواز انتفاع از موی خوک را پذیرفته‌اند، ولی انصاف این است که نمی‌توان به صورت مطلق، جواز را پذیرفت؛ زیرا لازمۀ این اطلاق، کنار گذاشتن عبارات فقها و چشم‌پوشی کردن از برخی قیود روایات است</w:t>
      </w:r>
      <w:r>
        <w:rPr>
          <w:rFonts w:eastAsia="IRNazanin" w:cs="IRNazanin"/>
          <w:color w:val="111111"/>
          <w:sz w:val="28"/>
          <w:szCs w:val="28"/>
          <w:rtl w:val="true"/>
          <w:lang w:bidi="fa-IR"/>
        </w:rPr>
        <w:t>.</w:t>
      </w:r>
      <w:bookmarkStart w:id="939" w:name="pg13785_135344"/>
    </w:p>
    <w:p>
      <w:pPr>
        <w:pStyle w:val="Heading3"/>
        <w:numPr>
          <w:ilvl w:val="2"/>
          <w:numId w:val="1"/>
        </w:numPr>
        <w:rPr/>
      </w:pPr>
      <w:bookmarkStart w:id="940" w:name="__RefHeading___Toc2531413_1468164448"/>
      <w:bookmarkStart w:id="941" w:name="_Toc362"/>
      <w:bookmarkEnd w:id="939"/>
      <w:bookmarkEnd w:id="940"/>
      <w:r>
        <w:rPr>
          <w:rtl w:val="true"/>
        </w:rPr>
        <w:t>فصل هشتم</w:t>
      </w:r>
      <w:r>
        <w:rPr>
          <w:rtl w:val="true"/>
        </w:rPr>
        <w:t xml:space="preserve">: </w:t>
      </w:r>
      <w:r>
        <w:rPr>
          <w:rtl w:val="true"/>
        </w:rPr>
        <w:t>کسب درآمد به وسیلۀ خمر</w:t>
      </w:r>
      <w:bookmarkEnd w:id="941"/>
    </w:p>
    <w:p>
      <w:pPr>
        <w:pStyle w:val="Heading4"/>
        <w:numPr>
          <w:ilvl w:val="3"/>
          <w:numId w:val="1"/>
        </w:numPr>
        <w:rPr/>
      </w:pPr>
      <w:bookmarkStart w:id="942" w:name="__RefHeading___Toc2531415_1468164448"/>
      <w:bookmarkStart w:id="943" w:name="_Toc363"/>
      <w:bookmarkEnd w:id="942"/>
      <w:r>
        <w:rPr>
          <w:rtl w:val="true"/>
        </w:rPr>
        <w:t>اشارة</w:t>
      </w:r>
      <w:bookmarkEnd w:id="943"/>
    </w:p>
    <w:p>
      <w:pPr>
        <w:pStyle w:val="BookText"/>
        <w:rPr/>
      </w:pPr>
      <w:r>
        <w:rPr>
          <w:rFonts w:ascii="IRNazanin" w:hAnsi="IRNazanin" w:eastAsia="IRNazanin"/>
          <w:color w:val="111111"/>
          <w:sz w:val="28"/>
          <w:sz w:val="28"/>
          <w:szCs w:val="28"/>
          <w:rtl w:val="true"/>
          <w:lang w:bidi="fa-IR"/>
        </w:rPr>
        <w:t>هفتمین مورد از مواردی که معاملۀ آن هم تکلیفاً حرام است و هم وضعاً فاسد،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خمر و حرمت تکسّب</w:t>
      </w:r>
      <w:r>
        <w:rPr>
          <w:rStyle w:val="FootnoteAnchor"/>
          <w:rtl w:val="true"/>
        </w:rPr>
        <w:footnoteReference w:id="817"/>
      </w:r>
      <w:r>
        <w:rPr>
          <w:rFonts w:ascii="IRNazanin" w:hAnsi="IRNazanin" w:eastAsia="IRNazanin"/>
          <w:color w:val="111111"/>
          <w:sz w:val="28"/>
          <w:sz w:val="28"/>
          <w:szCs w:val="28"/>
          <w:rtl w:val="true"/>
          <w:lang w:bidi="fa-IR"/>
        </w:rPr>
        <w:t>به آن، هم در فقه شیعه و هم در بین علمای عامّه، امر مسلّمی است و حتّی برخی تصریح کرده‌اند که حرمت تکسّب به خمر از ضروریات فقه است؛ یعنی اگر کسی خمر را بفروشد یا بخرد، هم کار حرامی کرده و هم معاملۀ او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قدس سره دربارۀ کسب درآمد به‌وسیلۀ خمر می‌نویسد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التکسّب بالخمر وکلّ مسکر مائع والفقّاع إجماعاً، نصّاً وفتویً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لی علی الرّجل دراهمَ فیُعطینی خمراً؟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وأفسِدها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إجعلها 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به إمّا أخذ الخمر مجّاناً ثمّ تخلیلها، أو أخذها وتخلیلها لصاحبها، ثمّ أخذ الخلّ وفاءً عن الدراهم؛</w:t>
      </w:r>
      <w:r>
        <w:rPr>
          <w:rStyle w:val="FootnoteAnchor"/>
          <w:rtl w:val="true"/>
        </w:rPr>
        <w:footnoteReference w:id="818"/>
      </w:r>
      <w:r>
        <w:rPr>
          <w:rFonts w:ascii="IRNazanin" w:hAnsi="IRNazanin" w:eastAsia="IRNazanin"/>
          <w:color w:val="111111"/>
          <w:sz w:val="28"/>
          <w:sz w:val="28"/>
          <w:szCs w:val="28"/>
          <w:rtl w:val="true"/>
          <w:lang w:bidi="fa-IR"/>
        </w:rPr>
        <w:t>مسئلۀ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درآمد با خمر و هر مسکری که مایع باشد و آبجو،</w:t>
      </w:r>
      <w:bookmarkStart w:id="944" w:name="pg13785_135345"/>
    </w:p>
    <w:p>
      <w:pPr>
        <w:pStyle w:val="BookText"/>
        <w:rPr/>
      </w:pPr>
      <w:bookmarkEnd w:id="944"/>
      <w:r>
        <w:rPr>
          <w:rFonts w:ascii="IRNazanin" w:hAnsi="IRNazanin" w:eastAsia="IRNazanin"/>
          <w:color w:val="111111"/>
          <w:sz w:val="28"/>
          <w:sz w:val="28"/>
          <w:szCs w:val="28"/>
          <w:rtl w:val="true"/>
          <w:lang w:bidi="fa-IR"/>
        </w:rPr>
        <w:t>اجماعاً حرام است و نص و فتوا بر آن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اخبار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چند درهم از مردی طلب داشتم و او به من خمر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بگیر و خرابش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ابی‌عمیر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به سرکه تبدیل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یا گرفتن خمر به صورت مجّانی و سپس تبدیل آن به سرکه است، یا مراد از اخذ، گرفتن خمر و سرکه‌سازی برای صاحب آن و سپس برداشتن سرکه به جای درهم‌هاست</w:t>
      </w:r>
      <w:r>
        <w:rPr>
          <w:rFonts w:eastAsia="IRNazanin" w:cs="IRNazanin"/>
          <w:color w:val="111111"/>
          <w:sz w:val="28"/>
          <w:szCs w:val="28"/>
          <w:rtl w:val="true"/>
          <w:lang w:bidi="fa-IR"/>
        </w:rPr>
        <w:t>.</w:t>
      </w:r>
    </w:p>
    <w:p>
      <w:pPr>
        <w:pStyle w:val="Heading4"/>
        <w:numPr>
          <w:ilvl w:val="3"/>
          <w:numId w:val="1"/>
        </w:numPr>
        <w:rPr/>
      </w:pPr>
      <w:bookmarkStart w:id="945" w:name="__RefHeading___Toc2531417_1468164448"/>
      <w:bookmarkStart w:id="946" w:name="_Toc364"/>
      <w:bookmarkEnd w:id="945"/>
      <w:r>
        <w:rPr>
          <w:rtl w:val="true"/>
        </w:rPr>
        <w:t>گفتار نخست</w:t>
      </w:r>
      <w:r>
        <w:rPr>
          <w:rtl w:val="true"/>
        </w:rPr>
        <w:t xml:space="preserve">: </w:t>
      </w:r>
      <w:r>
        <w:rPr>
          <w:rtl w:val="true"/>
        </w:rPr>
        <w:t>مفهوم‌شناسی</w:t>
      </w:r>
      <w:bookmarkEnd w:id="946"/>
    </w:p>
    <w:p>
      <w:pPr>
        <w:pStyle w:val="Heading5"/>
        <w:numPr>
          <w:ilvl w:val="4"/>
          <w:numId w:val="1"/>
        </w:numPr>
        <w:rPr/>
      </w:pPr>
      <w:bookmarkStart w:id="947" w:name="__RefHeading___Toc2531419_1468164448"/>
      <w:bookmarkStart w:id="948" w:name="_Toc365"/>
      <w:bookmarkEnd w:id="947"/>
      <w:r>
        <w:rPr>
          <w:rtl w:val="true"/>
        </w:rPr>
        <w:t>اشارة</w:t>
      </w:r>
      <w:bookmarkEnd w:id="948"/>
    </w:p>
    <w:p>
      <w:pPr>
        <w:pStyle w:val="BookText"/>
        <w:rPr/>
      </w:pPr>
      <w:r>
        <w:rPr>
          <w:rFonts w:ascii="IRNazanin" w:hAnsi="IRNazanin" w:eastAsia="IRNazanin"/>
          <w:color w:val="111111"/>
          <w:sz w:val="28"/>
          <w:sz w:val="28"/>
          <w:szCs w:val="28"/>
          <w:rtl w:val="true"/>
          <w:lang w:bidi="fa-IR"/>
        </w:rPr>
        <w:t>پیش از ورود به بحث دربارۀ تکسّب به خمر و بررسی ادلّه، لازم است دو مطلب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مراد از خمر چیست؟ و دوم این‌که مراد از تکسّب چیست؟</w:t>
      </w:r>
    </w:p>
    <w:p>
      <w:pPr>
        <w:pStyle w:val="Heading5"/>
        <w:numPr>
          <w:ilvl w:val="4"/>
          <w:numId w:val="1"/>
        </w:numPr>
        <w:rPr/>
      </w:pPr>
      <w:bookmarkStart w:id="949" w:name="__RefHeading___Toc2531421_1468164448"/>
      <w:bookmarkStart w:id="950" w:name="_Toc366"/>
      <w:bookmarkEnd w:id="949"/>
      <w:r>
        <w:rPr>
          <w:rtl w:val="true"/>
        </w:rPr>
        <w:t>بند نخست</w:t>
      </w:r>
      <w:r>
        <w:rPr>
          <w:rtl w:val="true"/>
        </w:rPr>
        <w:t xml:space="preserve">: </w:t>
      </w:r>
      <w:r>
        <w:rPr>
          <w:rtl w:val="true"/>
        </w:rPr>
        <w:t>مراد از خمر در لغت و روایات</w:t>
      </w:r>
      <w:bookmarkEnd w:id="950"/>
    </w:p>
    <w:p>
      <w:pPr>
        <w:pStyle w:val="Heading6"/>
        <w:numPr>
          <w:ilvl w:val="5"/>
          <w:numId w:val="1"/>
        </w:numPr>
        <w:rPr/>
      </w:pPr>
      <w:bookmarkStart w:id="951" w:name="__RefHeading___Toc2531423_1468164448"/>
      <w:bookmarkStart w:id="952" w:name="_Toc367"/>
      <w:bookmarkEnd w:id="951"/>
      <w:r>
        <w:rPr>
          <w:rtl w:val="true"/>
        </w:rPr>
        <w:t>اشارة</w:t>
      </w:r>
      <w:bookmarkEnd w:id="952"/>
    </w:p>
    <w:p>
      <w:pPr>
        <w:pStyle w:val="BookText"/>
        <w:rPr/>
      </w:pPr>
      <w:r>
        <w:rPr>
          <w:rFonts w:ascii="IRNazanin" w:hAnsi="IRNazanin" w:eastAsia="IRNazanin"/>
          <w:color w:val="111111"/>
          <w:sz w:val="28"/>
          <w:sz w:val="28"/>
          <w:szCs w:val="28"/>
          <w:rtl w:val="true"/>
          <w:lang w:bidi="fa-IR"/>
        </w:rPr>
        <w:t>معنای لغوی خمر چیست؟ آیا خمر در قرآن و روایات، فقط به شرابی گفته می‌شود که آن را از انگور گرفته باشند، یا شرابی را که از کشمش یا خرما ساخته‌اند نیز شامل می‌شود؟</w:t>
      </w:r>
    </w:p>
    <w:p>
      <w:pPr>
        <w:pStyle w:val="Heading6"/>
        <w:numPr>
          <w:ilvl w:val="5"/>
          <w:numId w:val="1"/>
        </w:numPr>
        <w:rPr/>
      </w:pPr>
      <w:bookmarkStart w:id="953" w:name="__RefHeading___Toc2531425_1468164448"/>
      <w:bookmarkStart w:id="954" w:name="_Toc368"/>
      <w:bookmarkEnd w:id="953"/>
      <w:r>
        <w:rPr>
          <w:rtl w:val="true"/>
        </w:rPr>
        <w:t>الف</w:t>
      </w:r>
      <w:r>
        <w:rPr>
          <w:rtl w:val="true"/>
        </w:rPr>
        <w:t xml:space="preserve">) </w:t>
      </w:r>
      <w:r>
        <w:rPr>
          <w:rtl w:val="true"/>
        </w:rPr>
        <w:t>خمر در لغت</w:t>
      </w:r>
      <w:bookmarkEnd w:id="954"/>
    </w:p>
    <w:p>
      <w:pPr>
        <w:pStyle w:val="BookText"/>
        <w:rPr/>
      </w:pPr>
      <w:r>
        <w:rPr>
          <w:rFonts w:ascii="IRNazanin" w:hAnsi="IRNazanin" w:eastAsia="IRNazanin"/>
          <w:color w:val="111111"/>
          <w:sz w:val="28"/>
          <w:sz w:val="28"/>
          <w:szCs w:val="28"/>
          <w:rtl w:val="true"/>
          <w:lang w:bidi="fa-IR"/>
        </w:rPr>
        <w:t xml:space="preserve">از مجموع کتب لغویان استفاده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مطلق آن چیزی است که عقل را بپوشاند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از بین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 از انگور گرفته شده باشد یا هر چیز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تاج العروس آمده است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الخمر ما أسکر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 فی حقیقتها، فقیل هی من عصیر العنب خاصّةً، وهو مذهب أبی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عامّ أی ما أسکَر مِن عصیر 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اختاره الجمهور</w:t>
      </w:r>
      <w:r>
        <w:rPr>
          <w:rFonts w:eastAsia="IRNazanin" w:cs="IRNazanin"/>
          <w:color w:val="111111"/>
          <w:sz w:val="28"/>
          <w:szCs w:val="28"/>
          <w:rtl w:val="true"/>
          <w:lang w:bidi="fa-IR"/>
        </w:rPr>
        <w:t>.</w:t>
      </w:r>
      <w:r>
        <w:rPr>
          <w:rStyle w:val="FootnoteAnchor"/>
          <w:rtl w:val="true"/>
        </w:rPr>
        <w:footnoteReference w:id="819"/>
      </w:r>
      <w:bookmarkStart w:id="955" w:name="pg13785_135346"/>
    </w:p>
    <w:p>
      <w:pPr>
        <w:pStyle w:val="BookText"/>
        <w:rPr/>
      </w:pPr>
      <w:bookmarkEnd w:id="955"/>
      <w:r>
        <w:rPr>
          <w:rFonts w:ascii="IRNazanin" w:hAnsi="IRNazanin" w:eastAsia="IRNazanin"/>
          <w:color w:val="111111"/>
          <w:sz w:val="28"/>
          <w:sz w:val="28"/>
          <w:szCs w:val="28"/>
          <w:rtl w:val="true"/>
          <w:lang w:bidi="fa-IR"/>
        </w:rPr>
        <w:t>یعنی خمر هر چیز مست‌کننده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این‌که حقیقت آن چیست،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چیزی است که از آب انگور ساخته می‌شود و جمهور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عام است؛ یعنی هرچیزی را که مست کننده باشد، در بر می‌گیرد و تفاوتی ندارد که آن را از چه چیزی گرفته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مصباح المنیر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الخمرُ اسمٌ لِکلِّ مُسکرٍ خامرِ العقل؛</w:t>
      </w:r>
      <w:r>
        <w:rPr>
          <w:rStyle w:val="FootnoteAnchor"/>
          <w:rtl w:val="true"/>
        </w:rPr>
        <w:footnoteReference w:id="820"/>
      </w:r>
      <w:r>
        <w:rPr>
          <w:rFonts w:ascii="IRNazanin" w:hAnsi="IRNazanin" w:eastAsia="IRNazanin"/>
          <w:color w:val="111111"/>
          <w:sz w:val="28"/>
          <w:sz w:val="28"/>
          <w:szCs w:val="28"/>
          <w:rtl w:val="true"/>
          <w:lang w:bidi="fa-IR"/>
        </w:rPr>
        <w:t>خمر هر مسکری است که عقل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در کتاب مفردات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الخمر ستر الشیء ویقال لما یستر به خمار، والخمر سُمّیت لکونها خامرةً للعقل وهو عند بعض الناس اسم لکلّ مسکر وعند بعضهم اسم للمتَّخَذ من العنب والتمر لما رویَ عنه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من هاتین شجرتین النخل والعنب</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به چیزی که به‌وسیلۀ آن ستر می‌شود خمار می‌گویند، مانند حجابی که زنها با آن صورتشان را می‌پوشانند</w:t>
      </w:r>
      <w:r>
        <w:rPr>
          <w:rFonts w:eastAsia="IRNazanin" w:cs="IRNazanin"/>
          <w:color w:val="111111"/>
          <w:sz w:val="28"/>
          <w:szCs w:val="28"/>
          <w:rtl w:val="true"/>
          <w:lang w:bidi="fa-IR"/>
        </w:rPr>
        <w:t>.</w:t>
      </w:r>
      <w:r>
        <w:rPr>
          <w:rStyle w:val="FootnoteAnchor"/>
          <w:rtl w:val="true"/>
        </w:rPr>
        <w:footnoteReference w:id="822"/>
      </w:r>
      <w:r>
        <w:rPr>
          <w:rFonts w:ascii="IRNazanin" w:hAnsi="IRNazanin" w:eastAsia="IRNazanin"/>
          <w:color w:val="111111"/>
          <w:sz w:val="28"/>
          <w:sz w:val="28"/>
          <w:szCs w:val="28"/>
          <w:rtl w:val="true"/>
          <w:lang w:bidi="fa-IR"/>
        </w:rPr>
        <w:t>بعضی خمر را اسم برای هر مسکری می‌دانند و برخی نیز گفته‌اند که خمر فقط آن شرابی است که از انگور و خرما گرفته می‌شود؛ زیرا از پیامبر اکرم صلی الله علیه و آله 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از این دو درخت نخل و انگور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از نظر اکثر لغوی‌ها، معنای خمر همین معنای عام است و خصوص آن شرابی که از انگور ساخته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یتّخذ من العنب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Heading6"/>
        <w:numPr>
          <w:ilvl w:val="5"/>
          <w:numId w:val="1"/>
        </w:numPr>
        <w:rPr/>
      </w:pPr>
      <w:bookmarkStart w:id="956" w:name="__RefHeading___Toc2531427_1468164448"/>
      <w:bookmarkStart w:id="957" w:name="_Toc369"/>
      <w:bookmarkEnd w:id="956"/>
      <w:r>
        <w:rPr>
          <w:rtl w:val="true"/>
        </w:rPr>
        <w:t>ب</w:t>
      </w:r>
      <w:r>
        <w:rPr>
          <w:rtl w:val="true"/>
        </w:rPr>
        <w:t xml:space="preserve">) </w:t>
      </w:r>
      <w:r>
        <w:rPr>
          <w:rtl w:val="true"/>
        </w:rPr>
        <w:t>خمر در روایات</w:t>
      </w:r>
      <w:bookmarkEnd w:id="957"/>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اگر فرض شود که خمر در لغت، خصوص شراب انگور است، روایاتی در باب</w:t>
      </w:r>
    </w:p>
    <w:p>
      <w:pPr>
        <w:pStyle w:val="BookText"/>
        <w:rPr/>
      </w:pPr>
      <w:r>
        <w:rPr>
          <w:rFonts w:ascii="IRNazanin" w:hAnsi="IRNazanin" w:eastAsia="IRNazanin"/>
          <w:color w:val="111111"/>
          <w:sz w:val="28"/>
          <w:sz w:val="28"/>
          <w:szCs w:val="28"/>
          <w:rtl w:val="true"/>
          <w:lang w:bidi="fa-IR"/>
        </w:rPr>
        <w:t>خمر داریم که توسعه دارند و شامل مسکرات دیگر نیز می‌شوند</w:t>
      </w:r>
      <w:r>
        <w:rPr>
          <w:rFonts w:eastAsia="IRNazanin" w:cs="IRNazanin"/>
          <w:color w:val="111111"/>
          <w:sz w:val="28"/>
          <w:szCs w:val="28"/>
          <w:rtl w:val="true"/>
          <w:lang w:bidi="fa-IR"/>
        </w:rPr>
        <w:t>.</w:t>
      </w:r>
      <w:r>
        <w:rPr>
          <w:rStyle w:val="FootnoteAnchor"/>
          <w:rtl w:val="true"/>
        </w:rPr>
        <w:footnoteReference w:id="82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صحیحۀ علی بن یقطین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یَعقُوبَ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کلینی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یَقطینٍ عَن أبی الحَسنِ الماضی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لَم یُحَرِّمِ الخَمرَ لإسمِها، وَ لَکِن حَرَّمَها لِعاقِبَتِها، فَما کانَ عاقِبَتُهُ عاقِبَةَ الخَمرِ فَهُوَ خَمرٌ؛</w:t>
      </w:r>
      <w:r>
        <w:rPr>
          <w:rStyle w:val="FootnoteAnchor"/>
          <w:rtl w:val="true"/>
        </w:rPr>
        <w:footnoteReference w:id="824"/>
      </w:r>
      <w:r>
        <w:rPr>
          <w:rFonts w:ascii="IRNazanin" w:hAnsi="IRNazanin" w:eastAsia="IRNazanin"/>
          <w:color w:val="111111"/>
          <w:sz w:val="28"/>
          <w:sz w:val="28"/>
          <w:szCs w:val="28"/>
          <w:rtl w:val="true"/>
          <w:lang w:bidi="fa-IR"/>
        </w:rPr>
        <w:t xml:space="preserve">امام علیه السلام می‌فرماید خداوند خمر را به خاطر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نکرده است، بلکه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عاقبتش حرام کرده است، پس هر چیزی که عاقبت آن، همچون عاقبت خمر باشد، خمر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اگر خمر از خرما، کشمش، عسل یا هر چیز دیگری گرفته شده و مسکر باشد، یا اگر از مواد شیمیایی چیزی بسازند که بالفعل مسکر باشد، همۀ اینها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یعقوب الکلینی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یَقطینٍ عَن أبی إبراهیمَ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لَم یُحَرِّمِ الخَمرَ لإسمِها، وَ لَکِن حَرَّمَها لِعاقِبَتِها، فَما فَعَلَ فِعلَ الخَمرِ فَهُوَ خَمرٌ</w:t>
      </w:r>
      <w:r>
        <w:rPr>
          <w:rFonts w:eastAsia="Amiri" w:cs="Amiri" w:ascii="Amiri" w:hAnsi="Amiri"/>
          <w:color w:val="111111"/>
          <w:sz w:val="28"/>
          <w:szCs w:val="28"/>
          <w:rtl w:val="true"/>
          <w:lang w:bidi="ar-SA"/>
        </w:rPr>
        <w:t>.</w:t>
      </w:r>
      <w:r>
        <w:rPr>
          <w:rStyle w:val="FootnoteAnchor"/>
          <w:rtl w:val="true"/>
        </w:rPr>
        <w:footnoteReference w:id="82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الکَلبی النَّسّابَةِ أنَّهُ سألَ أبا عَبدِ اللّهِ علیه السلام عَنِ النَّبیذِ،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نَنبِذُهُ، فَنَطرَحُ فیهِ العَکَرَ وَ ما سِوَی ذَلِکَ، فَقالَ علیه السلام شَه شَه، تِلکَ الخَمرَةُ المُنتِنَةُ</w:t>
      </w:r>
      <w:r>
        <w:rPr>
          <w:rFonts w:eastAsia="Amiri" w:cs="Amiri" w:ascii="Amiri" w:hAnsi="Amiri"/>
          <w:color w:val="111111"/>
          <w:sz w:val="28"/>
          <w:szCs w:val="28"/>
          <w:rtl w:val="true"/>
          <w:lang w:bidi="ar-SA"/>
        </w:rPr>
        <w:t>.</w:t>
      </w:r>
      <w:r>
        <w:rPr>
          <w:rStyle w:val="FootnoteAnchor"/>
          <w:rtl w:val="true"/>
        </w:rPr>
        <w:footnoteReference w:id="826"/>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مایع مُسکری است که از خرما گرفته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عَکَر</w:t>
      </w:r>
      <w:r>
        <w:rPr>
          <w:rFonts w:eastAsia="IRNazanin" w:cs="IRNazanin"/>
          <w:color w:val="111111"/>
          <w:sz w:val="28"/>
          <w:szCs w:val="28"/>
          <w:rtl w:val="true"/>
          <w:lang w:bidi="fa-IR"/>
        </w:rPr>
        <w:t>»</w:t>
      </w:r>
      <w:r>
        <w:rPr>
          <w:rStyle w:val="FootnoteAnchor"/>
          <w:rtl w:val="true"/>
        </w:rPr>
        <w:footnoteReference w:id="827"/>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معنای تفاله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 شه</w:t>
      </w:r>
      <w:r>
        <w:rPr>
          <w:rFonts w:eastAsia="IRNazanin" w:cs="IRNazanin"/>
          <w:color w:val="111111"/>
          <w:sz w:val="28"/>
          <w:szCs w:val="28"/>
          <w:rtl w:val="true"/>
          <w:lang w:bidi="fa-IR"/>
        </w:rPr>
        <w:t>»</w:t>
      </w:r>
      <w:r>
        <w:rPr>
          <w:rStyle w:val="FootnoteAnchor"/>
          <w:rtl w:val="true"/>
        </w:rPr>
        <w:footnoteReference w:id="828"/>
      </w:r>
      <w:r>
        <w:rPr>
          <w:rFonts w:ascii="IRNazanin" w:hAnsi="IRNazanin" w:eastAsia="IRNazanin"/>
          <w:color w:val="111111"/>
          <w:sz w:val="28"/>
          <w:sz w:val="28"/>
          <w:szCs w:val="28"/>
          <w:rtl w:val="true"/>
          <w:lang w:bidi="fa-IR"/>
        </w:rPr>
        <w:t>هم کنایه از زشتی است و هم در زبان عرب وقتی بخواهند به کسی بگویند این کار را نکن و او را بترسانند تا اجتناب کند،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 از امام صادق علیه السلام سؤال کرده است که آیا خوردن نبیذ، حلال است یا نه؟ سپس برای امام علیه السلام توضیح می‌دهد که چگونه پس از پهن کردن آن و گرفتن تفاله‌هایش، مایعی به دست می‌آید که آن را نبیذ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 شه، تلک الخمرة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این است که امام علیه السلام آنچه از خرما گرفته می‌شود را هم خمر دانسته‌اند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صحیحۀ عبدالرحمن بن حجّاج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یَعقُوبَ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الحَجّاجِ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العَصیرُ مِنَ الکَرمِ،</w:t>
      </w:r>
      <w:r>
        <w:rPr>
          <w:rStyle w:val="FootnoteAnchor"/>
          <w:rtl w:val="true"/>
        </w:rPr>
        <w:footnoteReference w:id="829"/>
      </w:r>
      <w:r>
        <w:rPr>
          <w:rFonts w:ascii="Amiri" w:hAnsi="Amiri" w:eastAsia="Amiri" w:cs="Amiri"/>
          <w:color w:val="111111"/>
          <w:sz w:val="28"/>
          <w:sz w:val="28"/>
          <w:szCs w:val="28"/>
          <w:rtl w:val="true"/>
          <w:lang w:bidi="ar-SA"/>
        </w:rPr>
        <w:t>وَالنَّقیعُ‌</w:t>
      </w:r>
      <w:r>
        <w:rPr>
          <w:rStyle w:val="FootnoteAnchor"/>
          <w:rtl w:val="true"/>
        </w:rPr>
        <w:footnoteReference w:id="830"/>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الزَّبیبِ، وَالبِتعُ‌</w:t>
      </w:r>
      <w:r>
        <w:rPr>
          <w:rStyle w:val="FootnoteAnchor"/>
          <w:rtl w:val="true"/>
        </w:rPr>
        <w:footnoteReference w:id="831"/>
      </w:r>
      <w:r>
        <w:rPr>
          <w:rFonts w:ascii="Amiri" w:hAnsi="Amiri" w:eastAsia="Amiri" w:cs="Amiri"/>
          <w:color w:val="111111"/>
          <w:sz w:val="28"/>
          <w:sz w:val="28"/>
          <w:szCs w:val="28"/>
          <w:rtl w:val="true"/>
          <w:lang w:bidi="ar-SA"/>
        </w:rPr>
        <w:t>مِنَ العَسَلِ، وَالمِزرُ</w:t>
      </w:r>
      <w:r>
        <w:rPr>
          <w:rStyle w:val="FootnoteAnchor"/>
          <w:rtl w:val="true"/>
        </w:rPr>
        <w:footnoteReference w:id="832"/>
      </w:r>
      <w:r>
        <w:rPr>
          <w:rFonts w:ascii="Amiri" w:hAnsi="Amiri" w:eastAsia="Amiri" w:cs="Amiri"/>
          <w:color w:val="111111"/>
          <w:sz w:val="28"/>
          <w:sz w:val="28"/>
          <w:szCs w:val="28"/>
          <w:rtl w:val="true"/>
          <w:lang w:bidi="ar-SA"/>
        </w:rPr>
        <w:t>مِنَ الشَّعیرِ، وَالنَّبیذُ مِنَ التَّمرِ؛</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پنج چیز مصداق خمر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انگور گرفته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کشمش گرفته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عسل گرفته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خرما گرفته می‌شود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در این روایت، همۀ این موارد را از مصادیق خمر به شمار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روایت به روشنی بر عام بودن معنای خمر دلالت می‌کند</w:t>
      </w:r>
      <w:r>
        <w:rPr>
          <w:rFonts w:eastAsia="IRNazanin" w:cs="IRNazanin"/>
          <w:color w:val="111111"/>
          <w:sz w:val="28"/>
          <w:szCs w:val="28"/>
          <w:rtl w:val="true"/>
          <w:lang w:bidi="fa-IR"/>
        </w:rPr>
        <w:t>.</w:t>
      </w:r>
      <w:bookmarkStart w:id="958" w:name="pg13785_135349"/>
    </w:p>
    <w:p>
      <w:pPr>
        <w:pStyle w:val="BookText"/>
        <w:rPr/>
      </w:pPr>
      <w:bookmarkEnd w:id="958"/>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موثّقه وشّاء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یعقوب الکلینی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یَعنی الرِّضا علیه السلام أسألُهُ عَنِ الفُقّاعِ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فَکَتَبَ علیه السلام حَرامٌ وَهُوَ خَمرٌ</w:t>
      </w:r>
      <w:r>
        <w:rPr>
          <w:rFonts w:eastAsia="Amiri" w:cs="Amiri" w:ascii="Amiri" w:hAnsi="Amiri"/>
          <w:color w:val="111111"/>
          <w:sz w:val="28"/>
          <w:szCs w:val="28"/>
          <w:rtl w:val="true"/>
          <w:lang w:bidi="ar-SA"/>
        </w:rPr>
        <w:t>...</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 xml:space="preserve">شاهد ما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امام علیه السلام علاوه بر بیان حکم حرمت شراب جو، تصریح می‌کنند که شراب جو نیز خمر است</w:t>
      </w:r>
      <w:r>
        <w:rPr>
          <w:rFonts w:eastAsia="IRNazanin" w:cs="IRNazanin"/>
          <w:color w:val="111111"/>
          <w:sz w:val="28"/>
          <w:szCs w:val="28"/>
          <w:rtl w:val="true"/>
          <w:lang w:bidi="fa-IR"/>
        </w:rPr>
        <w:t>.</w:t>
      </w:r>
    </w:p>
    <w:p>
      <w:pPr>
        <w:pStyle w:val="Heading6"/>
        <w:numPr>
          <w:ilvl w:val="5"/>
          <w:numId w:val="1"/>
        </w:numPr>
        <w:rPr/>
      </w:pPr>
      <w:bookmarkStart w:id="959" w:name="__RefHeading___Toc2531429_1468164448"/>
      <w:bookmarkStart w:id="960" w:name="_Toc370"/>
      <w:bookmarkEnd w:id="959"/>
      <w:r>
        <w:rPr>
          <w:rtl w:val="true"/>
        </w:rPr>
        <w:t>ج</w:t>
      </w:r>
      <w:r>
        <w:rPr>
          <w:rtl w:val="true"/>
        </w:rPr>
        <w:t xml:space="preserve">) </w:t>
      </w:r>
      <w:r>
        <w:rPr>
          <w:rtl w:val="true"/>
        </w:rPr>
        <w:t xml:space="preserve">عدم انصراف </w:t>
      </w:r>
      <w:r>
        <w:rPr>
          <w:rtl w:val="true"/>
        </w:rPr>
        <w:t>«</w:t>
      </w:r>
      <w:r>
        <w:rPr>
          <w:rtl w:val="true"/>
        </w:rPr>
        <w:t>خمر</w:t>
      </w:r>
      <w:r>
        <w:rPr>
          <w:rtl w:val="true"/>
        </w:rPr>
        <w:t xml:space="preserve">» </w:t>
      </w:r>
      <w:r>
        <w:rPr>
          <w:rtl w:val="true"/>
        </w:rPr>
        <w:t>در قرآن به معنای متعارف</w:t>
      </w:r>
      <w:bookmarkEnd w:id="960"/>
    </w:p>
    <w:p>
      <w:pPr>
        <w:pStyle w:val="BookText"/>
        <w:rPr/>
      </w:pPr>
      <w:r>
        <w:rPr>
          <w:rFonts w:ascii="IRNazanin" w:hAnsi="IRNazanin" w:eastAsia="IRNazanin"/>
          <w:color w:val="111111"/>
          <w:sz w:val="28"/>
          <w:sz w:val="28"/>
          <w:szCs w:val="28"/>
          <w:rtl w:val="true"/>
          <w:lang w:bidi="fa-IR"/>
        </w:rPr>
        <w:t>اگرچه در زمان نزول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خمر را از انگور می‌گرفتند، لیکن خمر در آیۀ شریفه، به شراب انگور، انصراف ندارد؛ زیرا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خمر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روایات بیان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همان خمری که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معصومین علیهم السلام در مقام بیان مقصود خداوند از کلمۀ خمر در آیۀ شریفه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فرمایش معصومین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باشد، الف و لام، برای عهد است؛ یعنی همان خمری که خداوند حرام کرده است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در مسئلۀ رؤیت هلال این بحث مطرح شد که در فقه نمی‌توان گفت که کلمات شارع مقدّس، به متعارف بین مردم منصرف‌اند؛ بلکه غیر متعارف را نیز شامل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لفظی به صورت مطلق استعمال شد، باید بگوییم مقصود گوینده، هر چیزی است که آن لفظ بر آن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همۀ کسانی را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اطلاق می‌شود اکرام کن، خواه این عالم، عالم متعارف باشد، خواه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اقتضای اطلاق است، به عبارت دیگر متعارف بودن مصداق، از اسباب انصراف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مسئلۀ خمر نیز باید به این نکته توجّه داشت که الفاظ را نباید بر مورد غالب و متعارف حمل کنیم</w:t>
      </w:r>
      <w:r>
        <w:rPr>
          <w:rFonts w:eastAsia="IRNazanin" w:cs="IRNazanin"/>
          <w:color w:val="111111"/>
          <w:sz w:val="28"/>
          <w:szCs w:val="28"/>
          <w:rtl w:val="true"/>
          <w:lang w:bidi="fa-IR"/>
        </w:rPr>
        <w:t>.</w:t>
      </w:r>
      <w:bookmarkStart w:id="961" w:name="pg13785_135350"/>
    </w:p>
    <w:p>
      <w:pPr>
        <w:pStyle w:val="BookText"/>
        <w:rPr/>
      </w:pPr>
      <w:bookmarkEnd w:id="961"/>
      <w:r>
        <w:rPr>
          <w:rFonts w:ascii="IRNazanin" w:hAnsi="IRNazanin" w:eastAsia="IRNazanin"/>
          <w:color w:val="111111"/>
          <w:sz w:val="28"/>
          <w:sz w:val="28"/>
          <w:szCs w:val="28"/>
          <w:rtl w:val="true"/>
          <w:lang w:bidi="fa-IR"/>
        </w:rPr>
        <w:t xml:space="preserve">با این حال، بر فرض که شخصی بخواهد مفهوم خمر را از نظر لغوی و یا از باب انصراف به مورد متعارف، محدود به شراب انگور کند، با وجود روایات فراوانی که در این باب وجود دارد،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دارد و شامل همۀ مُسکرات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کتب لغت و همچنین روایات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مسکرات را شامل می‌شود و احکامی که برای خمر ثابت است، برای مسکرات دیگر نیز ثابت می‌گردد</w:t>
      </w:r>
      <w:r>
        <w:rPr>
          <w:rFonts w:eastAsia="IRNazanin" w:cs="IRNazanin"/>
          <w:color w:val="111111"/>
          <w:sz w:val="28"/>
          <w:szCs w:val="28"/>
          <w:rtl w:val="true"/>
          <w:lang w:bidi="fa-IR"/>
        </w:rPr>
        <w:t>.</w:t>
      </w:r>
    </w:p>
    <w:p>
      <w:pPr>
        <w:pStyle w:val="Heading5"/>
        <w:numPr>
          <w:ilvl w:val="4"/>
          <w:numId w:val="1"/>
        </w:numPr>
        <w:rPr/>
      </w:pPr>
      <w:bookmarkStart w:id="962" w:name="__RefHeading___Toc2531431_1468164448"/>
      <w:bookmarkStart w:id="963" w:name="_Toc371"/>
      <w:bookmarkEnd w:id="962"/>
      <w:r>
        <w:rPr>
          <w:rtl w:val="true"/>
        </w:rPr>
        <w:t>بند دوم</w:t>
      </w:r>
      <w:r>
        <w:rPr>
          <w:rtl w:val="true"/>
        </w:rPr>
        <w:t xml:space="preserve">: </w:t>
      </w:r>
      <w:r>
        <w:rPr>
          <w:rtl w:val="true"/>
        </w:rPr>
        <w:t>مراد از تکسّب</w:t>
      </w:r>
      <w:bookmarkEnd w:id="963"/>
    </w:p>
    <w:p>
      <w:pPr>
        <w:pStyle w:val="BookText"/>
        <w:rPr/>
      </w:pPr>
      <w:r>
        <w:rPr>
          <w:rFonts w:ascii="IRNazanin" w:hAnsi="IRNazanin" w:eastAsia="IRNazanin"/>
          <w:color w:val="111111"/>
          <w:sz w:val="28"/>
          <w:sz w:val="28"/>
          <w:szCs w:val="28"/>
          <w:rtl w:val="true"/>
          <w:lang w:bidi="fa-IR"/>
        </w:rPr>
        <w:t>برخی از فقها معتقدند که بیع خمر حرام است، امّا اگر شخصی که خمر دارد، بگوید من پولی می‌گیرم که از این خمر رفع ید کنم،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صحیح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فقهی، همان ثمن در مقابل مثمن در باب بیع است، امّا ثمن در روایات یعنی هر چیزی که در معامله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حرمت مستفاد از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تعبیر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آکل الثمن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نه‌تنها شامل حرمت وضعی و تکلیفیِ بیع خمر است، بلکه هر گونه تکسّب به خمر را نیز شامل می‌شود؛ یعنی اگر کسی در مقابل خمر پولی بگیرد، تعبیر آکل ثمن بر او صدق می‌کند، حتّی اگر در قالب هبۀ معوّضه باشد، یا برای این باشد که از حقّ خود، رفع 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از روایات استفاده می‌کنیم که گرفتن هر گونه عوض در مقابل خمر، حرام است و همۀ فقها هم بدان فتوا داده‌اند</w:t>
      </w:r>
      <w:r>
        <w:rPr>
          <w:rFonts w:eastAsia="IRNazanin" w:cs="IRNazanin"/>
          <w:color w:val="111111"/>
          <w:sz w:val="28"/>
          <w:szCs w:val="28"/>
          <w:rtl w:val="true"/>
          <w:lang w:bidi="fa-IR"/>
        </w:rPr>
        <w:t>.</w:t>
      </w:r>
    </w:p>
    <w:p>
      <w:pPr>
        <w:pStyle w:val="Heading4"/>
        <w:numPr>
          <w:ilvl w:val="3"/>
          <w:numId w:val="1"/>
        </w:numPr>
        <w:rPr/>
      </w:pPr>
      <w:bookmarkStart w:id="964" w:name="__RefHeading___Toc2531433_1468164448"/>
      <w:bookmarkStart w:id="965" w:name="_Toc372"/>
      <w:bookmarkEnd w:id="964"/>
      <w:r>
        <w:rPr>
          <w:rtl w:val="true"/>
        </w:rPr>
        <w:t>گفتار دوم</w:t>
      </w:r>
      <w:r>
        <w:rPr>
          <w:rtl w:val="true"/>
        </w:rPr>
        <w:t xml:space="preserve">: </w:t>
      </w:r>
      <w:r>
        <w:rPr>
          <w:rtl w:val="true"/>
        </w:rPr>
        <w:t>دلایل حرمت تکسّب به خمر</w:t>
      </w:r>
      <w:bookmarkEnd w:id="965"/>
    </w:p>
    <w:p>
      <w:pPr>
        <w:pStyle w:val="Heading5"/>
        <w:numPr>
          <w:ilvl w:val="4"/>
          <w:numId w:val="1"/>
        </w:numPr>
        <w:rPr/>
      </w:pPr>
      <w:bookmarkStart w:id="966" w:name="__RefHeading___Toc2531435_1468164448"/>
      <w:bookmarkStart w:id="967" w:name="_Toc373"/>
      <w:bookmarkEnd w:id="966"/>
      <w:r>
        <w:rPr>
          <w:rtl w:val="true"/>
        </w:rPr>
        <w:t>بند نخست</w:t>
      </w:r>
      <w:r>
        <w:rPr>
          <w:rtl w:val="true"/>
        </w:rPr>
        <w:t xml:space="preserve">: </w:t>
      </w:r>
      <w:r>
        <w:rPr>
          <w:rtl w:val="true"/>
        </w:rPr>
        <w:t>بررسی آیات</w:t>
      </w:r>
      <w:bookmarkEnd w:id="967"/>
    </w:p>
    <w:p>
      <w:pPr>
        <w:pStyle w:val="Heading6"/>
        <w:numPr>
          <w:ilvl w:val="5"/>
          <w:numId w:val="1"/>
        </w:numPr>
        <w:rPr/>
      </w:pPr>
      <w:bookmarkStart w:id="968" w:name="__RefHeading___Toc2531437_1468164448"/>
      <w:bookmarkStart w:id="969" w:name="_Toc374"/>
      <w:bookmarkEnd w:id="968"/>
      <w:r>
        <w:rPr>
          <w:rtl w:val="true"/>
        </w:rPr>
        <w:t>اشارة</w:t>
      </w:r>
      <w:bookmarkEnd w:id="969"/>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بررسی ادلّۀ بحث، ابتدا باید ببینیم که از قرآن کریم، علاوه بر دلایل حرمت شرب خمر، دلیلی بر حرمت تکسّب به آن، موجود است یا نه</w:t>
      </w:r>
      <w:r>
        <w:rPr>
          <w:rFonts w:eastAsia="IRNazanin" w:cs="IRNazanin"/>
          <w:color w:val="111111"/>
          <w:sz w:val="28"/>
          <w:szCs w:val="28"/>
          <w:rtl w:val="true"/>
          <w:lang w:bidi="fa-IR"/>
        </w:rPr>
        <w:t>.</w:t>
      </w:r>
      <w:bookmarkStart w:id="970" w:name="pg13785_135351"/>
    </w:p>
    <w:p>
      <w:pPr>
        <w:pStyle w:val="Heading6"/>
        <w:numPr>
          <w:ilvl w:val="5"/>
          <w:numId w:val="1"/>
        </w:numPr>
        <w:rPr/>
      </w:pPr>
      <w:bookmarkStart w:id="971" w:name="__RefHeading___Toc2531439_1468164448"/>
      <w:bookmarkStart w:id="972" w:name="_Toc375"/>
      <w:bookmarkEnd w:id="970"/>
      <w:bookmarkEnd w:id="971"/>
      <w:r>
        <w:rPr>
          <w:rtl w:val="true"/>
        </w:rPr>
        <w:t>الف</w:t>
      </w:r>
      <w:r>
        <w:rPr>
          <w:rtl w:val="true"/>
        </w:rPr>
        <w:t xml:space="preserve">) </w:t>
      </w:r>
      <w:r>
        <w:rPr>
          <w:rtl w:val="true"/>
        </w:rPr>
        <w:t>آیۀ نخست</w:t>
      </w:r>
      <w:bookmarkEnd w:id="9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الْخَمْرُ وَ الْمَیْسِرُ وَ الْأَنْصابُ وَ الْأَزْلامُ رِجْسٌ مِنْ عَمَلِ الشَّیْطانِ فَاجْتَنِبُوهُ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 میسر، ازلام و انصاب،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می‌شوند؛ پس باید از آنها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آیۀ شریفه، تکلیف وجوب اجتناب را متوجّه مکلّفین فرموده است</w:t>
      </w:r>
      <w:r>
        <w:rPr>
          <w:rFonts w:eastAsia="IRNazanin" w:cs="IRNazanin"/>
          <w:color w:val="111111"/>
          <w:sz w:val="28"/>
          <w:szCs w:val="28"/>
          <w:rtl w:val="true"/>
          <w:lang w:bidi="fa-IR"/>
        </w:rPr>
        <w:t>.</w:t>
      </w:r>
    </w:p>
    <w:p>
      <w:pPr>
        <w:pStyle w:val="Heading6"/>
        <w:numPr>
          <w:ilvl w:val="5"/>
          <w:numId w:val="1"/>
        </w:numPr>
        <w:rPr/>
      </w:pPr>
      <w:bookmarkStart w:id="973" w:name="__RefHeading___Toc2531441_1468164448"/>
      <w:bookmarkStart w:id="974" w:name="_Toc376"/>
      <w:bookmarkEnd w:id="973"/>
      <w:r>
        <w:rPr/>
        <w:t>1</w:t>
      </w:r>
      <w:r>
        <w:rPr>
          <w:rtl w:val="true"/>
        </w:rPr>
        <w:t xml:space="preserve">- </w:t>
      </w:r>
      <w:r>
        <w:rPr>
          <w:rtl w:val="true"/>
        </w:rPr>
        <w:t xml:space="preserve">بیان نخست؛ تمسّک به قاعدۀ </w:t>
      </w:r>
      <w:r>
        <w:rPr>
          <w:rtl w:val="true"/>
        </w:rPr>
        <w:t>«</w:t>
      </w:r>
      <w:r>
        <w:rPr>
          <w:rtl w:val="true"/>
        </w:rPr>
        <w:t>حذف المتعلّق یدلّ علی العموم</w:t>
      </w:r>
      <w:r>
        <w:rPr>
          <w:rtl w:val="true"/>
        </w:rPr>
        <w:t>»</w:t>
      </w:r>
      <w:bookmarkEnd w:id="974"/>
    </w:p>
    <w:p>
      <w:pPr>
        <w:pStyle w:val="BookText"/>
        <w:rPr/>
      </w:pPr>
      <w:r>
        <w:rPr>
          <w:rFonts w:ascii="IRNazanin" w:hAnsi="IRNazanin" w:eastAsia="IRNazanin"/>
          <w:color w:val="111111"/>
          <w:sz w:val="28"/>
          <w:sz w:val="28"/>
          <w:szCs w:val="28"/>
          <w:rtl w:val="true"/>
          <w:lang w:bidi="fa-IR"/>
        </w:rPr>
        <w:t>مشهور معتقدند که حذف متعلّق حکم، دلالت بر عموم آن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این‌که در آیۀ شریفه، متعلّق حکم بیان نشده است، معلوم می‌شود که حکم آن، هر گونه تکسّب را شامل می‌شود؛ یعنی آیۀ شریفه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شرب الخمر، بیع الخمر و شراء الخمر 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فقط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براساس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المتعلّق یدلّ علی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چیزی که به خمر تعلّق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تکسّب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پیش از این و در جای خود</w:t>
      </w:r>
      <w:r>
        <w:rPr>
          <w:rStyle w:val="FootnoteAnchor"/>
          <w:rtl w:val="true"/>
        </w:rPr>
        <w:footnoteReference w:id="835"/>
      </w:r>
      <w:r>
        <w:rPr>
          <w:rFonts w:ascii="IRNazanin" w:hAnsi="IRNazanin" w:eastAsia="IRNazanin"/>
          <w:color w:val="111111"/>
          <w:sz w:val="28"/>
          <w:sz w:val="28"/>
          <w:szCs w:val="28"/>
          <w:rtl w:val="true"/>
          <w:lang w:bidi="fa-IR"/>
        </w:rPr>
        <w:t xml:space="preserve">، بحث شد که این قاعده از آن دسته شهرت‌هایی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أصل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نمی‌توان از طریق تمسّک به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المتعلَّق یدل علی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آیۀ شریفه، استدلال کرد</w:t>
      </w:r>
      <w:r>
        <w:rPr>
          <w:rFonts w:eastAsia="IRNazanin" w:cs="IRNazanin"/>
          <w:color w:val="111111"/>
          <w:sz w:val="28"/>
          <w:szCs w:val="28"/>
          <w:rtl w:val="true"/>
          <w:lang w:bidi="fa-IR"/>
        </w:rPr>
        <w:t>.</w:t>
      </w:r>
    </w:p>
    <w:p>
      <w:pPr>
        <w:pStyle w:val="Heading6"/>
        <w:numPr>
          <w:ilvl w:val="5"/>
          <w:numId w:val="1"/>
        </w:numPr>
        <w:rPr/>
      </w:pPr>
      <w:bookmarkStart w:id="975" w:name="__RefHeading___Toc2531443_1468164448"/>
      <w:bookmarkStart w:id="976" w:name="_Toc377"/>
      <w:bookmarkEnd w:id="975"/>
      <w:r>
        <w:rPr/>
        <w:t>2</w:t>
      </w:r>
      <w:r>
        <w:rPr>
          <w:rtl w:val="true"/>
        </w:rPr>
        <w:t xml:space="preserve">- </w:t>
      </w:r>
      <w:r>
        <w:rPr>
          <w:rtl w:val="true"/>
        </w:rPr>
        <w:t>بیان دوم؛ تمسّک به اطلاق اجتناب رجس</w:t>
      </w:r>
      <w:bookmarkEnd w:id="976"/>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دوم، این است که این آیه مسلمانان را مکلّف به وجوب اجتناب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پرسش مطرح می‌شود که آیا وجوب اجتناب از رجس، مطلق است یا مقیّد؟ ظاهر این است که مطلق است، بویژه با توجّه به این که حکم رجس به منزلۀ علّت است و گویا در مقام تعلیل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رجس است و چون رجس است به خاطر</w:t>
      </w:r>
    </w:p>
    <w:p>
      <w:pPr>
        <w:pStyle w:val="BookText"/>
        <w:rPr/>
      </w:pPr>
      <w:r>
        <w:rPr>
          <w:rFonts w:ascii="IRNazanin" w:hAnsi="IRNazanin" w:eastAsia="IRNazanin"/>
          <w:color w:val="111111"/>
          <w:sz w:val="28"/>
          <w:sz w:val="28"/>
          <w:szCs w:val="28"/>
          <w:rtl w:val="true"/>
          <w:lang w:bidi="fa-IR"/>
        </w:rPr>
        <w:t xml:space="preserve">همین، از آن اجتناب کنید؛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تفریع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وجوب اجتناب علّیت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دیگر این است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وجوب اجتناب شُربی علّیت دارد، یا برای همۀ اقسام اجتناب از خمر، علّت است و شرب، بیع، نگه‌داری، دست زدن و سایر موارد را نیز حرام می‌کند؟</w:t>
      </w:r>
    </w:p>
    <w:p>
      <w:pPr>
        <w:pStyle w:val="BookText"/>
        <w:rPr/>
      </w:pPr>
      <w:r>
        <w:rPr>
          <w:rFonts w:ascii="IRNazanin" w:hAnsi="IRNazanin" w:eastAsia="IRNazanin"/>
          <w:color w:val="111111"/>
          <w:sz w:val="28"/>
          <w:sz w:val="28"/>
          <w:szCs w:val="28"/>
          <w:rtl w:val="true"/>
          <w:lang w:bidi="fa-IR"/>
        </w:rPr>
        <w:t>از این جهت نیز آیه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در موردی، دلیلی روشن برای استثنا باشد، آن مورد خارج می‌شود؛ ولی در غیر این صورت، وجوب اجتناب مطلق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بیان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این بیان نیز به دو دلیل، مخدوش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روشنی بر این مطلب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به معنای نجاست معهود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مطلب این است که میسر و انصاب و ازلام، هیچ کدام نجس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 این است که تکسّب به خمر به خاطر نجس بودنش حرام است، حال آن‌که از آیه استفاده نمی‌شود که نجاست، علّت حرمت تکسّب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اجتناب در آیه، فقط بر خصوص رجس معلّق نشده است؛ بلکه یا بر دو عنوان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 شده است؛ زیرا ظاهراً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احترازی برای رجس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رجس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رجسی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رجسی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نجاسات شرعی، رجس هستند، امّا عمل شیطانی نیستند، مانند خون که نجس است، ولی لمس آن عمل شیطانی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ظهور آیۀ شریفه، وجوب اجتناب در جایی است که هر دو عنوان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خمر احراز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مسئلۀ تکسّب به خمر، معلوم نیست که تکسّب،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رجسٌ مِن عمل الشیطان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کسی خمر را فروخت، نمی‌دانیم که آیا این تکسّب،</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 من عمل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می‌رود تا حرام باشد یا نه؛ پس این‌جا از موارد شبهۀ</w:t>
      </w:r>
      <w:bookmarkStart w:id="977" w:name="pg13785_135353"/>
    </w:p>
    <w:p>
      <w:pPr>
        <w:pStyle w:val="BookText"/>
        <w:rPr/>
      </w:pPr>
      <w:bookmarkEnd w:id="977"/>
      <w:r>
        <w:rPr>
          <w:rFonts w:ascii="IRNazanin" w:hAnsi="IRNazanin" w:eastAsia="IRNazanin"/>
          <w:color w:val="111111"/>
          <w:sz w:val="28"/>
          <w:sz w:val="28"/>
          <w:szCs w:val="28"/>
          <w:rtl w:val="true"/>
          <w:lang w:bidi="fa-IR"/>
        </w:rPr>
        <w:t>مصداقیۀ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اگر بخواهیم برای حرمت تکسّب خمر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کنیم، این استدلال، تمسّک به عام در شبهۀ مصداقی است که هیچ کس آن را جایز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حتّی نجاست خمر نیز از ظاهر این آیه استفاده نمی‌شود؛ بلکه ادلّۀ دیگری دارد</w:t>
      </w:r>
      <w:r>
        <w:rPr>
          <w:rFonts w:eastAsia="IRNazanin" w:cs="IRNazanin"/>
          <w:color w:val="111111"/>
          <w:sz w:val="28"/>
          <w:szCs w:val="28"/>
          <w:rtl w:val="true"/>
          <w:lang w:bidi="fa-IR"/>
        </w:rPr>
        <w:t>.</w:t>
      </w:r>
    </w:p>
    <w:p>
      <w:pPr>
        <w:pStyle w:val="Heading6"/>
        <w:numPr>
          <w:ilvl w:val="5"/>
          <w:numId w:val="1"/>
        </w:numPr>
        <w:rPr/>
      </w:pPr>
      <w:bookmarkStart w:id="978" w:name="__RefHeading___Toc2531445_1468164448"/>
      <w:bookmarkStart w:id="979" w:name="_Toc378"/>
      <w:bookmarkEnd w:id="978"/>
      <w:r>
        <w:rPr/>
        <w:t>3</w:t>
      </w:r>
      <w:r>
        <w:rPr>
          <w:rtl w:val="true"/>
        </w:rPr>
        <w:t xml:space="preserve">- </w:t>
      </w:r>
      <w:r>
        <w:rPr>
          <w:rtl w:val="true"/>
        </w:rPr>
        <w:t>بررسی استدلال امام خمینی</w:t>
      </w:r>
      <w:r>
        <w:rPr>
          <w:rtl w:val="true"/>
        </w:rPr>
        <w:t>:</w:t>
      </w:r>
      <w:bookmarkEnd w:id="979"/>
    </w:p>
    <w:p>
      <w:pPr>
        <w:pStyle w:val="BookText"/>
        <w:rPr/>
      </w:pPr>
      <w:r>
        <w:rPr>
          <w:rFonts w:ascii="IRNazanin" w:hAnsi="IRNazanin" w:eastAsia="IRNazanin"/>
          <w:color w:val="111111"/>
          <w:sz w:val="28"/>
          <w:sz w:val="28"/>
          <w:szCs w:val="28"/>
          <w:rtl w:val="true"/>
          <w:lang w:bidi="fa-IR"/>
        </w:rPr>
        <w:t>امام خمینی قدس سره در ذیل آیۀ شریفه، نخست برآنند که از این آیه نمی‌توان برای مسئلۀ تکسّب به خمر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بیان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دیگری را مطرح می‌کنند، به این بیان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خمر، یک مایع خارجی است و نمی‌توان آن را متّصف به شیطانی بودن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آیه، خمر را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 من عمل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 می‌کند، مبنی بر ادّعاست؛ یعنی شارع ادّعائاً می‌گوید که خمر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 من عمل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لیکن از آن‌جا که هر ادّعایی مصحّح لازم دارد، در این‌جا نیز مصحّح، این است که جمیع فعل و انفعالات خمر از عمل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فقط شرب خمر یک عمل شیطانی باشد، نمی‌تواند مصحّح این ادّعا باشد، این ادّعا زمانی صحیح است که شارع، جمیع تقلّبات و فعل و انفعالات خمر را عمل شیطانی بداند</w:t>
      </w:r>
      <w:r>
        <w:rPr>
          <w:rFonts w:eastAsia="IRNazanin" w:cs="IRNazanin"/>
          <w:color w:val="111111"/>
          <w:sz w:val="28"/>
          <w:szCs w:val="28"/>
          <w:rtl w:val="true"/>
          <w:lang w:bidi="fa-IR"/>
        </w:rPr>
        <w:t>.</w:t>
      </w:r>
      <w:r>
        <w:rPr>
          <w:rStyle w:val="FootnoteAnchor"/>
          <w:rtl w:val="true"/>
        </w:rPr>
        <w:footnoteReference w:id="836"/>
      </w:r>
      <w:r>
        <w:rPr>
          <w:rFonts w:ascii="IRNazanin" w:hAnsi="IRNazanin" w:eastAsia="IRNazanin"/>
          <w:color w:val="111111"/>
          <w:sz w:val="28"/>
          <w:sz w:val="28"/>
          <w:szCs w:val="28"/>
          <w:rtl w:val="true"/>
          <w:lang w:bidi="fa-IR"/>
        </w:rPr>
        <w:t>بنا بر این، با این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استدلال به این آیۀ شریفه 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به نظر می‌رسد که این بیان نیز قابل خدشه است؛ زیرا همان گونه که در تقدیر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مصحح ادّعا باشد، شرب تنها هم می‌تواند مصحح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در مورد خون، ممکن است خوردنش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ولی تزریقش به دیگری، این گونه نباشد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با این آیۀ شریفه نمی‌توان برای حرمت تکسّب به خمر استدلال کرد؛ زیرا این استدلال فقط با تمسّک به عام یا مطلق در شبهۀ مصداقیه، تمام می‌شود که جایز نیست</w:t>
      </w:r>
      <w:r>
        <w:rPr>
          <w:rFonts w:eastAsia="IRNazanin" w:cs="IRNazanin"/>
          <w:color w:val="111111"/>
          <w:sz w:val="28"/>
          <w:szCs w:val="28"/>
          <w:rtl w:val="true"/>
          <w:lang w:bidi="fa-IR"/>
        </w:rPr>
        <w:t>.</w:t>
      </w:r>
      <w:bookmarkStart w:id="980" w:name="pg13785_135354"/>
    </w:p>
    <w:p>
      <w:pPr>
        <w:pStyle w:val="Heading6"/>
        <w:numPr>
          <w:ilvl w:val="5"/>
          <w:numId w:val="1"/>
        </w:numPr>
        <w:rPr/>
      </w:pPr>
      <w:bookmarkStart w:id="981" w:name="__RefHeading___Toc2531447_1468164448"/>
      <w:bookmarkStart w:id="982" w:name="_Toc379"/>
      <w:bookmarkEnd w:id="980"/>
      <w:bookmarkEnd w:id="981"/>
      <w:r>
        <w:rPr>
          <w:rtl w:val="true"/>
        </w:rPr>
        <w:t>ب</w:t>
      </w:r>
      <w:r>
        <w:rPr>
          <w:rtl w:val="true"/>
        </w:rPr>
        <w:t xml:space="preserve">) </w:t>
      </w:r>
      <w:r>
        <w:rPr>
          <w:rtl w:val="true"/>
        </w:rPr>
        <w:t>آیۀ دوم</w:t>
      </w:r>
      <w:bookmarkEnd w:id="9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الْمُدَّثِّرُ قُمْ فَأَنْذِرْ وَ رَبَّکَ فَکَبِّرْ وَ ثِیابَکَ فَطَهِّرْ وَ الرُّجْزَ فَاهْجُرْ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جامۀ خواب به خود پیچیده، برخیز و انذار کن و پروردگارت را بزرگ بشمار و لباست را پاک کن و از پلیدی دوری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این آیۀ شریفه، مبتنی بر دو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نجاست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است و هر نوع دوری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تکسّب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مهمّ این استدلال، این است 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نجس نیامده است؛ بلکه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عذاب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پلیدی و زشتی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بعضی از لغویان معتقدند که تفاوتی میان این دو نیست؛</w:t>
      </w:r>
      <w:r>
        <w:rPr>
          <w:rStyle w:val="FootnoteAnchor"/>
          <w:rtl w:val="true"/>
        </w:rPr>
        <w:footnoteReference w:id="837"/>
      </w:r>
      <w:r>
        <w:rPr>
          <w:rFonts w:ascii="IRNazanin" w:hAnsi="IRNazanin" w:eastAsia="IRNazanin"/>
          <w:color w:val="111111"/>
          <w:sz w:val="28"/>
          <w:sz w:val="28"/>
          <w:szCs w:val="28"/>
          <w:rtl w:val="true"/>
          <w:lang w:bidi="fa-IR"/>
        </w:rPr>
        <w:t>ولی در کتب لغت یا تفسیر و حتّی در مجمع البیانِ محقّق طبرسی رحمه الله، نقل قول یا ارجاعی که رِجز یا رُجز به معنای نجاست معهود شرعی باشد، دیده نمی‌شود</w:t>
      </w:r>
      <w:r>
        <w:rPr>
          <w:rFonts w:eastAsia="IRNazanin" w:cs="IRNazanin"/>
          <w:color w:val="111111"/>
          <w:sz w:val="28"/>
          <w:szCs w:val="28"/>
          <w:rtl w:val="true"/>
          <w:lang w:bidi="fa-IR"/>
        </w:rPr>
        <w:t>.</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امام خمینی قدس سره در کتاب الخلل فی الصلاة آورده‌اند </w:t>
      </w:r>
      <w:r>
        <w:rPr>
          <w:rStyle w:val="FootnoteAnchor"/>
          <w:rtl w:val="true"/>
        </w:rPr>
        <w:footnoteReference w:id="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 شود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ثِیابَکَ فَطَهِّرْ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قرینه است بر این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نجاست معهود است؛ یعنی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وثیابک فطهّر لِلصّلاة و الرّجز فاهجر للصلاة</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امام خمینی قدس سره به این مطلب اشکال کرده‌اند که این سوره در آغاز بعثت و پیش از تشریع نماز، نازل شده است و نمی‌تواند مربوط به نماز باشد</w:t>
      </w:r>
      <w:r>
        <w:rPr>
          <w:rFonts w:eastAsia="IRNazanin" w:cs="IRNazanin"/>
          <w:color w:val="111111"/>
          <w:sz w:val="28"/>
          <w:szCs w:val="28"/>
          <w:rtl w:val="true"/>
          <w:lang w:bidi="fa-IR"/>
        </w:rPr>
        <w:t>.</w:t>
      </w:r>
      <w:r>
        <w:rPr>
          <w:rStyle w:val="FootnoteAnchor"/>
          <w:rtl w:val="true"/>
        </w:rPr>
        <w:footnoteReference w:id="840"/>
      </w:r>
      <w:r>
        <w:rPr>
          <w:rFonts w:ascii="IRNazanin" w:hAnsi="IRNazanin" w:eastAsia="IRNazanin"/>
          <w:color w:val="111111"/>
          <w:sz w:val="28"/>
          <w:sz w:val="28"/>
          <w:szCs w:val="28"/>
          <w:rtl w:val="true"/>
          <w:lang w:bidi="fa-IR"/>
        </w:rPr>
        <w:t xml:space="preserve">همین اشکال در کلمات والد معظّم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مطرح شده است</w:t>
      </w:r>
      <w:r>
        <w:rPr>
          <w:rFonts w:eastAsia="IRNazanin" w:cs="IRNazanin"/>
          <w:color w:val="111111"/>
          <w:sz w:val="28"/>
          <w:szCs w:val="28"/>
          <w:rtl w:val="true"/>
          <w:lang w:bidi="fa-IR"/>
        </w:rPr>
        <w:t>.</w:t>
      </w:r>
      <w:r>
        <w:rPr>
          <w:rStyle w:val="FootnoteAnchor"/>
          <w:rtl w:val="true"/>
        </w:rPr>
        <w:footnoteReference w:id="841"/>
      </w:r>
      <w:bookmarkStart w:id="983" w:name="pg13785_135355"/>
    </w:p>
    <w:p>
      <w:pPr>
        <w:pStyle w:val="BookText"/>
        <w:rPr/>
      </w:pPr>
      <w:bookmarkEnd w:id="983"/>
      <w:r>
        <w:rPr>
          <w:rFonts w:ascii="IRNazanin" w:hAnsi="IRNazanin" w:eastAsia="IRNazanin"/>
          <w:color w:val="111111"/>
          <w:sz w:val="28"/>
          <w:sz w:val="28"/>
          <w:szCs w:val="28"/>
          <w:rtl w:val="true"/>
          <w:lang w:bidi="fa-IR"/>
        </w:rPr>
        <w:t>از آنچه گذشت، می‌توان نتیجه گرفت که برای حکم به حرمت تکسّب به خمر، به هیچ یک از آیات شریفۀ قرآن، نمی‌توان استدلال کرد</w:t>
      </w:r>
      <w:r>
        <w:rPr>
          <w:rFonts w:eastAsia="IRNazanin" w:cs="IRNazanin"/>
          <w:color w:val="111111"/>
          <w:sz w:val="28"/>
          <w:szCs w:val="28"/>
          <w:rtl w:val="true"/>
          <w:lang w:bidi="fa-IR"/>
        </w:rPr>
        <w:t>.</w:t>
      </w:r>
    </w:p>
    <w:p>
      <w:pPr>
        <w:pStyle w:val="Heading5"/>
        <w:numPr>
          <w:ilvl w:val="4"/>
          <w:numId w:val="1"/>
        </w:numPr>
        <w:rPr/>
      </w:pPr>
      <w:bookmarkStart w:id="984" w:name="__RefHeading___Toc2531449_1468164448"/>
      <w:bookmarkStart w:id="985" w:name="_Toc380"/>
      <w:bookmarkEnd w:id="984"/>
      <w:r>
        <w:rPr>
          <w:rtl w:val="true"/>
        </w:rPr>
        <w:t>بند دوم</w:t>
      </w:r>
      <w:r>
        <w:rPr>
          <w:rtl w:val="true"/>
        </w:rPr>
        <w:t xml:space="preserve">: </w:t>
      </w:r>
      <w:r>
        <w:rPr>
          <w:rtl w:val="true"/>
        </w:rPr>
        <w:t>بررسی روایات</w:t>
      </w:r>
      <w:bookmarkEnd w:id="985"/>
    </w:p>
    <w:p>
      <w:pPr>
        <w:pStyle w:val="Heading6"/>
        <w:numPr>
          <w:ilvl w:val="5"/>
          <w:numId w:val="1"/>
        </w:numPr>
        <w:rPr/>
      </w:pPr>
      <w:bookmarkStart w:id="986" w:name="__RefHeading___Toc2531451_1468164448"/>
      <w:bookmarkStart w:id="987" w:name="_Toc381"/>
      <w:bookmarkEnd w:id="986"/>
      <w:r>
        <w:rPr>
          <w:rtl w:val="true"/>
        </w:rPr>
        <w:t>اشارة</w:t>
      </w:r>
      <w:bookmarkEnd w:id="987"/>
    </w:p>
    <w:p>
      <w:pPr>
        <w:pStyle w:val="BookText"/>
        <w:rPr/>
      </w:pPr>
      <w:r>
        <w:rPr>
          <w:rFonts w:ascii="IRNazanin" w:hAnsi="IRNazanin" w:eastAsia="IRNazanin"/>
          <w:color w:val="111111"/>
          <w:sz w:val="28"/>
          <w:sz w:val="28"/>
          <w:szCs w:val="28"/>
          <w:rtl w:val="true"/>
          <w:lang w:bidi="fa-IR"/>
        </w:rPr>
        <w:t>در میان روایات شیعه و اهل سنّت، روایات زیادی وجود دارد که دلالت بر حرمت تکسّب به خمر دارد، تا آن‌جا که برخی در مورد این روایات، ادّعای تواتر کرده‌اند که البتّه ادّعای صحیحی نیست و تعبیر امام خمینی قدس سره در این باره دقیق‌تر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به حدّ استفاضه رسیده است</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با توجّه به این‌که این روایات به حدّ استفاضه رسیده‌اند، نیازی به بررسی سندی روایات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این مجال تعدادی از این روایات را مرور کرده، نکات فقهی و نکات حدیثی آنها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را می‌توان در بیشتر کتب روایی از جمله کافی، من لا یحضره الفقیه، المقنع، جامع الأخبار، دعائم الإسلام، فقه الرضا، لبّ اللباب راوندی و عوالی اللئالی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در سند برخی از این روایات، افراد توثیق نشده و یا تضعیف شده هستند، ولی با توجّه به استفاضۀ آنها، به صدور مضمونشان اطمینان پیدا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برخی از این روایات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 الأطعمة والأشربة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الأشربة المحرّمة</w:t>
      </w:r>
      <w:r>
        <w:rPr>
          <w:rFonts w:eastAsia="IRNazanin" w:cs="IRNazanin"/>
          <w:color w:val="111111"/>
          <w:sz w:val="28"/>
          <w:szCs w:val="28"/>
          <w:rtl w:val="true"/>
          <w:lang w:bidi="fa-IR"/>
        </w:rPr>
        <w:t>)</w:t>
      </w:r>
      <w:r>
        <w:rPr>
          <w:rStyle w:val="FootnoteAnchor"/>
          <w:rtl w:val="true"/>
        </w:rPr>
        <w:footnoteReference w:id="843"/>
      </w:r>
      <w:r>
        <w:rPr>
          <w:rFonts w:ascii="IRNazanin" w:hAnsi="IRNazanin" w:eastAsia="IRNazanin"/>
          <w:color w:val="111111"/>
          <w:sz w:val="28"/>
          <w:sz w:val="28"/>
          <w:szCs w:val="28"/>
          <w:rtl w:val="true"/>
          <w:lang w:bidi="fa-IR"/>
        </w:rPr>
        <w:t xml:space="preserve">و نیز کتاب التجارة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ما یکتسب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وسائل الشیعة</w:t>
      </w:r>
      <w:r>
        <w:rPr>
          <w:rStyle w:val="FootnoteAnchor"/>
          <w:rtl w:val="true"/>
        </w:rPr>
        <w:footnoteReference w:id="844"/>
      </w:r>
      <w:r>
        <w:rPr>
          <w:rFonts w:ascii="IRNazanin" w:hAnsi="IRNazanin" w:eastAsia="IRNazanin"/>
          <w:color w:val="111111"/>
          <w:sz w:val="28"/>
          <w:sz w:val="28"/>
          <w:szCs w:val="28"/>
          <w:rtl w:val="true"/>
          <w:lang w:bidi="fa-IR"/>
        </w:rPr>
        <w:t xml:space="preserve">ذکر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می‌کنیم</w:t>
      </w:r>
      <w:r>
        <w:rPr>
          <w:rFonts w:eastAsia="IRNazanin" w:cs="IRNazanin"/>
          <w:color w:val="111111"/>
          <w:sz w:val="28"/>
          <w:szCs w:val="28"/>
          <w:rtl w:val="true"/>
          <w:lang w:bidi="fa-IR"/>
        </w:rPr>
        <w:t>.</w:t>
      </w:r>
    </w:p>
    <w:p>
      <w:pPr>
        <w:pStyle w:val="Heading6"/>
        <w:numPr>
          <w:ilvl w:val="5"/>
          <w:numId w:val="1"/>
        </w:numPr>
        <w:rPr/>
      </w:pPr>
      <w:bookmarkStart w:id="988" w:name="__RefHeading___Toc2531453_1468164448"/>
      <w:bookmarkStart w:id="989" w:name="_Toc382"/>
      <w:bookmarkEnd w:id="988"/>
      <w:r>
        <w:rPr>
          <w:rtl w:val="true"/>
        </w:rPr>
        <w:t>الف</w:t>
      </w:r>
      <w:r>
        <w:rPr>
          <w:rtl w:val="true"/>
        </w:rPr>
        <w:t xml:space="preserve">) </w:t>
      </w:r>
      <w:r>
        <w:rPr>
          <w:rtl w:val="true"/>
        </w:rPr>
        <w:t>روایت نخست</w:t>
      </w:r>
      <w:r>
        <w:rPr>
          <w:rtl w:val="true"/>
        </w:rPr>
        <w:t>:</w:t>
      </w:r>
      <w:bookmarkEnd w:id="989"/>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یعقُوبَ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الکلینی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أبیهِ عَن حَمّادِ بنِ عیسَی عَن حَریزٍ عَن مُحَمَّدِ بنِ مُسلِمٍ عَن أبی عَبدِ اللّه علیه السلام، فی رَجُلٍ تَرَکَ</w:t>
      </w:r>
    </w:p>
    <w:p>
      <w:pPr>
        <w:pStyle w:val="BookText"/>
        <w:rPr/>
      </w:pPr>
      <w:r>
        <w:rPr>
          <w:rFonts w:ascii="Amiri" w:hAnsi="Amiri" w:eastAsia="Amiri" w:cs="Amiri"/>
          <w:color w:val="111111"/>
          <w:sz w:val="28"/>
          <w:sz w:val="28"/>
          <w:szCs w:val="28"/>
          <w:rtl w:val="true"/>
          <w:lang w:bidi="ar-SA"/>
        </w:rPr>
        <w:t>غُلاماً لَهُ فی کَرمٍ لَهُ یبیعُهُ عِنَباً أو عَصیراً فانطَلَقَ الغُلامُ فَعَصَرَ خَمراً ثُمَّ 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یصلُحُ ثَمَنُهُ،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ثَقیفٍ أهدَی إلَی رَسُولِ اللّهِ صلی الله علیه و آله راویتَینِ مِن خَمرٍ فأمَرَ بِهِما رَسُولُ اللّهِ صلی الله علیه و آله فأهَریقَتا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 حَرَّمَ شُربَها حَرَّمَ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خِصالِ هَذِهِ الَّتی باعَها الغُلامُ أن یتَصَدَّقَ بِثَمَنِها؛</w:t>
      </w:r>
      <w:r>
        <w:rPr>
          <w:rStyle w:val="FootnoteAnchor"/>
          <w:rtl w:val="true"/>
        </w:rPr>
        <w:footnoteReference w:id="845"/>
      </w:r>
      <w:r>
        <w:rPr>
          <w:rFonts w:ascii="IRNazanin" w:hAnsi="IRNazanin" w:eastAsia="IRNazanin"/>
          <w:color w:val="111111"/>
          <w:sz w:val="28"/>
          <w:sz w:val="28"/>
          <w:szCs w:val="28"/>
          <w:rtl w:val="true"/>
          <w:lang w:bidi="fa-IR"/>
        </w:rPr>
        <w:t>فردی غلامی را آزاد کرد که درخت انگوری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 انگور را یا به صورت انگور می‌فروخت، یا آب آن را می‌گرفت و می‌فروخت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آزاد شد و آب انگور را به صورت خمر درآورد و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پولش شایسته نیست،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ثقیف دو ظرف شراب برای پیامبر هدیّه فرستاد</w:t>
      </w:r>
      <w:r>
        <w:rPr>
          <w:rFonts w:eastAsia="IRNazanin" w:cs="IRNazanin"/>
          <w:color w:val="111111"/>
          <w:sz w:val="28"/>
          <w:szCs w:val="28"/>
          <w:rtl w:val="true"/>
          <w:lang w:bidi="fa-IR"/>
        </w:rPr>
        <w:t>.</w:t>
      </w:r>
      <w:r>
        <w:rPr>
          <w:rStyle w:val="FootnoteAnchor"/>
          <w:rtl w:val="true"/>
        </w:rPr>
        <w:footnoteReference w:id="846"/>
      </w:r>
      <w:r>
        <w:rPr>
          <w:rFonts w:ascii="IRNazanin" w:hAnsi="IRNazanin" w:eastAsia="IRNazanin"/>
          <w:color w:val="111111"/>
          <w:sz w:val="28"/>
          <w:sz w:val="28"/>
          <w:szCs w:val="28"/>
          <w:rtl w:val="true"/>
          <w:lang w:bidi="fa-IR"/>
        </w:rPr>
        <w:t>نبی معظّم صلی الله علیه و آله امر فرمود که آن را روی زمین بریزند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خوردن خمر را حرام کرد، ثمنش را هم حرام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این است که غلام، پول دریافتی را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سندی، این روایت یا موثّقه است یا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دلالی هم باید به این نکته توجّه کرد که امروزه در عبارات فقها، واژه‌های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معمولاًبه این معناست که بهتر است این کار انجام نشود؛ ولی در روایات، در بیشتر موارد به معنای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 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ثمنش حرام و معامله باطل است و بایع نمی‌تواند در این ثمن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بر اساس این روایت شریف، این معامله، هم حرمت تکلیفی دارد و هم حرمت وضعی</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برخی فقها، هر روایتی که حکم به حرمت ثمن می‌کند، ظهور در حرمت وضعی دارد؛ لیکن همان گونه که پیش از این بیان شد، این ادّعا صحیح نیست و حرمت، شامل حرمت تکلیفی و حرمت وضعی است</w:t>
      </w:r>
      <w:r>
        <w:rPr>
          <w:rFonts w:eastAsia="IRNazanin" w:cs="IRNazanin"/>
          <w:color w:val="111111"/>
          <w:sz w:val="28"/>
          <w:szCs w:val="28"/>
          <w:rtl w:val="true"/>
          <w:lang w:bidi="fa-IR"/>
        </w:rPr>
        <w:t>.</w:t>
      </w:r>
      <w:bookmarkStart w:id="990" w:name="pg13785_135357"/>
    </w:p>
    <w:p>
      <w:pPr>
        <w:pStyle w:val="BookText"/>
        <w:rPr/>
      </w:pPr>
      <w:bookmarkEnd w:id="990"/>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که غلام با این پول خمر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این‌جاست که آیا با پول حرام می‌توان صدقه داد؟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پول غلام در زمان سؤالش از امام علیه السلام، مجهول المالک بوده است، به این معنا که غلام نمی‌دانسته خمر را به چه کسی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انسان می‌تواند آن مال را از طرف مالک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اشکال بر این احتمال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ظاهر این است که مالک، معیّن است و مال، مجهول المالک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روایت این است که غلام صدقه را از جانب خود بپردازد، در حالی‌که در باب مجهول المالک، صدقه باید از طرف مالک و به نیابت از او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کاری که غلام می‌تواند انجام دهد، صدقه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گویا براساس این بیان، تصرّفات دیگر نیز برای غلام مباح است؛ یعنی امام علیه السلام او را مخیّر می‌کند و راه بهتر را نیز به او نشان می‌دهد، حال آن‌که اگر این پول مجهول المالک باشد، غلام فقط می‌تواند آن را صدقه بدهد و تصرّفات دیگر برای او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خریدار 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پول را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پول خود اعراض کرده بوده است؛ چون اگر این اعراض صورت گرفته باشد، غلام یا هر شخص دیگری می‌تواند پول را مالک شود، مانند این‌که شخصی پولش را در معرض عموم قرار دهد و اعلام کند که از آن پول اعراض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پول برای هر مسلمانی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و با فرض اعراض مالک، ثمن یقیناً به ملک غلام در می‌آید و او می‌تواند در آن تصرّف کند، ولی بهتر است در این مال تصرّف نکند و آن را صدقه دهد</w:t>
      </w:r>
      <w:r>
        <w:rPr>
          <w:rFonts w:eastAsia="IRNazanin" w:cs="IRNazanin"/>
          <w:color w:val="111111"/>
          <w:sz w:val="28"/>
          <w:szCs w:val="28"/>
          <w:rtl w:val="true"/>
          <w:lang w:bidi="fa-IR"/>
        </w:rPr>
        <w:t>.</w:t>
      </w:r>
    </w:p>
    <w:p>
      <w:pPr>
        <w:pStyle w:val="Heading6"/>
        <w:numPr>
          <w:ilvl w:val="5"/>
          <w:numId w:val="1"/>
        </w:numPr>
        <w:rPr/>
      </w:pPr>
      <w:bookmarkStart w:id="991" w:name="__RefHeading___Toc2531455_1468164448"/>
      <w:bookmarkStart w:id="992" w:name="_Toc383"/>
      <w:bookmarkEnd w:id="991"/>
      <w:r>
        <w:rPr>
          <w:rtl w:val="true"/>
        </w:rPr>
        <w:t>ب</w:t>
      </w:r>
      <w:r>
        <w:rPr>
          <w:rtl w:val="true"/>
        </w:rPr>
        <w:t xml:space="preserve">) </w:t>
      </w:r>
      <w:r>
        <w:rPr>
          <w:rtl w:val="true"/>
        </w:rPr>
        <w:t>روایت دوم</w:t>
      </w:r>
      <w:r>
        <w:rPr>
          <w:rtl w:val="true"/>
        </w:rPr>
        <w:t>:</w:t>
      </w:r>
      <w:bookmarkEnd w:id="992"/>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عِدَّةٍ مِن أصحابِنا عَن أحمَدَ بنِ مُحَمَّدِ بنِ عیسَی عَنِ الحُسَینِ بنِ سَعیدٍ عَنِ الحُسَینِ بنِ عُلوانَ عَن عَمرِو بنِ خالِدٍ عَن زَیدٍ بنِ عَلی عَن</w:t>
      </w:r>
    </w:p>
    <w:p>
      <w:pPr>
        <w:pStyle w:val="BookText"/>
        <w:rPr/>
      </w:pPr>
      <w:r>
        <w:rPr>
          <w:rFonts w:ascii="Amiri" w:hAnsi="Amiri" w:eastAsia="Amiri" w:cs="Amiri"/>
          <w:color w:val="111111"/>
          <w:sz w:val="28"/>
          <w:sz w:val="28"/>
          <w:szCs w:val="28"/>
          <w:rtl w:val="true"/>
          <w:lang w:bidi="ar-SA"/>
        </w:rPr>
        <w:t>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 صلی الله علیه و آله الخَمرَ وَ عاصِرَها وَ مُعتَصِرَها وَ بائِعَها وَ مُشتَریها وَ ساقیها وَ آکِلَ ثَمَنِها وَ شارِبَها وَ حامِلَها وَ المَحمُولَةَ إلَیهِ؛</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پیامبر اکرم صلی الله علیه و آله خمر، فشارنده و معتصر</w:t>
      </w:r>
      <w:r>
        <w:rPr>
          <w:rStyle w:val="FootnoteAnchor"/>
          <w:rtl w:val="true"/>
        </w:rPr>
        <w:footnoteReference w:id="848"/>
      </w:r>
      <w:r>
        <w:rPr>
          <w:rFonts w:ascii="IRNazanin" w:hAnsi="IRNazanin" w:eastAsia="IRNazanin"/>
          <w:color w:val="111111"/>
          <w:sz w:val="28"/>
          <w:sz w:val="28"/>
          <w:szCs w:val="28"/>
          <w:rtl w:val="true"/>
          <w:lang w:bidi="fa-IR"/>
        </w:rPr>
        <w:t>انگور، فروشندۀ خمر، مشتری خمر، ساقی خمر</w:t>
      </w:r>
      <w:r>
        <w:rPr>
          <w:rStyle w:val="FootnoteAnchor"/>
          <w:rtl w:val="true"/>
        </w:rPr>
        <w:footnoteReference w:id="849"/>
      </w:r>
      <w:r>
        <w:rPr>
          <w:rFonts w:ascii="IRNazanin" w:hAnsi="IRNazanin" w:eastAsia="IRNazanin"/>
          <w:color w:val="111111"/>
          <w:sz w:val="28"/>
          <w:sz w:val="28"/>
          <w:szCs w:val="28"/>
          <w:rtl w:val="true"/>
          <w:lang w:bidi="fa-IR"/>
        </w:rPr>
        <w:t>، خورندۀ پول خمر، شارب خمر، حامل خمر و کسی که این خمر به سوی او حمل می‌شود را لعنت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حرمت تکلیفی است؛ بنا بر این، از این واژه نمی‌توان برای حرمت وضعی و بطلان معامله استفاده کرد؛ لیکن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وآکل ثمنها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معناست که آکل ثمن خمر، مالک آن نبوده و حقّ تصرّف در آن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نتیجه گرفت که معامله‌اش باطل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دربارۀ سند نیز چنان‌که گفته شد، نیازی به بررسی نیست؛ زیرا این روایات به حدّ تواتر یا استفاضه رسیده‌اند؛ لیکن آشنایی با برخی افراد و اصطلاحات مربوط به سند، خالی از لطف نیست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محمّد بن یعقوب عن 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رجال،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می‌کنند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عدّۀ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شیخ کلینی در کافی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عدّة من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اشخاصی معیّن و مورد اعتماد هستند</w:t>
      </w:r>
      <w:r>
        <w:rPr>
          <w:rFonts w:eastAsia="IRNazanin" w:cs="IRNazanin"/>
          <w:color w:val="111111"/>
          <w:sz w:val="28"/>
          <w:szCs w:val="28"/>
          <w:rtl w:val="true"/>
          <w:lang w:bidi="fa-IR"/>
        </w:rPr>
        <w:t>.</w:t>
      </w:r>
      <w:r>
        <w:rPr>
          <w:rStyle w:val="FootnoteAnchor"/>
          <w:rtl w:val="true"/>
        </w:rPr>
        <w:footnoteReference w:id="850"/>
      </w:r>
      <w:bookmarkStart w:id="993" w:name="pg13785_135359"/>
    </w:p>
    <w:p>
      <w:pPr>
        <w:pStyle w:val="BookText"/>
        <w:rPr/>
      </w:pPr>
      <w:bookmarkEnd w:id="9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او از عبارت مرحوم نجاشی،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متأخّران رجالی، توثیقی را برای حسین بن علوان قائل نیستند، هرچند برادر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سند این روایت نیست، موثّق است</w:t>
      </w:r>
      <w:r>
        <w:rPr>
          <w:rFonts w:eastAsia="IRNazanin" w:cs="IRNazanin"/>
          <w:color w:val="111111"/>
          <w:sz w:val="28"/>
          <w:szCs w:val="28"/>
          <w:rtl w:val="true"/>
          <w:lang w:bidi="fa-IR"/>
        </w:rPr>
        <w:t>.</w:t>
      </w:r>
      <w:r>
        <w:rPr>
          <w:rStyle w:val="FootnoteAnchor"/>
          <w:rtl w:val="true"/>
        </w:rPr>
        <w:footnoteReference w:id="851"/>
      </w:r>
    </w:p>
    <w:p>
      <w:pPr>
        <w:pStyle w:val="Heading6"/>
        <w:numPr>
          <w:ilvl w:val="5"/>
          <w:numId w:val="1"/>
        </w:numPr>
        <w:rPr/>
      </w:pPr>
      <w:bookmarkStart w:id="994" w:name="__RefHeading___Toc2531457_1468164448"/>
      <w:bookmarkStart w:id="995" w:name="_Toc384"/>
      <w:bookmarkEnd w:id="994"/>
      <w:r>
        <w:rPr>
          <w:rtl w:val="true"/>
        </w:rPr>
        <w:t>ج</w:t>
      </w:r>
      <w:r>
        <w:rPr>
          <w:rtl w:val="true"/>
        </w:rPr>
        <w:t xml:space="preserve">) </w:t>
      </w:r>
      <w:r>
        <w:rPr>
          <w:rtl w:val="true"/>
        </w:rPr>
        <w:t>روایت سوم</w:t>
      </w:r>
      <w:r>
        <w:rPr>
          <w:rtl w:val="true"/>
        </w:rPr>
        <w:t>:</w:t>
      </w:r>
      <w:bookmarkEnd w:id="995"/>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النَّضرِ عَنِ القاسِمِ بنِ سُلَیمانَ‌</w:t>
      </w:r>
      <w:r>
        <w:rPr>
          <w:rStyle w:val="FootnoteAnchor"/>
          <w:rtl w:val="true"/>
        </w:rPr>
        <w:footnoteReference w:id="852"/>
      </w:r>
      <w:r>
        <w:rPr>
          <w:rFonts w:ascii="Amiri" w:hAnsi="Amiri" w:eastAsia="Amiri" w:cs="Amiri"/>
          <w:color w:val="111111"/>
          <w:sz w:val="28"/>
          <w:sz w:val="28"/>
          <w:szCs w:val="28"/>
          <w:rtl w:val="true"/>
          <w:lang w:bidi="ar-SA"/>
        </w:rPr>
        <w:t>عَن</w:t>
      </w:r>
    </w:p>
    <w:p>
      <w:pPr>
        <w:pStyle w:val="BookText"/>
        <w:rPr/>
      </w:pPr>
      <w:r>
        <w:rPr>
          <w:rFonts w:ascii="Amiri" w:hAnsi="Amiri" w:eastAsia="Amiri" w:cs="Amiri"/>
          <w:color w:val="111111"/>
          <w:sz w:val="28"/>
          <w:sz w:val="28"/>
          <w:szCs w:val="28"/>
          <w:rtl w:val="true"/>
          <w:lang w:bidi="ar-SA"/>
        </w:rPr>
        <w:t>جَرّاحٍ المَدائِنی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أکلِ السُّحتِ ثَمَنُ الخَمرِ وَ نَهَی عَن ثَمَنِ الکَلبِ؛</w:t>
      </w:r>
      <w:r>
        <w:rPr>
          <w:rStyle w:val="FootnoteAnchor"/>
          <w:rtl w:val="true"/>
        </w:rPr>
        <w:footnoteReference w:id="853"/>
      </w:r>
      <w:r>
        <w:rPr>
          <w:rFonts w:ascii="IRNazanin" w:hAnsi="IRNazanin" w:eastAsia="IRNazanin"/>
          <w:color w:val="111111"/>
          <w:sz w:val="28"/>
          <w:sz w:val="28"/>
          <w:szCs w:val="28"/>
          <w:rtl w:val="true"/>
          <w:lang w:bidi="fa-IR"/>
        </w:rPr>
        <w:t>جرّاح مدائنی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ثمن خمر است و از ثمن سگ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نتیجۀ بررسی آیات و روایات این 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آیات شریفۀ قرآن نمی‌توان برای حرمت تکسّب به 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حرمت تکلیفی و نه حرمت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این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حدّ تواتر، یا به تعبیر امام خمینی قدس سره به حدّ استفاضه رسیده‌اند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برای اثبات این حرمت استدلال کرد</w:t>
      </w:r>
      <w:r>
        <w:rPr>
          <w:rFonts w:eastAsia="IRNazanin" w:cs="IRNazanin"/>
          <w:color w:val="111111"/>
          <w:sz w:val="28"/>
          <w:szCs w:val="28"/>
          <w:rtl w:val="true"/>
          <w:lang w:bidi="fa-IR"/>
        </w:rPr>
        <w:t>.</w:t>
      </w:r>
    </w:p>
    <w:p>
      <w:pPr>
        <w:pStyle w:val="Heading5"/>
        <w:numPr>
          <w:ilvl w:val="4"/>
          <w:numId w:val="1"/>
        </w:numPr>
        <w:rPr/>
      </w:pPr>
      <w:bookmarkStart w:id="996" w:name="__RefHeading___Toc2531459_1468164448"/>
      <w:bookmarkStart w:id="997" w:name="_Toc385"/>
      <w:bookmarkEnd w:id="996"/>
      <w:r>
        <w:rPr>
          <w:rtl w:val="true"/>
        </w:rPr>
        <w:t>بند سوم</w:t>
      </w:r>
      <w:r>
        <w:rPr>
          <w:rtl w:val="true"/>
        </w:rPr>
        <w:t xml:space="preserve">: </w:t>
      </w:r>
      <w:r>
        <w:rPr>
          <w:rtl w:val="true"/>
        </w:rPr>
        <w:t>بررسی نظر فقهای شیعه و عامّه</w:t>
      </w:r>
      <w:bookmarkEnd w:id="997"/>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روایات، فقهای بزرگ نظیر شیخ طوسی،</w:t>
      </w:r>
      <w:r>
        <w:rPr>
          <w:rStyle w:val="FootnoteAnchor"/>
          <w:rtl w:val="true"/>
        </w:rPr>
        <w:footnoteReference w:id="854"/>
      </w:r>
      <w:r>
        <w:rPr>
          <w:rFonts w:ascii="Amiri" w:hAnsi="Amiri" w:eastAsia="Amiri" w:cs="Amiri"/>
          <w:color w:val="111111"/>
          <w:sz w:val="28"/>
          <w:sz w:val="28"/>
          <w:szCs w:val="28"/>
          <w:rtl w:val="true"/>
          <w:lang w:bidi="ar-SA"/>
        </w:rPr>
        <w:t>علاّمۀ حلّی،</w:t>
      </w:r>
      <w:r>
        <w:rPr>
          <w:rStyle w:val="FootnoteAnchor"/>
          <w:rtl w:val="true"/>
        </w:rPr>
        <w:footnoteReference w:id="855"/>
      </w:r>
      <w:r>
        <w:rPr>
          <w:rFonts w:ascii="Amiri" w:hAnsi="Amiri" w:eastAsia="Amiri" w:cs="Amiri"/>
          <w:color w:val="111111"/>
          <w:sz w:val="28"/>
          <w:sz w:val="28"/>
          <w:szCs w:val="28"/>
          <w:rtl w:val="true"/>
          <w:lang w:bidi="ar-SA"/>
        </w:rPr>
        <w:t>شیخ سلّار،</w:t>
      </w:r>
      <w:r>
        <w:rPr>
          <w:rStyle w:val="FootnoteAnchor"/>
          <w:rtl w:val="true"/>
        </w:rPr>
        <w:footnoteReference w:id="856"/>
      </w:r>
      <w:bookmarkStart w:id="998" w:name="pg13785_135360"/>
    </w:p>
    <w:p>
      <w:pPr>
        <w:pStyle w:val="BookText"/>
        <w:rPr/>
      </w:pPr>
      <w:bookmarkEnd w:id="998"/>
      <w:r>
        <w:rPr>
          <w:rFonts w:ascii="Amiri" w:hAnsi="Amiri" w:eastAsia="Amiri" w:cs="Amiri"/>
          <w:color w:val="111111"/>
          <w:sz w:val="28"/>
          <w:sz w:val="28"/>
          <w:szCs w:val="28"/>
          <w:rtl w:val="true"/>
          <w:lang w:bidi="ar-SA"/>
        </w:rPr>
        <w:t>محقّق حلّی،</w:t>
      </w:r>
      <w:r>
        <w:rPr>
          <w:rStyle w:val="FootnoteAnchor"/>
          <w:rtl w:val="true"/>
        </w:rPr>
        <w:footnoteReference w:id="857"/>
      </w:r>
      <w:r>
        <w:rPr>
          <w:rFonts w:ascii="IRNazanin" w:hAnsi="IRNazanin" w:eastAsia="IRNazanin"/>
          <w:color w:val="111111"/>
          <w:sz w:val="28"/>
          <w:sz w:val="28"/>
          <w:szCs w:val="28"/>
          <w:rtl w:val="true"/>
          <w:lang w:bidi="fa-IR"/>
        </w:rPr>
        <w:t>و سایر فقهای امامیّه، تکسّب به خمر از جمله بیع آن را حرام و باطل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فقهای مذاهب اربعۀ اهل سنّت نیز همین دیدگاه را دارند، بجز ابوحنیفه که نظری خاص دارد</w:t>
      </w:r>
      <w:r>
        <w:rPr>
          <w:rStyle w:val="FootnoteAnchor"/>
          <w:rtl w:val="true"/>
        </w:rPr>
        <w:footnoteReference w:id="858"/>
      </w:r>
      <w:r>
        <w:rPr>
          <w:rFonts w:ascii="IRNazanin" w:hAnsi="IRNazanin" w:eastAsia="IRNazanin"/>
          <w:color w:val="111111"/>
          <w:sz w:val="28"/>
          <w:sz w:val="28"/>
          <w:szCs w:val="28"/>
          <w:rtl w:val="true"/>
          <w:lang w:bidi="fa-IR"/>
        </w:rPr>
        <w:t>و به شدّت، مورد مناقشۀ علمای سایر مذاهب اهل سنّت قرار گرفته است</w:t>
      </w:r>
      <w:r>
        <w:rPr>
          <w:rFonts w:eastAsia="IRNazanin" w:cs="IRNazanin"/>
          <w:color w:val="111111"/>
          <w:sz w:val="28"/>
          <w:szCs w:val="28"/>
          <w:rtl w:val="true"/>
          <w:lang w:bidi="fa-IR"/>
        </w:rPr>
        <w:t>.</w:t>
      </w:r>
      <w:r>
        <w:rPr>
          <w:rStyle w:val="FootnoteAnchor"/>
          <w:rtl w:val="true"/>
        </w:rPr>
        <w:footnoteReference w:id="859"/>
      </w:r>
    </w:p>
    <w:p>
      <w:pPr>
        <w:pStyle w:val="Heading4"/>
        <w:numPr>
          <w:ilvl w:val="3"/>
          <w:numId w:val="1"/>
        </w:numPr>
        <w:rPr/>
      </w:pPr>
      <w:bookmarkStart w:id="999" w:name="__RefHeading___Toc2531461_1468164448"/>
      <w:bookmarkStart w:id="1000" w:name="_Toc386"/>
      <w:bookmarkEnd w:id="999"/>
      <w:r>
        <w:rPr>
          <w:rtl w:val="true"/>
        </w:rPr>
        <w:t>گفتار سوم</w:t>
      </w:r>
      <w:r>
        <w:rPr>
          <w:rtl w:val="true"/>
        </w:rPr>
        <w:t xml:space="preserve">: </w:t>
      </w:r>
      <w:r>
        <w:rPr>
          <w:rtl w:val="true"/>
        </w:rPr>
        <w:t>بیع خمر برای غیر اسکار</w:t>
      </w:r>
      <w:bookmarkEnd w:id="1000"/>
    </w:p>
    <w:p>
      <w:pPr>
        <w:pStyle w:val="Heading5"/>
        <w:numPr>
          <w:ilvl w:val="4"/>
          <w:numId w:val="1"/>
        </w:numPr>
        <w:rPr/>
      </w:pPr>
      <w:bookmarkStart w:id="1001" w:name="__RefHeading___Toc2531463_1468164448"/>
      <w:bookmarkStart w:id="1002" w:name="_Toc387"/>
      <w:bookmarkEnd w:id="1001"/>
      <w:r>
        <w:rPr>
          <w:rtl w:val="true"/>
        </w:rPr>
        <w:t>اشارة</w:t>
      </w:r>
      <w:bookmarkEnd w:id="1002"/>
    </w:p>
    <w:p>
      <w:pPr>
        <w:pStyle w:val="BookText"/>
        <w:rPr/>
      </w:pPr>
      <w:r>
        <w:rPr>
          <w:rFonts w:ascii="IRNazanin" w:hAnsi="IRNazanin" w:eastAsia="IRNazanin"/>
          <w:color w:val="111111"/>
          <w:sz w:val="28"/>
          <w:sz w:val="28"/>
          <w:szCs w:val="28"/>
          <w:rtl w:val="true"/>
          <w:lang w:bidi="fa-IR"/>
        </w:rPr>
        <w:t>پس از روشن شدن حکم بیع خمر و حرمت تکسّب به آن، باید بدانیم که آیا فروش خمر برای مقاصد دیگر غیر از اسکار نیز حرام است یا نه؟ مانند این‌که کسی خمری را به دیگری بفروشد تا دیگری آن را برای ساخت سرکه یا معالجه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ادلّه و روایاتی که تا این‌جا خواندیم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لعن پیامبر صلی الله علیه و آله بر خمر و عاصر و شارب و بایع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این موارد نیز می‌شود یا نه؟</w:t>
      </w:r>
    </w:p>
    <w:p>
      <w:pPr>
        <w:pStyle w:val="BookText"/>
        <w:rPr/>
      </w:pPr>
      <w:r>
        <w:rPr>
          <w:rFonts w:ascii="IRNazanin" w:hAnsi="IRNazanin" w:eastAsia="IRNazanin"/>
          <w:color w:val="111111"/>
          <w:sz w:val="28"/>
          <w:sz w:val="28"/>
          <w:szCs w:val="28"/>
          <w:rtl w:val="true"/>
          <w:lang w:bidi="fa-IR"/>
        </w:rPr>
        <w:t>به تعبیر دیگر، از اطلاق روایات، این گونه فهمیده می‌شود که تکسّب به خمر حرام است، ولی آیا در مقابل این اطلاق، انصرافی وجود دارد که حرمت را فقط منصرف به استعمال برای شرب کند؟</w:t>
      </w:r>
    </w:p>
    <w:p>
      <w:pPr>
        <w:pStyle w:val="Heading5"/>
        <w:numPr>
          <w:ilvl w:val="4"/>
          <w:numId w:val="1"/>
        </w:numPr>
        <w:rPr/>
      </w:pPr>
      <w:bookmarkStart w:id="1003" w:name="__RefHeading___Toc2531465_1468164448"/>
      <w:bookmarkStart w:id="1004" w:name="_Toc388"/>
      <w:bookmarkEnd w:id="1003"/>
      <w:r>
        <w:rPr>
          <w:rtl w:val="true"/>
        </w:rPr>
        <w:t>بند نخست</w:t>
      </w:r>
      <w:r>
        <w:rPr>
          <w:rtl w:val="true"/>
        </w:rPr>
        <w:t xml:space="preserve">: </w:t>
      </w:r>
      <w:r>
        <w:rPr>
          <w:rtl w:val="true"/>
        </w:rPr>
        <w:t>انصراف</w:t>
      </w:r>
      <w:bookmarkEnd w:id="1004"/>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این انصراف در این‌جا تمام است؛ زیرا آنچه متعارف در زمان صدور روایات</w:t>
      </w:r>
      <w:bookmarkStart w:id="1005" w:name="pg13785_135361"/>
    </w:p>
    <w:p>
      <w:pPr>
        <w:pStyle w:val="BookText"/>
        <w:rPr/>
      </w:pPr>
      <w:bookmarkEnd w:id="1005"/>
      <w:r>
        <w:rPr>
          <w:rFonts w:ascii="IRNazanin" w:hAnsi="IRNazanin" w:eastAsia="IRNazanin"/>
          <w:color w:val="111111"/>
          <w:sz w:val="28"/>
          <w:sz w:val="28"/>
          <w:szCs w:val="28"/>
          <w:rtl w:val="true"/>
          <w:lang w:bidi="fa-IR"/>
        </w:rPr>
        <w:t xml:space="preserve">است، استعمال خمر در میان نوع دوم در شرب خمر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نیست این کثرت استعمال در خود روایات ائمه علیهم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همین، حرمت بیع خمر و تکسّب به خمر نیز انصراف به همین مورد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کسی خمر را بفروشد با این قصد که مشتری آن را بنوشد، این بیع حرام است؛ امّا اگر مقصود حلال دیگری داشته باشد، از روایات، حرمت چنین فرضی استفاده نمی‌شود</w:t>
      </w:r>
      <w:r>
        <w:rPr>
          <w:rFonts w:eastAsia="IRNazanin" w:cs="IRNazanin"/>
          <w:color w:val="111111"/>
          <w:sz w:val="28"/>
          <w:szCs w:val="28"/>
          <w:rtl w:val="true"/>
          <w:lang w:bidi="fa-IR"/>
        </w:rPr>
        <w:t>.</w:t>
      </w:r>
      <w:r>
        <w:rPr>
          <w:rStyle w:val="FootnoteAnchor"/>
          <w:rtl w:val="true"/>
        </w:rPr>
        <w:footnoteReference w:id="860"/>
      </w:r>
    </w:p>
    <w:p>
      <w:pPr>
        <w:pStyle w:val="Heading5"/>
        <w:numPr>
          <w:ilvl w:val="4"/>
          <w:numId w:val="1"/>
        </w:numPr>
        <w:rPr/>
      </w:pPr>
      <w:bookmarkStart w:id="1006" w:name="__RefHeading___Toc2531467_1468164448"/>
      <w:bookmarkStart w:id="1007" w:name="_Toc389"/>
      <w:bookmarkEnd w:id="1006"/>
      <w:r>
        <w:rPr>
          <w:rtl w:val="true"/>
        </w:rPr>
        <w:t>بند دوم</w:t>
      </w:r>
      <w:r>
        <w:rPr>
          <w:rtl w:val="true"/>
        </w:rPr>
        <w:t xml:space="preserve">: </w:t>
      </w:r>
      <w:r>
        <w:rPr>
          <w:rtl w:val="true"/>
        </w:rPr>
        <w:t>قرائن</w:t>
      </w:r>
      <w:bookmarkEnd w:id="1007"/>
    </w:p>
    <w:p>
      <w:pPr>
        <w:pStyle w:val="Heading6"/>
        <w:numPr>
          <w:ilvl w:val="5"/>
          <w:numId w:val="1"/>
        </w:numPr>
        <w:rPr/>
      </w:pPr>
      <w:bookmarkStart w:id="1008" w:name="__RefHeading___Toc2531469_1468164448"/>
      <w:bookmarkStart w:id="1009" w:name="_Toc390"/>
      <w:bookmarkEnd w:id="1008"/>
      <w:r>
        <w:rPr>
          <w:rtl w:val="true"/>
        </w:rPr>
        <w:t>اشارة</w:t>
      </w:r>
      <w:bookmarkEnd w:id="1009"/>
    </w:p>
    <w:p>
      <w:pPr>
        <w:pStyle w:val="BookText"/>
        <w:rPr/>
      </w:pPr>
      <w:r>
        <w:rPr>
          <w:rFonts w:ascii="IRNazanin" w:hAnsi="IRNazanin" w:eastAsia="IRNazanin"/>
          <w:color w:val="111111"/>
          <w:sz w:val="28"/>
          <w:sz w:val="28"/>
          <w:szCs w:val="28"/>
          <w:rtl w:val="true"/>
          <w:lang w:bidi="fa-IR"/>
        </w:rPr>
        <w:t xml:space="preserve">اگر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که متعارف بودن، سبب دست برداشتن از اطلاق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را نپذیرد، در همین روایات، دو قرینه بر این معنا داریم که فروش خمر بدون قصد شرب،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وسائل الشیعه، باب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ما یُکتسب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روایتی از ابی بصیر از امام صادق علیه السلام آمده است که</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ثَمَنِ الخَمرِ، قالَ علیه السلام اهدی إلی رَسولِ اللّهِ صلی الله علیه و آله راویةُ خَمرٍ بَعدَ ما حُرِّمَتِ الخَمرُ، فأمَرَ بِها أن تُباعَ، فَلَمّا أن مَرَّ بِها الَّذی یبیعُها ناداهُ رَسولُ اللّهِ صلی الله علیه و آله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صاحِبَ الرّاویةِ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 حَرَّمَ شُربَها فَقَد حَرَّمَ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بِها فَصُبَّت فی الصَّعیدِ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 ثَمَنُ الخَمرِ وَ مَهرُ البَغی وَ ثَمَنُ الکَلبِ الَّذی لا یصطادُ مِنَ السُّحتِ؛</w:t>
      </w:r>
      <w:r>
        <w:rPr>
          <w:rStyle w:val="FootnoteAnchor"/>
          <w:rtl w:val="true"/>
        </w:rPr>
        <w:footnoteReference w:id="861"/>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ثمن خمر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خمر تحریم شد، ظرف خمری را به پیامبر صلی الله علیه و آله هدیّه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امر کرد که فروخته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می‌خواست این را بفروشد، پیامبر صلی الله علیه و آله از پشت سر او را صدا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نوشیدنش را حرام کرده،</w:t>
      </w:r>
      <w:bookmarkStart w:id="1010" w:name="pg13785_135362"/>
    </w:p>
    <w:p>
      <w:pPr>
        <w:pStyle w:val="BookText"/>
        <w:rPr/>
      </w:pPr>
      <w:bookmarkEnd w:id="1010"/>
      <w:r>
        <w:rPr>
          <w:rFonts w:ascii="IRNazanin" w:hAnsi="IRNazanin" w:eastAsia="IRNazanin"/>
          <w:color w:val="111111"/>
          <w:sz w:val="28"/>
          <w:sz w:val="28"/>
          <w:szCs w:val="28"/>
          <w:rtl w:val="true"/>
          <w:lang w:bidi="fa-IR"/>
        </w:rPr>
        <w:t>ثمنش را نیز حرام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کرد که آن را بر زمین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ثمن خمر و مهریۀ زنا و ثمن سگی که صید نمی‌کند، سحت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1011" w:name="__RefHeading___Toc2531471_1468164448"/>
      <w:bookmarkStart w:id="1012" w:name="_Toc391"/>
      <w:bookmarkEnd w:id="1011"/>
      <w:r>
        <w:rPr>
          <w:rtl w:val="true"/>
        </w:rPr>
        <w:t>الف</w:t>
      </w:r>
      <w:r>
        <w:rPr>
          <w:rtl w:val="true"/>
        </w:rPr>
        <w:t xml:space="preserve">) </w:t>
      </w:r>
      <w:r>
        <w:rPr>
          <w:rtl w:val="true"/>
        </w:rPr>
        <w:t>قرینۀ نخست</w:t>
      </w:r>
      <w:r>
        <w:rPr>
          <w:rtl w:val="true"/>
        </w:rPr>
        <w:t>:</w:t>
      </w:r>
      <w:bookmarkEnd w:id="1012"/>
    </w:p>
    <w:p>
      <w:pPr>
        <w:pStyle w:val="BookText"/>
        <w:rPr/>
      </w:pPr>
      <w:r>
        <w:rPr>
          <w:rFonts w:ascii="IRNazanin" w:hAnsi="IRNazanin" w:eastAsia="IRNazanin"/>
          <w:color w:val="111111"/>
          <w:sz w:val="28"/>
          <w:sz w:val="28"/>
          <w:szCs w:val="28"/>
          <w:rtl w:val="true"/>
          <w:lang w:bidi="fa-IR"/>
        </w:rPr>
        <w:t>از عبارت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حَرّم شُربها فقَد حَرّم ثَمنَها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 که ملاک حرمت تکسّب به خمر، خمریّت آن نیست؛ بلکه به دلیل حرمت شرب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از روایت فهمیده می‌شود که اگر تکسّب به خاطر شرب نباشد، بلکه مثلاً برای ساختن سرکه باشد، حرمت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این باب، مثل حدیث نخست و حدیث ششم از باب پنجاه و پنج، آمده است که خمری را برای پیامبر هدیّه آوردند و پیامبر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را روی زمین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آیا این امر به اهراق، کاشف از این نیست که از خمر به هیچ گونه‌ای نباید استفاده شود؟ اگر برای ساختن سرکه یا به قصد دیگری جایز بود، آیا پیامبر صلی الله علیه و آله نمی‌فرمود آن را نگه دارند تا سرکه شود؟</w:t>
      </w:r>
    </w:p>
    <w:p>
      <w:pPr>
        <w:pStyle w:val="BookText"/>
        <w:rPr/>
      </w:pPr>
      <w:r>
        <w:rPr>
          <w:rFonts w:ascii="IRNazanin" w:hAnsi="IRNazanin" w:eastAsia="IRNazanin"/>
          <w:color w:val="111111"/>
          <w:sz w:val="28"/>
          <w:sz w:val="28"/>
          <w:szCs w:val="28"/>
          <w:rtl w:val="true"/>
          <w:lang w:bidi="fa-IR"/>
        </w:rPr>
        <w:t>خلاصۀ اشکال این است که آیا امر به اهراق، قرینه بر این مطلب نیست که هر گونه منفعت جستن از خمر، حرام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اطلاقی از امربه اهراق، به دست نمی‌آید؛ زیرا با توجّه به این‌که این جریان در ابتدای زمان تحریم خمر رخ داده است، چه بسا اگر برای زمان اندکی هم خمر را نگه می‌داشتند، برخی مسلمان‌های ضعیف آن را می‌نوشیدند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به دلایل دیگری مصلحت اقتضا می‌کرده است که به اهراق آن امر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گویا امر پیامبر اکرم صلی الله علیه و آله به اهراق خمر، از باب قلع مادّۀ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کردن مادّۀ فساد که در فقه بدان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کسی ببیند در جایی خمر وجود دارد و یقین داشته باشد که هیچ کس از آن استفاده نمی‌کند، از بین بردن آن لازم نیست؛ امّا اگر احتمال بدهد که کسی از آن</w:t>
      </w:r>
      <w:bookmarkStart w:id="1013" w:name="pg13785_135363"/>
    </w:p>
    <w:p>
      <w:pPr>
        <w:pStyle w:val="BookText"/>
        <w:rPr/>
      </w:pPr>
      <w:bookmarkEnd w:id="1013"/>
      <w:r>
        <w:rPr>
          <w:rFonts w:ascii="IRNazanin" w:hAnsi="IRNazanin" w:eastAsia="IRNazanin"/>
          <w:color w:val="111111"/>
          <w:sz w:val="28"/>
          <w:sz w:val="28"/>
          <w:szCs w:val="28"/>
          <w:rtl w:val="true"/>
          <w:lang w:bidi="fa-IR"/>
        </w:rPr>
        <w:t>استفاده می‌کند، باید آن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از امر به اهراق نمی‌توانیم یک نتیجۀ کلّی بدست بیاوریم و بگوییم این‌که پیامبر صلی الله علیه و آله امر به اهراق کرده است، پس هیچ گونه استفاده بردن از این خمر،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قرائنی نیز بر این مطلب وجود دارد که به زودی و در دلیل چهارم خواهد آمد، إن شاء اللّه</w:t>
      </w:r>
      <w:r>
        <w:rPr>
          <w:rFonts w:eastAsia="IRNazanin" w:cs="IRNazanin"/>
          <w:color w:val="111111"/>
          <w:sz w:val="28"/>
          <w:szCs w:val="28"/>
          <w:rtl w:val="true"/>
          <w:lang w:bidi="fa-IR"/>
        </w:rPr>
        <w:t>.</w:t>
      </w:r>
    </w:p>
    <w:p>
      <w:pPr>
        <w:pStyle w:val="Heading6"/>
        <w:numPr>
          <w:ilvl w:val="5"/>
          <w:numId w:val="1"/>
        </w:numPr>
        <w:rPr/>
      </w:pPr>
      <w:bookmarkStart w:id="1014" w:name="__RefHeading___Toc2531473_1468164448"/>
      <w:bookmarkStart w:id="1015" w:name="_Toc392"/>
      <w:bookmarkEnd w:id="1014"/>
      <w:r>
        <w:rPr>
          <w:rtl w:val="true"/>
        </w:rPr>
        <w:t>ب</w:t>
      </w:r>
      <w:r>
        <w:rPr>
          <w:rtl w:val="true"/>
        </w:rPr>
        <w:t xml:space="preserve">) </w:t>
      </w:r>
      <w:r>
        <w:rPr>
          <w:rtl w:val="true"/>
        </w:rPr>
        <w:t>قرینۀ دوم</w:t>
      </w:r>
      <w:r>
        <w:rPr>
          <w:rtl w:val="true"/>
        </w:rPr>
        <w:t>:</w:t>
      </w:r>
      <w:bookmarkEnd w:id="1015"/>
    </w:p>
    <w:p>
      <w:pPr>
        <w:pStyle w:val="BookText"/>
        <w:rPr/>
      </w:pPr>
      <w:r>
        <w:rPr>
          <w:rFonts w:ascii="IRNazanin" w:hAnsi="IRNazanin" w:eastAsia="IRNazanin"/>
          <w:color w:val="111111"/>
          <w:sz w:val="28"/>
          <w:sz w:val="28"/>
          <w:szCs w:val="28"/>
          <w:rtl w:val="true"/>
          <w:lang w:bidi="fa-IR"/>
        </w:rPr>
        <w:t>البتّه این قرینۀ دوم، قرینۀ ضعیفی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سلسلۀ افرادی که مورد لعن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خمر، عاصر، معتصر، بایع و مشتری، ذکر شده‌اند و یکی از آنها هم ساقی خمر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 صورت می‌توان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کسی که درخت را آب می‌دهد تا انگور رشد کند و از آن خمر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دوم نیز کسی است که خمر را برای پذیرایی در ظرف می‌ریزد، مانند سقّایی که می‌خواهد به دیگران آب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برخی از روایات،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می‌بینیم که باز روی سقی و شرب تکیه شده است و این، قرینۀ دیگری است بر این که فروختن خمر به قصد غیر سقی و غیر شرب، اشکالی ندارد</w:t>
      </w:r>
      <w:r>
        <w:rPr>
          <w:rFonts w:eastAsia="IRNazanin" w:cs="IRNazanin"/>
          <w:color w:val="111111"/>
          <w:sz w:val="28"/>
          <w:szCs w:val="28"/>
          <w:rtl w:val="true"/>
          <w:lang w:bidi="fa-IR"/>
        </w:rPr>
        <w:t>.</w:t>
      </w:r>
    </w:p>
    <w:p>
      <w:pPr>
        <w:pStyle w:val="Heading5"/>
        <w:numPr>
          <w:ilvl w:val="4"/>
          <w:numId w:val="1"/>
        </w:numPr>
        <w:rPr/>
      </w:pPr>
      <w:bookmarkStart w:id="1016" w:name="__RefHeading___Toc2531475_1468164448"/>
      <w:bookmarkStart w:id="1017" w:name="_Toc393"/>
      <w:bookmarkEnd w:id="1016"/>
      <w:r>
        <w:rPr>
          <w:rtl w:val="true"/>
        </w:rPr>
        <w:t>بند سوم</w:t>
      </w:r>
      <w:r>
        <w:rPr>
          <w:rtl w:val="true"/>
        </w:rPr>
        <w:t xml:space="preserve">: </w:t>
      </w:r>
      <w:r>
        <w:rPr>
          <w:rtl w:val="true"/>
        </w:rPr>
        <w:t>ضابطۀ صلاح و فساد</w:t>
      </w:r>
      <w:bookmarkEnd w:id="1017"/>
    </w:p>
    <w:p>
      <w:pPr>
        <w:pStyle w:val="BookText"/>
        <w:rPr/>
      </w:pPr>
      <w:r>
        <w:rPr>
          <w:rFonts w:ascii="IRNazanin" w:hAnsi="IRNazanin" w:eastAsia="IRNazanin"/>
          <w:color w:val="111111"/>
          <w:sz w:val="28"/>
          <w:sz w:val="28"/>
          <w:szCs w:val="28"/>
          <w:rtl w:val="true"/>
          <w:lang w:bidi="fa-IR"/>
        </w:rPr>
        <w:t>در آغاز بحث مکاسب محرّمه، روایتی از تحف العقول</w:t>
      </w:r>
      <w:r>
        <w:rPr>
          <w:rStyle w:val="FootnoteAnchor"/>
          <w:rtl w:val="true"/>
        </w:rPr>
        <w:footnoteReference w:id="862"/>
      </w:r>
      <w:r>
        <w:rPr>
          <w:rFonts w:ascii="IRNazanin" w:hAnsi="IRNazanin" w:eastAsia="IRNazanin"/>
          <w:color w:val="111111"/>
          <w:sz w:val="28"/>
          <w:sz w:val="28"/>
          <w:szCs w:val="28"/>
          <w:rtl w:val="true"/>
          <w:lang w:bidi="fa-IR"/>
        </w:rPr>
        <w:t>بررسی شد</w:t>
      </w:r>
      <w:r>
        <w:rPr>
          <w:rFonts w:eastAsia="IRNazanin" w:cs="IRNazanin"/>
          <w:color w:val="111111"/>
          <w:sz w:val="28"/>
          <w:szCs w:val="28"/>
          <w:rtl w:val="true"/>
          <w:lang w:bidi="fa-IR"/>
        </w:rPr>
        <w:t>.</w:t>
      </w:r>
      <w:r>
        <w:rPr>
          <w:rStyle w:val="FootnoteAnchor"/>
          <w:rtl w:val="true"/>
        </w:rPr>
        <w:footnoteReference w:id="863"/>
      </w:r>
      <w:r>
        <w:rPr>
          <w:rFonts w:ascii="IRNazanin" w:hAnsi="IRNazanin" w:eastAsia="IRNazanin"/>
          <w:color w:val="111111"/>
          <w:sz w:val="28"/>
          <w:sz w:val="28"/>
          <w:szCs w:val="28"/>
          <w:rtl w:val="true"/>
          <w:lang w:bidi="fa-IR"/>
        </w:rPr>
        <w:t>مفاد روایت این بود که اگر در چیزی، هم جهت صلاح باشد و هم جهت فساد، بیعش به جهت فساد، حرام و باطل است و به جهت صلاح، مانعی ندارد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نیز می‌توان از این ضابطه استفاده کرد، به این بیان که فروش خمر به جهت شرب، اسکار می‌آورد و از این رو، باطل و حرام است؛ امّا برای سرکه‌سازی اشکالی ندارد</w:t>
      </w:r>
      <w:r>
        <w:rPr>
          <w:rFonts w:eastAsia="IRNazanin" w:cs="IRNazanin"/>
          <w:color w:val="111111"/>
          <w:sz w:val="28"/>
          <w:szCs w:val="28"/>
          <w:rtl w:val="true"/>
          <w:lang w:bidi="fa-IR"/>
        </w:rPr>
        <w:t>.</w:t>
      </w:r>
      <w:bookmarkStart w:id="1018" w:name="pg13785_135364"/>
    </w:p>
    <w:p>
      <w:pPr>
        <w:pStyle w:val="BookText"/>
        <w:rPr/>
      </w:pPr>
      <w:bookmarkEnd w:id="1018"/>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راه نمی‌تواند برای مدّعا کافی باشد؛ زیرا احتمال می‌رود که روایات حرمت خمر و فساد بیع خمر، این ضابطه را تقیید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هرچند بر طبق ضابطه و براساس روایت تحف العقول، اگر در چیزی، هم جهت فساد باشد و هم جهت صلاح، فروشش به جهت فساد، حرام و باطل و به جهت صلاح، صحیح است، امّا اطلاق روایتی که در آن پیامبر اکرم صلی الله علیه و آله عاصر، معتصر، بایع و مشتری را لعن کرده‌اند، این ضابطه را تقیید می‌زند، به این نحو که این ضابطه در همۀ موارد وجود دارد، مگر در باب خمر؛ یعنی بایع خمر، حتّی اگر در بیع او جهت صلاح هم وجود داشته باشد، باز بنا بر روایت، مورد لعن پیامبر صلی الله علیه و آله است</w:t>
      </w:r>
      <w:r>
        <w:rPr>
          <w:rFonts w:eastAsia="IRNazanin" w:cs="IRNazanin"/>
          <w:color w:val="111111"/>
          <w:sz w:val="28"/>
          <w:szCs w:val="28"/>
          <w:rtl w:val="true"/>
          <w:lang w:bidi="fa-IR"/>
        </w:rPr>
        <w:t>.</w:t>
      </w:r>
    </w:p>
    <w:p>
      <w:pPr>
        <w:pStyle w:val="Heading5"/>
        <w:numPr>
          <w:ilvl w:val="4"/>
          <w:numId w:val="1"/>
        </w:numPr>
        <w:rPr/>
      </w:pPr>
      <w:bookmarkStart w:id="1019" w:name="__RefHeading___Toc2531477_1468164448"/>
      <w:bookmarkStart w:id="1020" w:name="_Toc394"/>
      <w:bookmarkEnd w:id="1019"/>
      <w:r>
        <w:rPr>
          <w:rtl w:val="true"/>
        </w:rPr>
        <w:t>بند چهارم</w:t>
      </w:r>
      <w:r>
        <w:rPr>
          <w:rtl w:val="true"/>
        </w:rPr>
        <w:t xml:space="preserve">: </w:t>
      </w:r>
      <w:r>
        <w:rPr>
          <w:rtl w:val="true"/>
        </w:rPr>
        <w:t>روایات</w:t>
      </w:r>
      <w:bookmarkEnd w:id="1020"/>
    </w:p>
    <w:p>
      <w:pPr>
        <w:pStyle w:val="Heading6"/>
        <w:numPr>
          <w:ilvl w:val="5"/>
          <w:numId w:val="1"/>
        </w:numPr>
        <w:rPr/>
      </w:pPr>
      <w:bookmarkStart w:id="1021" w:name="__RefHeading___Toc2531479_1468164448"/>
      <w:bookmarkStart w:id="1022" w:name="_Toc395"/>
      <w:bookmarkEnd w:id="1021"/>
      <w:r>
        <w:rPr>
          <w:rtl w:val="true"/>
        </w:rPr>
        <w:t>اشارة</w:t>
      </w:r>
      <w:bookmarkEnd w:id="1022"/>
    </w:p>
    <w:p>
      <w:pPr>
        <w:pStyle w:val="BookText"/>
        <w:rPr/>
      </w:pPr>
      <w:r>
        <w:rPr>
          <w:rFonts w:ascii="IRNazanin" w:hAnsi="IRNazanin" w:eastAsia="IRNazanin"/>
          <w:color w:val="111111"/>
          <w:sz w:val="28"/>
          <w:sz w:val="28"/>
          <w:szCs w:val="28"/>
          <w:rtl w:val="true"/>
          <w:lang w:bidi="fa-IR"/>
        </w:rPr>
        <w:t>با قطع نظر از دلیل انصراف و دو قرینه‌ای که بیان شد، از برخی روایات استفاده می‌شود که نگه داشتن خمر و یا منتقل کردنش به دیگری به قصد این که سرکه شود،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وسائل الشیعة چند روایت وجود دارد که مفید ادّعای یاد شده است</w:t>
      </w:r>
      <w:r>
        <w:rPr>
          <w:rStyle w:val="FootnoteAnchor"/>
          <w:rtl w:val="true"/>
        </w:rPr>
        <w:footnoteReference w:id="864"/>
      </w:r>
      <w:r>
        <w:rPr>
          <w:rFonts w:ascii="IRNazanin" w:hAnsi="IRNazanin" w:eastAsia="IRNazanin"/>
          <w:color w:val="111111"/>
          <w:sz w:val="28"/>
          <w:sz w:val="28"/>
          <w:szCs w:val="28"/>
          <w:rtl w:val="true"/>
          <w:lang w:bidi="fa-IR"/>
        </w:rPr>
        <w:t>و البتّه در مقابل این روایات، یک روایت از جمیل بن درّاج هم وجود دارد که شیخ انصاری رحمه الله در کتاب المکاسب آورده‌اند و چه بسا از آن روایت استفادۀ خلاف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آن روایت مهم است و سند آن نیز به بررسی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زودی و در گفتار پنجم از همین فصل بررسی خواهد شد، ان 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باب، صاحب وسائل رحمه الله یازده روایت را ذکر کرده است که ما برخی از این روایات را می‌خوانیم و با آن‌که در میان این روایات، روایات معتبر السند هم وجود دارد، لیکن همان گونه که پیش‌تر بیان شد، این روایات به بررسی سندی نیاز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نخست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یَعقُوبَ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الکلینی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بنِ إبراهیمَ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 بن</w:t>
      </w:r>
    </w:p>
    <w:p>
      <w:pPr>
        <w:pStyle w:val="BookText"/>
        <w:rPr/>
      </w:pPr>
      <w:r>
        <w:rPr>
          <w:rFonts w:ascii="Amiri" w:hAnsi="Amiri" w:eastAsia="Amiri" w:cs="Amiri"/>
          <w:color w:val="111111"/>
          <w:sz w:val="28"/>
          <w:sz w:val="28"/>
          <w:szCs w:val="28"/>
          <w:rtl w:val="true"/>
          <w:lang w:bidi="ar-SA"/>
        </w:rPr>
        <w:t>الهاشِم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أبی عُمَیرٍ عَن جَمیلِ بنِ دَرّاجٍ وَابنِ بُکَیرٍ</w:t>
      </w:r>
      <w:r>
        <w:rPr>
          <w:rStyle w:val="FootnoteAnchor"/>
          <w:rtl w:val="true"/>
        </w:rPr>
        <w:footnoteReference w:id="865"/>
      </w:r>
      <w:r>
        <w:rPr>
          <w:rFonts w:ascii="Amiri" w:hAnsi="Amiri" w:eastAsia="Amiri" w:cs="Amiri"/>
          <w:color w:val="111111"/>
          <w:sz w:val="28"/>
          <w:sz w:val="28"/>
          <w:szCs w:val="28"/>
          <w:rtl w:val="true"/>
          <w:lang w:bidi="ar-SA"/>
        </w:rPr>
        <w:t>جَمیعاً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الخَمرِ العَتیقَةِ تُجعَلُ 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Style w:val="FootnoteAnchor"/>
          <w:rtl w:val="true"/>
        </w:rPr>
        <w:footnoteReference w:id="866"/>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 که اگر شراب کهنه بماند تا سرکه شود، اشکال دارد؟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الکلینی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بنِ خالِدٍ عَنِ ابنِ بُکَیرٍ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علیهم السلام عَنِ الخَمرِ یُصنَعُ فیها الشَّیءُ حَتَّی تَحمُضَ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الَّذی صُنِعَ فیها هُوَ الغالِبَ عَلَی ما صُنِعَ فَلا بأسَ بِهِ؛</w:t>
      </w:r>
      <w:r>
        <w:rPr>
          <w:rStyle w:val="FootnoteAnchor"/>
          <w:rtl w:val="true"/>
        </w:rPr>
        <w:footnoteReference w:id="867"/>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خمر عملی انجام دهند که 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چه حکمی دارد؟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در خمر انجام می‌شود، بر خمریّت آن غلبه کند،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عبداللّه بن بکیر،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الخَمرِ تُجعَلُ خَلاًّ،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لَم یُجعَل فیها ما یَغلِبُها؛</w:t>
      </w:r>
      <w:r>
        <w:rPr>
          <w:rStyle w:val="FootnoteAnchor"/>
          <w:rtl w:val="true"/>
        </w:rPr>
        <w:footnoteReference w:id="868"/>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دربارۀ خمری که سرکه می‌شود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اشکالی ندارد، به شرطی که آنچه در خمر ریخته می‌شود، برآن غلبه نکند</w:t>
      </w:r>
      <w:r>
        <w:rPr>
          <w:rFonts w:eastAsia="IRNazanin" w:cs="IRNazanin"/>
          <w:color w:val="111111"/>
          <w:sz w:val="28"/>
          <w:szCs w:val="28"/>
          <w:rtl w:val="true"/>
          <w:lang w:bidi="fa-IR"/>
        </w:rPr>
        <w:t>.</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کلینی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أحمدَ بنِ مُحمّدِ بنِ عیسَی‌عَنِ الحُسین بنِ سَعیدٍ عَن فَضالَةَ بنِ أیُّوبَ عنِ ابنِ بُکَیرٍ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یأخُذُ الخَمرَ، فَیَجعَلُها 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Style w:val="FootnoteAnchor"/>
          <w:rtl w:val="true"/>
        </w:rPr>
        <w:footnoteReference w:id="870"/>
      </w:r>
      <w:r>
        <w:rPr>
          <w:rFonts w:ascii="IRNazanin" w:hAnsi="IRNazanin" w:eastAsia="IRNazanin"/>
          <w:color w:val="111111"/>
          <w:sz w:val="28"/>
          <w:sz w:val="28"/>
          <w:szCs w:val="28"/>
          <w:rtl w:val="true"/>
          <w:lang w:bidi="fa-IR"/>
        </w:rPr>
        <w:t>عبید بن 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مردی سؤال کردم که خمر را می‌گیرد و آن را تبدیل به سرکه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عَنِ ابنِ بُکَیرٍ عَن عُبَیدِ بنِ زُرارَةَ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إذا باعَ عَصیراً، فَحَبَسَهُ السُّلطانُ‌</w:t>
      </w:r>
      <w:r>
        <w:rPr>
          <w:rStyle w:val="FootnoteAnchor"/>
          <w:rtl w:val="true"/>
        </w:rPr>
        <w:footnoteReference w:id="871"/>
      </w:r>
      <w:r>
        <w:rPr>
          <w:rFonts w:ascii="Amiri" w:hAnsi="Amiri" w:eastAsia="Amiri" w:cs="Amiri"/>
          <w:color w:val="111111"/>
          <w:sz w:val="28"/>
          <w:sz w:val="28"/>
          <w:szCs w:val="28"/>
          <w:rtl w:val="true"/>
          <w:lang w:bidi="ar-SA"/>
        </w:rPr>
        <w:t>حَتَّی صارَ</w:t>
      </w:r>
    </w:p>
    <w:p>
      <w:pPr>
        <w:pStyle w:val="BookText"/>
        <w:rPr/>
      </w:pPr>
      <w:r>
        <w:rPr>
          <w:rFonts w:ascii="Amiri" w:hAnsi="Amiri" w:eastAsia="Amiri" w:cs="Amiri"/>
          <w:color w:val="111111"/>
          <w:sz w:val="28"/>
          <w:sz w:val="28"/>
          <w:szCs w:val="28"/>
          <w:rtl w:val="true"/>
          <w:lang w:bidi="ar-SA"/>
        </w:rPr>
        <w:t>خَمراً، فَجَعَلَهُ صاحِبُهُ 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تَحَوَّلَ عَنِ اسمِ الخَمرِ</w:t>
      </w:r>
      <w:r>
        <w:rPr>
          <w:rStyle w:val="FootnoteAnchor"/>
          <w:rtl w:val="true"/>
        </w:rPr>
        <w:footnoteReference w:id="872"/>
      </w:r>
      <w:r>
        <w:rPr>
          <w:rFonts w:ascii="Amiri" w:hAnsi="Amiri" w:eastAsia="Amiri" w:cs="Amiri"/>
          <w:color w:val="111111"/>
          <w:sz w:val="28"/>
          <w:sz w:val="28"/>
          <w:szCs w:val="28"/>
          <w:rtl w:val="true"/>
          <w:lang w:bidi="ar-SA"/>
        </w:rPr>
        <w:t>فَلا بأسَ بِهِ؛</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امام صادق علیه السلام دربارۀ مردی که عصیر را می‌خرد و مدّتی سلطان او را زندانی می‌کند تا این‌که عصیر به خمر تبدیل می‌شود و سپس صاحبش آن را به سرکه تبدیل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خمر نگویند،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این روایات، قرینه است برای روایت اهراق و این‌که نمی‌توان به اطلاق امر پیامبر صلی الله علیه و آله به اهراق بسنده کرد، و امر به اهراق در فرضی است که خمر در معرض خوردن دیگران قرار دارد و تنها راه دفع فساد، اهراق خمر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دوم و سوم، امام صادق علیه السلام ملاکی را ارائه می‌دهند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به خمر اضافه می‌شود بر خود آن غالب باشد، صحیح نیست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یک لیتر خمر است، دو لیتر سرکه به او بیفزایند و همه‌اش سرکه بشود، اشکال</w:t>
      </w:r>
      <w:bookmarkStart w:id="1023" w:name="pg13785_135367"/>
    </w:p>
    <w:p>
      <w:pPr>
        <w:pStyle w:val="BookText"/>
        <w:rPr/>
      </w:pPr>
      <w:bookmarkEnd w:id="1023"/>
      <w:r>
        <w:rPr>
          <w:rFonts w:ascii="IRNazanin" w:hAnsi="IRNazanin" w:eastAsia="IRNazanin"/>
          <w:color w:val="111111"/>
          <w:sz w:val="28"/>
          <w:sz w:val="28"/>
          <w:szCs w:val="28"/>
          <w:rtl w:val="true"/>
          <w:lang w:bidi="fa-IR"/>
        </w:rPr>
        <w:t>دارد؛ امّا عکس آن، اگر در یک لیتر خمر دو قاشق سرکه بریزند تا کم‌کم ترش شود، اشکالی ندارد</w:t>
      </w:r>
      <w:r>
        <w:rPr>
          <w:rFonts w:eastAsia="IRNazanin" w:cs="IRNazanin"/>
          <w:color w:val="111111"/>
          <w:sz w:val="28"/>
          <w:szCs w:val="28"/>
          <w:rtl w:val="true"/>
          <w:lang w:bidi="fa-IR"/>
        </w:rPr>
        <w:t>.</w:t>
      </w:r>
    </w:p>
    <w:p>
      <w:pPr>
        <w:pStyle w:val="Heading6"/>
        <w:numPr>
          <w:ilvl w:val="5"/>
          <w:numId w:val="1"/>
        </w:numPr>
        <w:rPr/>
      </w:pPr>
      <w:bookmarkStart w:id="1024" w:name="__RefHeading___Toc2531481_1468164448"/>
      <w:bookmarkStart w:id="1025" w:name="_Toc396"/>
      <w:bookmarkEnd w:id="1024"/>
      <w:r>
        <w:rPr>
          <w:rtl w:val="true"/>
        </w:rPr>
        <w:t>نقد دلیل چهارم و دلالت روایات</w:t>
      </w:r>
      <w:bookmarkEnd w:id="1025"/>
    </w:p>
    <w:p>
      <w:pPr>
        <w:pStyle w:val="BookText"/>
        <w:rPr/>
      </w:pPr>
      <w:r>
        <w:rPr>
          <w:rFonts w:ascii="IRNazanin" w:hAnsi="IRNazanin" w:eastAsia="IRNazanin"/>
          <w:color w:val="111111"/>
          <w:sz w:val="28"/>
          <w:sz w:val="28"/>
          <w:szCs w:val="28"/>
          <w:rtl w:val="true"/>
          <w:lang w:bidi="fa-IR"/>
        </w:rPr>
        <w:t>برخی فقها از این روایات، استنباط کرده‌اند که فروش خمر به قصد این که مشتری آن را سرکه کند،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استنباط صحیح است و آیا می‌توان از این روایات، برای اباحۀ تکسّب به خمر استفاده کرد یا نه؟</w:t>
      </w:r>
    </w:p>
    <w:p>
      <w:pPr>
        <w:pStyle w:val="BookText"/>
        <w:rPr/>
      </w:pPr>
      <w:r>
        <w:rPr>
          <w:rFonts w:ascii="IRNazanin" w:hAnsi="IRNazanin" w:eastAsia="IRNazanin"/>
          <w:color w:val="111111"/>
          <w:sz w:val="28"/>
          <w:sz w:val="28"/>
          <w:szCs w:val="28"/>
          <w:rtl w:val="true"/>
          <w:lang w:bidi="fa-IR"/>
        </w:rPr>
        <w:t>ظاهر این است که روایات، تنها بیانگر این مطلبند که فروش خمر، پس از استحاله شدن و سرکه شدن،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این روایات نمی‌توان به این نتیجه رسید که فروش خمر به این قصد که مشتری آن را سرکه کند،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نخست، سخنی از خرید و فروش نیست؛ بلکه تنها در مورد سرکه شدن خمر است و امام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دوم سؤال دربارۀ این است که چیزی در خمر بریزند تا ترش و تبدیل به سرکه شود، که باز امام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سوم و چهارم نیز فقط دربارۀ سرکه شدن خمر است و سخنی از خرید و فروش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پنجم که مسئلۀ فروش مطرح است و امام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مسئله مبهم است که چه چیزی اشکال ندارد؟ آیا مقصود امام علیه السلام جواز خرید و فروش است، یا مقصود این است که چون اسمش عوض شده و از این پس به آن سرکه می‌گویند، می‌توان از آن استفاده کرد؟ بنا بر این، برای این مسئله نمی‌توان به روایات، استدلال کرد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نظر ما این است که فروش خمر به قصد تخلیل مباح است؛ امّا این اباحه از روایات فوق استنباط نمی‌شود؛ بلکه از همان دو قرینه‌ای استفاده می‌شود که درخود روایات حرمت تکسّب به خمر، وجود دارد</w:t>
      </w:r>
      <w:r>
        <w:rPr>
          <w:rFonts w:eastAsia="IRNazanin" w:cs="IRNazanin"/>
          <w:color w:val="111111"/>
          <w:sz w:val="28"/>
          <w:szCs w:val="28"/>
          <w:rtl w:val="true"/>
          <w:lang w:bidi="fa-IR"/>
        </w:rPr>
        <w:t>.</w:t>
      </w:r>
      <w:bookmarkStart w:id="1026" w:name="pg13785_135368"/>
    </w:p>
    <w:p>
      <w:pPr>
        <w:pStyle w:val="Heading4"/>
        <w:numPr>
          <w:ilvl w:val="3"/>
          <w:numId w:val="1"/>
        </w:numPr>
        <w:rPr/>
      </w:pPr>
      <w:bookmarkStart w:id="1027" w:name="__RefHeading___Toc2531483_1468164448"/>
      <w:bookmarkStart w:id="1028" w:name="_Toc397"/>
      <w:bookmarkEnd w:id="1026"/>
      <w:bookmarkEnd w:id="1027"/>
      <w:r>
        <w:rPr>
          <w:rtl w:val="true"/>
        </w:rPr>
        <w:t>گفتار چهارم</w:t>
      </w:r>
      <w:r>
        <w:rPr>
          <w:rtl w:val="true"/>
        </w:rPr>
        <w:t xml:space="preserve">: </w:t>
      </w:r>
      <w:r>
        <w:rPr>
          <w:rtl w:val="true"/>
        </w:rPr>
        <w:t>بیع خمر به قصد درمان و اضطرار</w:t>
      </w:r>
      <w:bookmarkEnd w:id="1028"/>
    </w:p>
    <w:p>
      <w:pPr>
        <w:pStyle w:val="Heading5"/>
        <w:numPr>
          <w:ilvl w:val="4"/>
          <w:numId w:val="1"/>
        </w:numPr>
        <w:rPr/>
      </w:pPr>
      <w:bookmarkStart w:id="1029" w:name="__RefHeading___Toc2531485_1468164448"/>
      <w:bookmarkStart w:id="1030" w:name="_Toc398"/>
      <w:bookmarkEnd w:id="1029"/>
      <w:r>
        <w:rPr>
          <w:rtl w:val="true"/>
        </w:rPr>
        <w:t>بند نخست</w:t>
      </w:r>
      <w:r>
        <w:rPr>
          <w:rtl w:val="true"/>
        </w:rPr>
        <w:t xml:space="preserve">: </w:t>
      </w:r>
      <w:r>
        <w:rPr>
          <w:rtl w:val="true"/>
        </w:rPr>
        <w:t>بیع خمر به قصد درمان</w:t>
      </w:r>
      <w:bookmarkEnd w:id="1030"/>
    </w:p>
    <w:p>
      <w:pPr>
        <w:pStyle w:val="Heading6"/>
        <w:numPr>
          <w:ilvl w:val="5"/>
          <w:numId w:val="1"/>
        </w:numPr>
        <w:rPr/>
      </w:pPr>
      <w:bookmarkStart w:id="1031" w:name="__RefHeading___Toc2531487_1468164448"/>
      <w:bookmarkStart w:id="1032" w:name="_Toc399"/>
      <w:bookmarkEnd w:id="1031"/>
      <w:r>
        <w:rPr>
          <w:rtl w:val="true"/>
        </w:rPr>
        <w:t>اشارة</w:t>
      </w:r>
      <w:bookmarkEnd w:id="1032"/>
    </w:p>
    <w:p>
      <w:pPr>
        <w:pStyle w:val="BookText"/>
        <w:rPr/>
      </w:pPr>
      <w:r>
        <w:rPr>
          <w:rFonts w:ascii="IRNazanin" w:hAnsi="IRNazanin" w:eastAsia="IRNazanin"/>
          <w:color w:val="111111"/>
          <w:sz w:val="28"/>
          <w:sz w:val="28"/>
          <w:szCs w:val="28"/>
          <w:rtl w:val="true"/>
          <w:lang w:bidi="fa-IR"/>
        </w:rPr>
        <w:t>بحث فروش خمر به قصد درمان، بحثی مورد ابتلاست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جامعۀ ما برخی از پزشکان گاهی برای مریض، خمر تجویز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نیز فتوا داده‌اند که فروش خمر به قصد درمان، با دو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Style w:val="FootnoteAnchor"/>
          <w:rtl w:val="true"/>
        </w:rPr>
        <w:footnoteReference w:id="874"/>
      </w:r>
      <w:r>
        <w:rPr>
          <w:rFonts w:ascii="IRNazanin" w:hAnsi="IRNazanin" w:eastAsia="IRNazanin"/>
          <w:color w:val="111111"/>
          <w:sz w:val="28"/>
          <w:sz w:val="28"/>
          <w:szCs w:val="28"/>
          <w:rtl w:val="true"/>
          <w:lang w:bidi="fa-IR"/>
        </w:rPr>
        <w:t xml:space="preserve">در حالی که در جلد بیست و پنجم وسائل الشیعه،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الأشربة المحرّمة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بابی داریم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التداوی بشیء من الخمر و النبیذ و المُسکر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عجیب‌تر این است که در همین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صاحب وسائل رحمه الله، شانزده روایت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روایت به مضطر اختصاص دارد؛</w:t>
      </w:r>
      <w:r>
        <w:rPr>
          <w:rStyle w:val="FootnoteAnchor"/>
          <w:rtl w:val="true"/>
        </w:rPr>
        <w:footnoteReference w:id="875"/>
      </w:r>
      <w:r>
        <w:rPr>
          <w:rFonts w:ascii="IRNazanin" w:hAnsi="IRNazanin" w:eastAsia="IRNazanin"/>
          <w:color w:val="111111"/>
          <w:sz w:val="28"/>
          <w:sz w:val="28"/>
          <w:szCs w:val="28"/>
          <w:rtl w:val="true"/>
          <w:lang w:bidi="fa-IR"/>
        </w:rPr>
        <w:t>یعنی از امام علیه السلام سؤال می‌کنند کسی که به شرب خمر مضطر است آیا می‌تواند خمر بنوشد؟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 بین آن فتاوا و این روایات را جمع کرد؟</w:t>
      </w:r>
    </w:p>
    <w:p>
      <w:pPr>
        <w:pStyle w:val="BookText"/>
        <w:rPr/>
      </w:pPr>
      <w:r>
        <w:rPr>
          <w:rFonts w:ascii="IRNazanin" w:hAnsi="IRNazanin" w:eastAsia="IRNazanin"/>
          <w:color w:val="111111"/>
          <w:sz w:val="28"/>
          <w:sz w:val="28"/>
          <w:szCs w:val="28"/>
          <w:rtl w:val="true"/>
          <w:lang w:bidi="fa-IR"/>
        </w:rPr>
        <w:t>در این‌جاست که چند مبحث در رابطه با خمر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بحث دربارۀ مالیّت آن است و این‌که آیا خمر می‌تواند عوض قرار بگیرد یا خیر؟ بحث دیگر، در مورد درمان و معالجه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مبحث دو فرض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انحصار وجود دارد و طبیب تشخیص می‌دهد که برای معالجه باید منحصراً از خمر استفاده کند، و یا انحصار وجود ندارد، به این معنا که یکی از داروهایی که می‌تواند برای او مفید باشد خمر است، ولی می‌تواند از راه غیر خمر هم معالجه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سوم، دربارۀ اضطرار است که آیا شرب خمر در صورت اضطرار، جایز است یا خیر؟</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سایر محرّمات یک قاعدۀ کلّی داریم که هیچ حرامی نیست، مگر این که در صورت اضطرار، خداوند آن را حلال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قاعدۀ کلّی در این‌جا هم صدق می‌کند؟ یا از ادلّه استفاده می‌شود که آن قاعدۀ کلّی، در باب خمر تخصیص</w:t>
      </w:r>
    </w:p>
    <w:p>
      <w:pPr>
        <w:pStyle w:val="BookText"/>
        <w:rPr/>
      </w:pPr>
      <w:r>
        <w:rPr>
          <w:rFonts w:ascii="IRNazanin" w:hAnsi="IRNazanin" w:eastAsia="IRNazanin"/>
          <w:color w:val="111111"/>
          <w:sz w:val="28"/>
          <w:sz w:val="28"/>
          <w:szCs w:val="28"/>
          <w:rtl w:val="true"/>
          <w:lang w:bidi="fa-IR"/>
        </w:rPr>
        <w:t>خورده است؟ یعنی آیا اگر کسی به خمر اضطرار پیدا کرد، باز هم این اضطرار مجوّز شرب خمر نیست؟</w:t>
      </w:r>
    </w:p>
    <w:p>
      <w:pPr>
        <w:pStyle w:val="BookText"/>
        <w:rPr/>
      </w:pPr>
      <w:r>
        <w:rPr>
          <w:rFonts w:ascii="IRNazanin" w:hAnsi="IRNazanin" w:eastAsia="IRNazanin"/>
          <w:color w:val="111111"/>
          <w:sz w:val="28"/>
          <w:sz w:val="28"/>
          <w:szCs w:val="28"/>
          <w:rtl w:val="true"/>
          <w:lang w:bidi="fa-IR"/>
        </w:rPr>
        <w:t>البتّه تفصیل این مطلب در بحث اطعمه و اشربه مطرح می‌شود؛</w:t>
      </w:r>
      <w:r>
        <w:rPr>
          <w:rStyle w:val="FootnoteAnchor"/>
          <w:rtl w:val="true"/>
        </w:rPr>
        <w:footnoteReference w:id="876"/>
      </w:r>
      <w:r>
        <w:rPr>
          <w:rFonts w:ascii="IRNazanin" w:hAnsi="IRNazanin" w:eastAsia="IRNazanin"/>
          <w:color w:val="111111"/>
          <w:sz w:val="28"/>
          <w:sz w:val="28"/>
          <w:szCs w:val="28"/>
          <w:rtl w:val="true"/>
          <w:lang w:bidi="fa-IR"/>
        </w:rPr>
        <w:t>لیکن در این‌جا نیز برای روشن شدن تکلیف بیع خمر، ناگزیر مسئلۀ اضطرار و تداوی را به اختصار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مسئلۀ اضطرار به خمر و درمان با آن، با مسئلۀ تکسّب خمر که بحث فعلی ماست، از این جهت است که در بحث تکسّب به خمر، اگر در صورت اضطرار یا به قصد درمان، استفاده از خمر جایز باشد، خمر در این صورت مالیّت دارد و در این هنگام، معاملۀ آن نیز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گفتیم در فرض اضطرار و درمان هم استفاده از خمر جایز نیست، معنایش این است که حتّی در این صورت نیز معامله باطل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بیان بعضی از فقها آمده است که خمر شرعاً مالیّت ندارد؛</w:t>
      </w:r>
      <w:r>
        <w:rPr>
          <w:rStyle w:val="FootnoteAnchor"/>
          <w:rtl w:val="true"/>
        </w:rPr>
        <w:footnoteReference w:id="877"/>
      </w:r>
      <w:r>
        <w:rPr>
          <w:rFonts w:ascii="IRNazanin" w:hAnsi="IRNazanin" w:eastAsia="IRNazanin"/>
          <w:color w:val="111111"/>
          <w:sz w:val="28"/>
          <w:sz w:val="28"/>
          <w:szCs w:val="28"/>
          <w:rtl w:val="true"/>
          <w:lang w:bidi="fa-IR"/>
        </w:rPr>
        <w:t>لیکن صحیح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تکسّب به خمر حرام است، نتیجۀ قهری‌اش این است که در آن مورد، شارع مالیّت خمر را الغا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بپذیریم که در صورت اضطرار یا برای درمان، می‌تواند خمر بخورد و استفاده‌اش جایز است، در آن مورد مالیّتش الغا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فقیه نمی‌تواند از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 حرّم شُربها حرّم ثمنها</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کند که مالیّت خمر به طور کلّی الغا شده است؛ بلکه فقط می‌توان استفاده کرد که شارع مالیّتش را در موارد قصد شرب، الغا کرده است</w:t>
      </w:r>
      <w:r>
        <w:rPr>
          <w:rFonts w:eastAsia="IRNazanin" w:cs="IRNazanin"/>
          <w:color w:val="111111"/>
          <w:sz w:val="28"/>
          <w:szCs w:val="28"/>
          <w:rtl w:val="true"/>
          <w:lang w:bidi="fa-IR"/>
        </w:rPr>
        <w:t>.</w:t>
      </w:r>
      <w:bookmarkStart w:id="1033" w:name="pg13785_135370"/>
    </w:p>
    <w:p>
      <w:pPr>
        <w:pStyle w:val="Heading6"/>
        <w:numPr>
          <w:ilvl w:val="5"/>
          <w:numId w:val="1"/>
        </w:numPr>
        <w:rPr/>
      </w:pPr>
      <w:bookmarkStart w:id="1034" w:name="__RefHeading___Toc2531489_1468164448"/>
      <w:bookmarkStart w:id="1035" w:name="_Toc400"/>
      <w:bookmarkEnd w:id="1033"/>
      <w:bookmarkEnd w:id="1034"/>
      <w:r>
        <w:rPr>
          <w:rtl w:val="true"/>
        </w:rPr>
        <w:t>الف</w:t>
      </w:r>
      <w:r>
        <w:rPr>
          <w:rtl w:val="true"/>
        </w:rPr>
        <w:t xml:space="preserve">) </w:t>
      </w:r>
      <w:r>
        <w:rPr>
          <w:rtl w:val="true"/>
        </w:rPr>
        <w:t>بررسی اقوال علمای شیعه</w:t>
      </w:r>
      <w:bookmarkEnd w:id="1035"/>
    </w:p>
    <w:p>
      <w:pPr>
        <w:pStyle w:val="BookText"/>
        <w:rPr/>
      </w:pPr>
      <w:r>
        <w:rPr>
          <w:rFonts w:ascii="IRNazanin" w:hAnsi="IRNazanin" w:eastAsia="IRNazanin"/>
          <w:color w:val="111111"/>
          <w:sz w:val="28"/>
          <w:sz w:val="28"/>
          <w:szCs w:val="28"/>
          <w:rtl w:val="true"/>
          <w:lang w:bidi="fa-IR"/>
        </w:rPr>
        <w:t>پیش از این که روایات را بررسی کنیم، برخی از کلمات فقهای شیعه و عامّه را بیان می‌کنیم، تا ببینیم فتوای متقدّمان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بسیاری از متأخّران این است که استفاده از خمر در صورت اضطرار و نیز برای درمان، اشکالی ندارد، در حالی که فتوای بیشتر قدما بر خلاف دیدگاه متأخّران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حلّی رحمه الله دربارۀ درمان با خمر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التداوی بها ولا بشیءٍ من الأنبذة ولا بشیءٍ من الأدویة معها شیءٌ من المُسکر، ویجوز عند الضرورة أن یتداوی بها للعین، ولو اضطرّ إلی خمر وبول ولو لم یجد إلّاالخمر، قال الشیخ فی المبسوط‌</w:t>
      </w:r>
      <w:r>
        <w:rPr>
          <w:rStyle w:val="FootnoteAnchor"/>
          <w:rtl w:val="true"/>
        </w:rPr>
        <w:footnoteReference w:id="878"/>
      </w:r>
      <w:r>
        <w:rPr>
          <w:rFonts w:ascii="IRNazanin" w:hAnsi="IRNazanin" w:eastAsia="IRNazanin"/>
          <w:color w:val="111111"/>
          <w:sz w:val="28"/>
          <w:sz w:val="28"/>
          <w:szCs w:val="28"/>
          <w:rtl w:val="true"/>
          <w:lang w:bidi="fa-IR"/>
        </w:rPr>
        <w:t>لا یجوز دفع الضرورة بها</w:t>
      </w:r>
      <w:r>
        <w:rPr>
          <w:rFonts w:eastAsia="IRNazanin" w:cs="IRNazanin"/>
          <w:color w:val="111111"/>
          <w:sz w:val="28"/>
          <w:szCs w:val="28"/>
          <w:rtl w:val="true"/>
          <w:lang w:bidi="fa-IR"/>
        </w:rPr>
        <w:t>.</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ایشان تصریح می‌کند به این‌که درمان با خمر و هیچ مسکر دیگری جایز نیست، خواه از خرما گرفته شود یا از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مسکری را در دارویی قرار دهند، درمان با آن نیز جایز نیست؛ لیکن اگر برای مداوای چشم، اضطرار پیدا کرد، می‌تواند با خمر چشم را معالجه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کسی برای درمان مجبور شود از خمر یا بول استفاده کند، بول مقدّم است و اگر چیزی جز خمر نداشت، شیخ طوسی رحمه الله در کتاب المبسوط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ضرورت به‌وسیلۀ خمر، جایز نیست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از عبارت شیخ طوسی رحمه الله می‌فهمیم از مواردی که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الضرورات تبیح المحذورات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حرام إلّاوقد أحلّه لمن اضطرّ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می‌خورد، همین مورد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برخی از فقها گفته‌اند که قاعدۀ اضطرار، در دو جا تخصیص</w:t>
      </w:r>
    </w:p>
    <w:p>
      <w:pPr>
        <w:pStyle w:val="BookText"/>
        <w:rPr/>
      </w:pPr>
      <w:r>
        <w:rPr>
          <w:rFonts w:ascii="IRNazanin" w:hAnsi="IRNazanin" w:eastAsia="IRNazanin"/>
          <w:color w:val="111111"/>
          <w:sz w:val="28"/>
          <w:sz w:val="28"/>
          <w:szCs w:val="28"/>
          <w:rtl w:val="true"/>
          <w:lang w:bidi="fa-IR"/>
        </w:rPr>
        <w:t>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باب خمر و دیگری در باب خون و جان</w:t>
      </w:r>
      <w:r>
        <w:rPr>
          <w:rFonts w:eastAsia="IRNazanin" w:cs="IRNazanin"/>
          <w:color w:val="111111"/>
          <w:sz w:val="28"/>
          <w:szCs w:val="28"/>
          <w:rtl w:val="true"/>
          <w:lang w:bidi="fa-IR"/>
        </w:rPr>
        <w:t>.</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شیخ طوسی رحمه الله در المبسوط این فتوا را داده است؛ امّا در النهایة عکس این فتوا را می‌دهد؛ یعنی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در صورت اضطرار، جایز است</w:t>
      </w:r>
      <w:r>
        <w:rPr>
          <w:rFonts w:eastAsia="IRNazanin" w:cs="IRNazanin"/>
          <w:color w:val="111111"/>
          <w:sz w:val="28"/>
          <w:szCs w:val="28"/>
          <w:rtl w:val="true"/>
          <w:lang w:bidi="fa-IR"/>
        </w:rPr>
        <w:t>.</w:t>
      </w:r>
      <w:r>
        <w:rPr>
          <w:rStyle w:val="FootnoteAnchor"/>
          <w:rtl w:val="true"/>
        </w:rPr>
        <w:footnoteReference w:id="881"/>
      </w:r>
      <w:r>
        <w:rPr>
          <w:rFonts w:ascii="IRNazanin" w:hAnsi="IRNazanin" w:eastAsia="IRNazanin"/>
          <w:color w:val="111111"/>
          <w:sz w:val="28"/>
          <w:sz w:val="28"/>
          <w:szCs w:val="28"/>
          <w:rtl w:val="true"/>
          <w:lang w:bidi="fa-IR"/>
        </w:rPr>
        <w:t>محقّق حلّی رحمه الله بعد از آن‌که عبارت شیخ در النهایة را نقل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أشبه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82"/>
      </w:r>
      <w:r>
        <w:rPr>
          <w:rFonts w:ascii="IRNazanin" w:hAnsi="IRNazanin" w:eastAsia="IRNazanin"/>
          <w:color w:val="111111"/>
          <w:sz w:val="28"/>
          <w:sz w:val="28"/>
          <w:szCs w:val="28"/>
          <w:rtl w:val="true"/>
          <w:lang w:bidi="fa-IR"/>
        </w:rPr>
        <w:t>یعنی اشبه به قواعد و ضوابط این است که اگر برای کسی اضطرار حاصل شد، می‌تواند از خمر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خلاصۀ نظر محقّق رحمه الله در شرائع الإسلام این است که در صورت اضطرار، خوردن خمر جایز است؛ امّا برای درمان، چه انحصار باشد و چه نباشد، خوردن خمر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شیخ صدوق،</w:t>
      </w:r>
      <w:r>
        <w:rPr>
          <w:rStyle w:val="FootnoteAnchor"/>
          <w:rtl w:val="true"/>
        </w:rPr>
        <w:footnoteReference w:id="883"/>
      </w:r>
      <w:r>
        <w:rPr>
          <w:rFonts w:ascii="IRNazanin" w:hAnsi="IRNazanin" w:eastAsia="IRNazanin"/>
          <w:color w:val="111111"/>
          <w:sz w:val="28"/>
          <w:sz w:val="28"/>
          <w:szCs w:val="28"/>
          <w:rtl w:val="true"/>
          <w:lang w:bidi="fa-IR"/>
        </w:rPr>
        <w:t>ابن ادریس</w:t>
      </w:r>
      <w:r>
        <w:rPr>
          <w:rStyle w:val="FootnoteAnchor"/>
          <w:rtl w:val="true"/>
        </w:rPr>
        <w:footnoteReference w:id="884"/>
      </w:r>
      <w:r>
        <w:rPr>
          <w:rFonts w:ascii="IRNazanin" w:hAnsi="IRNazanin" w:eastAsia="IRNazanin"/>
          <w:color w:val="111111"/>
          <w:sz w:val="28"/>
          <w:sz w:val="28"/>
          <w:szCs w:val="28"/>
          <w:rtl w:val="true"/>
          <w:lang w:bidi="fa-IR"/>
        </w:rPr>
        <w:t>ابن سعید</w:t>
      </w:r>
      <w:r>
        <w:rPr>
          <w:rStyle w:val="FootnoteAnchor"/>
          <w:rtl w:val="true"/>
        </w:rPr>
        <w:footnoteReference w:id="885"/>
      </w:r>
      <w:r>
        <w:rPr>
          <w:rFonts w:ascii="IRNazanin" w:hAnsi="IRNazanin" w:eastAsia="IRNazanin"/>
          <w:color w:val="111111"/>
          <w:sz w:val="28"/>
          <w:sz w:val="28"/>
          <w:szCs w:val="28"/>
          <w:rtl w:val="true"/>
          <w:lang w:bidi="fa-IR"/>
        </w:rPr>
        <w:t>و شمار دیگری از فقها قدس سرهم نیز از کسانی هستند که همچون شیخ طوسی قدس سره، استفاده از خمر را در صورت اضطرار، جایز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رحمه الله معتقد است که در صورت عدم انحصار، درمان با خمر بلا خلاف جایز نیست؛</w:t>
      </w:r>
      <w:r>
        <w:rPr>
          <w:rStyle w:val="FootnoteAnchor"/>
          <w:rtl w:val="true"/>
        </w:rPr>
        <w:footnoteReference w:id="886"/>
      </w:r>
      <w:r>
        <w:rPr>
          <w:rFonts w:ascii="IRNazanin" w:hAnsi="IRNazanin" w:eastAsia="IRNazanin"/>
          <w:color w:val="111111"/>
          <w:sz w:val="28"/>
          <w:sz w:val="28"/>
          <w:szCs w:val="28"/>
          <w:rtl w:val="true"/>
          <w:lang w:bidi="fa-IR"/>
        </w:rPr>
        <w:t>بلکه معتقد است که اگر برای بیمار، خمر تجویز شده باشد و بیمار علم به انحصار نداشته باشد، در این صورت نیز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المشهور علی ما فی المسالک</w:t>
      </w:r>
      <w:r>
        <w:rPr>
          <w:rStyle w:val="FootnoteAnchor"/>
          <w:rtl w:val="true"/>
        </w:rPr>
        <w:footnoteReference w:id="887"/>
      </w:r>
      <w:r>
        <w:rPr>
          <w:rFonts w:ascii="IRNazanin" w:hAnsi="IRNazanin" w:eastAsia="IRNazanin"/>
          <w:color w:val="111111"/>
          <w:sz w:val="28"/>
          <w:sz w:val="28"/>
          <w:szCs w:val="28"/>
          <w:rtl w:val="true"/>
          <w:lang w:bidi="fa-IR"/>
        </w:rPr>
        <w:t>وکشف اللثام</w:t>
      </w:r>
      <w:r>
        <w:rPr>
          <w:rStyle w:val="FootnoteAnchor"/>
          <w:rtl w:val="true"/>
        </w:rPr>
        <w:footnoteReference w:id="888"/>
      </w:r>
      <w:r>
        <w:rPr>
          <w:rFonts w:ascii="IRNazanin" w:hAnsi="IRNazanin" w:eastAsia="IRNazanin"/>
          <w:color w:val="111111"/>
          <w:sz w:val="28"/>
          <w:sz w:val="28"/>
          <w:szCs w:val="28"/>
          <w:rtl w:val="true"/>
          <w:lang w:bidi="fa-IR"/>
        </w:rPr>
        <w:t>عدم الجواز حتّی مع الإنحصار،</w:t>
      </w:r>
      <w:bookmarkStart w:id="1036" w:name="pg13785_135372"/>
    </w:p>
    <w:p>
      <w:pPr>
        <w:pStyle w:val="BookText"/>
        <w:rPr/>
      </w:pPr>
      <w:bookmarkEnd w:id="1036"/>
      <w:r>
        <w:rPr>
          <w:rFonts w:ascii="IRNazanin" w:hAnsi="IRNazanin" w:eastAsia="IRNazanin"/>
          <w:color w:val="111111"/>
          <w:sz w:val="28"/>
          <w:sz w:val="28"/>
          <w:szCs w:val="28"/>
          <w:rtl w:val="true"/>
          <w:lang w:bidi="fa-IR"/>
        </w:rPr>
        <w:t>بل عن الشیخ فی الخلاف</w:t>
      </w:r>
      <w:r>
        <w:rPr>
          <w:rStyle w:val="FootnoteAnchor"/>
          <w:rtl w:val="true"/>
        </w:rPr>
        <w:footnoteReference w:id="889"/>
      </w:r>
      <w:r>
        <w:rPr>
          <w:rFonts w:ascii="IRNazanin" w:hAnsi="IRNazanin" w:eastAsia="IRNazanin"/>
          <w:color w:val="111111"/>
          <w:sz w:val="28"/>
          <w:sz w:val="28"/>
          <w:szCs w:val="28"/>
          <w:rtl w:val="true"/>
          <w:lang w:bidi="fa-IR"/>
        </w:rPr>
        <w:t>وظاهر المبسوط‌</w:t>
      </w:r>
      <w:r>
        <w:rPr>
          <w:rStyle w:val="FootnoteAnchor"/>
          <w:rtl w:val="true"/>
        </w:rPr>
        <w:footnoteReference w:id="890"/>
      </w:r>
      <w:r>
        <w:rPr>
          <w:rFonts w:ascii="IRNazanin" w:hAnsi="IRNazanin" w:eastAsia="IRNazanin"/>
          <w:color w:val="111111"/>
          <w:sz w:val="28"/>
          <w:sz w:val="28"/>
          <w:szCs w:val="28"/>
          <w:rtl w:val="true"/>
          <w:lang w:bidi="fa-IR"/>
        </w:rPr>
        <w:t>الإجماع علیه؛</w:t>
      </w:r>
      <w:r>
        <w:rPr>
          <w:rStyle w:val="FootnoteAnchor"/>
          <w:rtl w:val="true"/>
        </w:rPr>
        <w:footnoteReference w:id="891"/>
      </w:r>
      <w:r>
        <w:rPr>
          <w:rFonts w:ascii="IRNazanin" w:hAnsi="IRNazanin" w:eastAsia="IRNazanin"/>
          <w:color w:val="111111"/>
          <w:sz w:val="28"/>
          <w:sz w:val="28"/>
          <w:szCs w:val="28"/>
          <w:rtl w:val="true"/>
          <w:lang w:bidi="fa-IR"/>
        </w:rPr>
        <w:t>بنا به نقلی که شهید در مسالک الأفهام و فاضل هندی در کشف اللثام آورده است، طبق نظر مشهور فقها حتّی در صورت انحصار هم شرب خمر جایز نیست، بلکه شیخ در الخلاف و المبسوط گفته است که اجماع بر عدم جواز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مطالعۀ عبارت‌هایی که گذشت، در می‌یابیم که درمان با خمر، حتّی در فرض انحصار نیز از نظر مشهور قدما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عدم انحصار نیز این عدم جواز، اجماعی است</w:t>
      </w:r>
      <w:r>
        <w:rPr>
          <w:rFonts w:eastAsia="IRNazanin" w:cs="IRNazanin"/>
          <w:color w:val="111111"/>
          <w:sz w:val="28"/>
          <w:szCs w:val="28"/>
          <w:rtl w:val="true"/>
          <w:lang w:bidi="fa-IR"/>
        </w:rPr>
        <w:t>.</w:t>
      </w:r>
    </w:p>
    <w:p>
      <w:pPr>
        <w:pStyle w:val="Heading6"/>
        <w:numPr>
          <w:ilvl w:val="5"/>
          <w:numId w:val="1"/>
        </w:numPr>
        <w:rPr/>
      </w:pPr>
      <w:bookmarkStart w:id="1037" w:name="__RefHeading___Toc2531491_1468164448"/>
      <w:bookmarkStart w:id="1038" w:name="_Toc401"/>
      <w:bookmarkEnd w:id="1037"/>
      <w:r>
        <w:rPr>
          <w:rtl w:val="true"/>
        </w:rPr>
        <w:t>ب</w:t>
      </w:r>
      <w:r>
        <w:rPr>
          <w:rtl w:val="true"/>
        </w:rPr>
        <w:t xml:space="preserve">) </w:t>
      </w:r>
      <w:r>
        <w:rPr>
          <w:rtl w:val="true"/>
        </w:rPr>
        <w:t>بررسی اقوال علمای عامّه</w:t>
      </w:r>
      <w:bookmarkEnd w:id="1038"/>
    </w:p>
    <w:p>
      <w:pPr>
        <w:pStyle w:val="BookText"/>
        <w:rPr/>
      </w:pPr>
      <w:r>
        <w:rPr>
          <w:rStyle w:val="FootnoteAnchor"/>
          <w:rtl w:val="true"/>
        </w:rPr>
        <w:footnoteReference w:id="8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شافعی دو قول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صحیح‌تر نزد ایشان این است که انتفاع به خمر برای درمان و بلکه حتّی برای نوشاندن به حیوانات نیز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از نظر شافعی‌ها درمان با خمر، جایز نیست و تفاوتی بین انحصار و عدم انحصار هم وجود ندارد</w:t>
      </w:r>
      <w:r>
        <w:rPr>
          <w:rFonts w:eastAsia="IRNazanin" w:cs="IRNazanin"/>
          <w:color w:val="111111"/>
          <w:sz w:val="28"/>
          <w:szCs w:val="28"/>
          <w:rtl w:val="true"/>
          <w:lang w:bidi="fa-IR"/>
        </w:rPr>
        <w:t>.</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قول دوم شافعی‌ها، شبیه نظر مالکی‌هاست که در سطور بعد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حنابله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یجوز الإنتفاع بالخمر وغیرها من المسکرات ولو کان للتداوی</w:t>
      </w:r>
      <w:r>
        <w:rPr>
          <w:rFonts w:eastAsia="IRNazanin" w:cs="IRNazanin"/>
          <w:color w:val="111111"/>
          <w:sz w:val="28"/>
          <w:szCs w:val="28"/>
          <w:rtl w:val="true"/>
          <w:lang w:bidi="fa-IR"/>
        </w:rPr>
        <w:t>.</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حنفی‌ها نیز قائل‌اند به این‌که درمان بیماری به‌وسیلۀ خمر، جایز نیست</w:t>
      </w:r>
      <w:r>
        <w:rPr>
          <w:rFonts w:eastAsia="IRNazanin" w:cs="IRNazanin"/>
          <w:color w:val="111111"/>
          <w:sz w:val="28"/>
          <w:szCs w:val="28"/>
          <w:rtl w:val="true"/>
          <w:lang w:bidi="fa-IR"/>
        </w:rPr>
        <w:t>.</w:t>
      </w:r>
      <w:r>
        <w:rPr>
          <w:rStyle w:val="FootnoteAnchor"/>
          <w:rtl w:val="true"/>
        </w:rPr>
        <w:footnoteReference w:id="895"/>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مالکی‌ها در این باره کمی تفصیل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نخست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انسان از تلف شدن می‌ترسد، برای جلوگیری از هلاکت نفس، می‌تواند از خمر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می‌گویند</w:t>
      </w:r>
      <w:r>
        <w:rPr>
          <w:rFonts w:eastAsia="IRNazanin" w:cs="IRNazanin"/>
          <w:color w:val="111111"/>
          <w:sz w:val="28"/>
          <w:szCs w:val="28"/>
          <w:rtl w:val="true"/>
          <w:lang w:bidi="fa-IR"/>
        </w:rPr>
        <w:t>:</w:t>
      </w:r>
      <w:bookmarkStart w:id="1039" w:name="pg13785_135373"/>
    </w:p>
    <w:p>
      <w:pPr>
        <w:pStyle w:val="BookText"/>
        <w:rPr/>
      </w:pPr>
      <w:bookmarkEnd w:id="1039"/>
      <w:r>
        <w:rPr>
          <w:rFonts w:ascii="IRNazanin" w:hAnsi="IRNazanin" w:eastAsia="IRNazanin"/>
          <w:color w:val="111111"/>
          <w:sz w:val="28"/>
          <w:sz w:val="28"/>
          <w:szCs w:val="28"/>
          <w:rtl w:val="true"/>
          <w:lang w:bidi="fa-IR"/>
        </w:rPr>
        <w:t>یجوز التداوی به إذا لم یوجد دواء غیره للمریض، بشرط إخبار طبیب مسلم عدل موثوق بقوله؛</w:t>
      </w:r>
      <w:r>
        <w:rPr>
          <w:rStyle w:val="FootnoteAnchor"/>
          <w:rtl w:val="true"/>
        </w:rPr>
        <w:footnoteReference w:id="896"/>
      </w:r>
      <w:r>
        <w:rPr>
          <w:rFonts w:ascii="IRNazanin" w:hAnsi="IRNazanin" w:eastAsia="IRNazanin"/>
          <w:color w:val="111111"/>
          <w:sz w:val="28"/>
          <w:sz w:val="28"/>
          <w:szCs w:val="28"/>
          <w:rtl w:val="true"/>
          <w:lang w:bidi="fa-IR"/>
        </w:rPr>
        <w:t>اگر برای مریض، دوایی غیر از خمر نباشد، درمان با خمر جایز است، به شرط آن‌که طبیب مسلمان عادل مورد اعتماد، ضرورت آن را تشخیص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قدمای شیعه و مذاهب اربعۀ اهل سنّت، در حرمت درمان با خمر اشتراک نظر دارند و از عبارت‌های آنان استفاده می‌شود که حتّی در صورت انحصار درمان در خمر نیز حکم همین است</w:t>
      </w:r>
      <w:r>
        <w:rPr>
          <w:rFonts w:eastAsia="IRNazanin" w:cs="IRNazanin"/>
          <w:color w:val="111111"/>
          <w:sz w:val="28"/>
          <w:szCs w:val="28"/>
          <w:rtl w:val="true"/>
          <w:lang w:bidi="fa-IR"/>
        </w:rPr>
        <w:t>.</w:t>
      </w:r>
    </w:p>
    <w:p>
      <w:pPr>
        <w:pStyle w:val="Heading5"/>
        <w:numPr>
          <w:ilvl w:val="4"/>
          <w:numId w:val="1"/>
        </w:numPr>
        <w:rPr/>
      </w:pPr>
      <w:bookmarkStart w:id="1040" w:name="__RefHeading___Toc2531493_1468164448"/>
      <w:bookmarkStart w:id="1041" w:name="_Toc402"/>
      <w:bookmarkEnd w:id="1040"/>
      <w:r>
        <w:rPr>
          <w:rtl w:val="true"/>
        </w:rPr>
        <w:t>بند دوم</w:t>
      </w:r>
      <w:r>
        <w:rPr>
          <w:rtl w:val="true"/>
        </w:rPr>
        <w:t xml:space="preserve">: </w:t>
      </w:r>
      <w:r>
        <w:rPr>
          <w:rtl w:val="true"/>
        </w:rPr>
        <w:t>اضطرار به خمر</w:t>
      </w:r>
      <w:bookmarkEnd w:id="1041"/>
    </w:p>
    <w:p>
      <w:pPr>
        <w:pStyle w:val="Heading6"/>
        <w:numPr>
          <w:ilvl w:val="5"/>
          <w:numId w:val="1"/>
        </w:numPr>
        <w:rPr/>
      </w:pPr>
      <w:bookmarkStart w:id="1042" w:name="__RefHeading___Toc2531495_1468164448"/>
      <w:bookmarkStart w:id="1043" w:name="_Toc403"/>
      <w:bookmarkEnd w:id="1042"/>
      <w:r>
        <w:rPr>
          <w:rtl w:val="true"/>
        </w:rPr>
        <w:t>اشارة</w:t>
      </w:r>
      <w:bookmarkEnd w:id="1043"/>
    </w:p>
    <w:p>
      <w:pPr>
        <w:pStyle w:val="BookText"/>
        <w:rPr/>
      </w:pPr>
      <w:r>
        <w:rPr>
          <w:rFonts w:ascii="IRNazanin" w:hAnsi="IRNazanin" w:eastAsia="IRNazanin"/>
          <w:color w:val="111111"/>
          <w:sz w:val="28"/>
          <w:sz w:val="28"/>
          <w:szCs w:val="28"/>
          <w:rtl w:val="true"/>
          <w:lang w:bidi="fa-IR"/>
        </w:rPr>
        <w:t>چنان‌که گذشت، در میان فقهای شیعه، در مورد فرض اضطرار، گروهی قائل به عدم جواز و برخی قائل به جوازند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عبارات عامّه هم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مالکیه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خمر در صورت اضطرار، جایز است و برخی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اضطرار نیز جایز نیست</w:t>
      </w:r>
      <w:r>
        <w:rPr>
          <w:rFonts w:eastAsia="IRNazanin" w:cs="IRNazanin"/>
          <w:color w:val="111111"/>
          <w:sz w:val="28"/>
          <w:szCs w:val="28"/>
          <w:rtl w:val="true"/>
          <w:lang w:bidi="fa-IR"/>
        </w:rPr>
        <w:t>.</w:t>
      </w:r>
      <w:r>
        <w:rPr>
          <w:rStyle w:val="FootnoteAnchor"/>
          <w:rtl w:val="true"/>
        </w:rPr>
        <w:footnoteReference w:id="897"/>
      </w:r>
    </w:p>
    <w:p>
      <w:pPr>
        <w:pStyle w:val="Heading6"/>
        <w:numPr>
          <w:ilvl w:val="5"/>
          <w:numId w:val="1"/>
        </w:numPr>
        <w:rPr/>
      </w:pPr>
      <w:bookmarkStart w:id="1044" w:name="__RefHeading___Toc2531497_1468164448"/>
      <w:bookmarkStart w:id="1045" w:name="_Toc404"/>
      <w:bookmarkEnd w:id="1044"/>
      <w:r>
        <w:rPr>
          <w:rtl w:val="true"/>
        </w:rPr>
        <w:t>الف</w:t>
      </w:r>
      <w:r>
        <w:rPr>
          <w:rtl w:val="true"/>
        </w:rPr>
        <w:t xml:space="preserve">) </w:t>
      </w:r>
      <w:r>
        <w:rPr>
          <w:rtl w:val="true"/>
        </w:rPr>
        <w:t>بررسی آیات</w:t>
      </w:r>
      <w:bookmarkEnd w:id="1045"/>
    </w:p>
    <w:p>
      <w:pPr>
        <w:pStyle w:val="BookText"/>
        <w:rPr/>
      </w:pPr>
      <w:r>
        <w:rPr>
          <w:rFonts w:ascii="IRNazanin" w:hAnsi="IRNazanin" w:eastAsia="IRNazanin"/>
          <w:color w:val="111111"/>
          <w:sz w:val="28"/>
          <w:sz w:val="28"/>
          <w:szCs w:val="28"/>
          <w:rtl w:val="true"/>
          <w:lang w:bidi="fa-IR"/>
        </w:rPr>
        <w:t>قرطبی در ذیل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الْخَمْرُ وَ الْمَیْسِرُ وَ الْأَنْصابُ وَ الْأَزْلامُ رِجْسٌ مِنْ عَمَلِ الشَّیْطانِ فَاجْتَنِبُوهُ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لفظ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اطلاق است و از همین اطلاق، استفاده می‌شود که استفاده از خمر حتّی برای درمان نیز جایز نیست</w:t>
      </w:r>
      <w:r>
        <w:rPr>
          <w:rFonts w:eastAsia="IRNazanin" w:cs="IRNazanin"/>
          <w:color w:val="111111"/>
          <w:sz w:val="28"/>
          <w:szCs w:val="28"/>
          <w:rtl w:val="true"/>
          <w:lang w:bidi="fa-IR"/>
        </w:rPr>
        <w:t>.</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البتّه همان گونه که پیش‌تر بیان شد، این استدلال پذیرفته نیست؛ زیرا از باب تمسّک به عام در شبهۀ مصداقیه است که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در سه مورد، بحث حرمت خوراکی‌ها مطرح شده است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حرمت میته، خون، گوشت خوک و آنچه برای غیرخدا قربانی شود، مطرح شده است</w:t>
      </w:r>
      <w:bookmarkStart w:id="1046" w:name="pg13785_135374"/>
    </w:p>
    <w:p>
      <w:pPr>
        <w:pStyle w:val="BookText"/>
        <w:rPr/>
      </w:pPr>
      <w:bookmarkEnd w:id="1046"/>
      <w:r>
        <w:rPr>
          <w:rFonts w:ascii="IRNazanin" w:hAnsi="IRNazanin" w:eastAsia="IRNazanin"/>
          <w:color w:val="111111"/>
          <w:sz w:val="28"/>
          <w:sz w:val="28"/>
          <w:szCs w:val="28"/>
          <w:rtl w:val="true"/>
          <w:lang w:bidi="fa-IR"/>
        </w:rPr>
        <w:t>و بلا فاصله بعد از بیان حکم حرمت، خداوند صورت اضطرار را 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آیۀ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حَرَّمَ عَلَیْکُمُ الْمَیْتَةَ وَ الدَّمَ وَ لَحْمَ الْخِنْزِیرِ وَ ما أُهِلَّ بِهِ لِغَیْرِ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 فاصله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اضْطُرَّ غَیْرَ باغٍ وَ لا عادٍ فَلا إِثْمَ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اگر کسی، اضطرار به میته، اضطرار به خون یا اضطرار به گوشت خوک پیدا کرد، خوردن آنها اشکالی ندارد؛ لیکن در این آیه صحبتی از خمر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آیۀ سوم سورۀ مائده، 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الْمَیْتَةُ وَ الدَّمُ وَ لَحْمُ 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اضْطُرَّ فِی مَخْمَصَةٍ غَیْرَ مُتَجانِفٍ لِإِثْمٍ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آن‌جا که قرآن مسئلۀ اضطرار را فقط در مورد مردار، گوشت خوک، خون و آنچه برای غیرخدا قربانی می‌شود مطرح نموده است؛ امّا در باب خمر و در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الْخَمْرُ وَ الْمَیْسِرُ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دربارۀ اضطرار، مطرح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منظور این نیست که به صورت جزمی بگوییم که این مطلب، مبیّن حرمت صورت اضطرار است؛ ولی این عدم اشاره به خمر در آیات اضطرار و عدم اشاره به اضطرار در آیۀ خمر، در خور تأمّل است</w:t>
      </w:r>
      <w:r>
        <w:rPr>
          <w:rFonts w:eastAsia="IRNazanin" w:cs="IRNazanin"/>
          <w:color w:val="111111"/>
          <w:sz w:val="28"/>
          <w:szCs w:val="28"/>
          <w:rtl w:val="true"/>
          <w:lang w:bidi="fa-IR"/>
        </w:rPr>
        <w:t>.</w:t>
      </w:r>
    </w:p>
    <w:p>
      <w:pPr>
        <w:pStyle w:val="Heading6"/>
        <w:numPr>
          <w:ilvl w:val="5"/>
          <w:numId w:val="1"/>
        </w:numPr>
        <w:rPr/>
      </w:pPr>
      <w:bookmarkStart w:id="1047" w:name="__RefHeading___Toc2531499_1468164448"/>
      <w:bookmarkStart w:id="1048" w:name="_Toc405"/>
      <w:bookmarkEnd w:id="1047"/>
      <w:r>
        <w:rPr>
          <w:rtl w:val="true"/>
        </w:rPr>
        <w:t>ب</w:t>
      </w:r>
      <w:r>
        <w:rPr>
          <w:rtl w:val="true"/>
        </w:rPr>
        <w:t xml:space="preserve">) </w:t>
      </w:r>
      <w:r>
        <w:rPr>
          <w:rtl w:val="true"/>
        </w:rPr>
        <w:t>روایات مربوط به درمان با شرب خمر</w:t>
      </w:r>
      <w:bookmarkEnd w:id="1048"/>
    </w:p>
    <w:p>
      <w:pPr>
        <w:pStyle w:val="BookText"/>
        <w:rPr/>
      </w:pPr>
      <w:r>
        <w:rPr>
          <w:rFonts w:ascii="IRNazanin" w:hAnsi="IRNazanin" w:eastAsia="IRNazanin"/>
          <w:color w:val="111111"/>
          <w:sz w:val="28"/>
          <w:sz w:val="28"/>
          <w:szCs w:val="28"/>
          <w:rtl w:val="true"/>
          <w:lang w:bidi="fa-IR"/>
        </w:rPr>
        <w:t>در کتاب وسائل الشیعة، روایات گوناگونی دربارۀ درمان با خمر و اضطرار به آن، مطرح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نخست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عُمَرَ بنِ أُذَینَةَ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أبی‌عَبدِاللّه علیه السلام أسألُهُ عَنِ الرَّجُلِ یُنعَتُ لَهُ الدَّواءُ مِن ریحِ البَواسیرِ فَیَشرَبُهُ بِقَدرِ أُسکُرُّجَةٍ مِن نَبیذٍ، لَیسَ یُریدُ بِهِ اللَّذَّةَ، إنَّما یُریدُ بِهِ 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 لا وَ لا جُرعَةً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علیه السلام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یَجعَل فی شَیءٍ مِمّا حَرَّمَ دَواءً وَ لا شِفاءً؛</w:t>
      </w:r>
      <w:r>
        <w:rPr>
          <w:rStyle w:val="FootnoteAnchor"/>
          <w:rtl w:val="true"/>
        </w:rPr>
        <w:footnoteReference w:id="899"/>
      </w:r>
      <w:r>
        <w:rPr>
          <w:rFonts w:ascii="IRNazanin" w:hAnsi="IRNazanin" w:eastAsia="IRNazanin"/>
          <w:color w:val="111111"/>
          <w:sz w:val="28"/>
          <w:sz w:val="28"/>
          <w:szCs w:val="28"/>
          <w:rtl w:val="true"/>
          <w:lang w:bidi="fa-IR"/>
        </w:rPr>
        <w:t>عمر بن اذَینه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w:t>
      </w:r>
    </w:p>
    <w:p>
      <w:pPr>
        <w:pStyle w:val="BookText"/>
        <w:rPr/>
      </w:pPr>
      <w:r>
        <w:rPr>
          <w:rFonts w:ascii="IRNazanin" w:hAnsi="IRNazanin" w:eastAsia="IRNazanin"/>
          <w:color w:val="111111"/>
          <w:sz w:val="28"/>
          <w:sz w:val="28"/>
          <w:szCs w:val="28"/>
          <w:rtl w:val="true"/>
          <w:lang w:bidi="fa-IR"/>
        </w:rPr>
        <w:t>به امام صادق علیه السلام نوشتم که برای مرد بیماری که از بوی بواسیر رنج می‌برد، به عنوان دارو از نبیذ تعریف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به اندازه یک کاسۀ کوچک از نبیذ می‌خورد و از این خوردن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 شدن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بردن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برای دفع این وهم که شاید امام علیه السلام اسکرجه را تحریم فرموده و کمتر از آن مانعی ندارد،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جرعه هم نباید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 وجلّ در چیزهایی که حرام کرده، دوا و شفایی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معتبر است و قطعاً این روایت، ظهور در حرمت دارد؛ لیکن فقط مربوط به درمان است و مسئلۀ اضطرار در آن مطرح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عَن بَعضِ أصحابِنا عَن إبراهیمَ بنِ خالِدٍ عَن عَبدِ اللّهِ بنِ وَضّاحٍ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أُمُّ خالِدٍ العَبدیةُ عَلَی أبی‌عَبدِاللّه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إنَّهُ یَعتَرینی قَراقِرُ فی بَطنی، وَقَد وَصَفَ لی أطِبّاءُ العِراقِ النَّبیذَ بِالسَّویقِ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 ما یَمنَعُکِ مِن شُربِهِ؟ فَقالَت قَد قَلَّدتُکَ دینی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فَلا تَذُوقی مِنهُ قَطرَةً، لا وَاللّهِ لا آذَنُ لَکِ فی قَطرَةٍ مِنهُ، فإنَّما تَندَمینَ إذا بَلَغَت نَفسُکِ هاهُنا وَ أومَی بیدِهِ إلَی حَنجَرَتِهِ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یَقُولُها ثَلاثاً أ فَهِمتِ؟ فَقالَت نَعَم؛</w:t>
      </w:r>
      <w:r>
        <w:rPr>
          <w:rStyle w:val="FootnoteAnchor"/>
          <w:rtl w:val="true"/>
        </w:rPr>
        <w:footnoteReference w:id="900"/>
      </w:r>
      <w:r>
        <w:rPr>
          <w:rFonts w:ascii="IRNazanin" w:hAnsi="IRNazanin" w:eastAsia="IRNazanin"/>
          <w:color w:val="111111"/>
          <w:sz w:val="28"/>
          <w:sz w:val="28"/>
          <w:szCs w:val="28"/>
          <w:rtl w:val="true"/>
          <w:lang w:bidi="fa-IR"/>
        </w:rPr>
        <w:t>أبا بصیر 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امام صادق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خالد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شکم من صدایی عارض می‌شود، طبیبان عراق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نبیذ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نخوردی؟ امّ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دینمان را از شما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یک قطره هم نباید بخوری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یک قطره‌اش را بخوری، هنگام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نفس تو به این‌جا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فرمود به حنجره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پشیمان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سه بار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 من چه گفتم؟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تذوقی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ارشادی نیست، بلکه دالّ بر حرمت است؛ لیکن در این روایت نیز مسئلۀ اضطرار مطرح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أبی عَلی الأشعَری عَن مُحَمَّدِ بنِ عَبدِ الجَبّارِ عَن صَفوانَ عَنِ ابنِ مُسکانَ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دَواءٍ عُجِنَ بِالخَمرِ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أُحِبُّ أن أنظُرَ إلَیهِ، فَکَیفَ أتَداوَی بِهِ؟ إنَّهُ بِمَنزِلَةِ شَحمِ الخِنزیرِ أو لَحمِ الخِنزیرِ؛</w:t>
      </w:r>
      <w:r>
        <w:rPr>
          <w:rStyle w:val="FootnoteAnchor"/>
          <w:rtl w:val="true"/>
        </w:rPr>
        <w:footnoteReference w:id="901"/>
      </w:r>
      <w:r>
        <w:rPr>
          <w:rFonts w:ascii="IRNazanin" w:hAnsi="IRNazanin" w:eastAsia="IRNazanin"/>
          <w:color w:val="111111"/>
          <w:sz w:val="28"/>
          <w:sz w:val="28"/>
          <w:szCs w:val="28"/>
          <w:rtl w:val="true"/>
          <w:lang w:bidi="fa-IR"/>
        </w:rPr>
        <w:t>حلبی می‌گوید از امام علیه السلام در بارۀ استفاده از دوایی که مخلوط به خمر شده،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سوگند به خدا که من دوست ندارم به آن نگاه کنم تا چه رسد به آن که با آن تداوی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به منزلۀ چربی خوک یا گوشت خوک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نیز صحیحه است؛ لیکن با توجّه به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أحبّ أن أنظر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می‌توانیم روایت را حمل بر کراهت کنیم؛ یعنی نمی‌توان از این روایت لزوماً این گونه استنباط کرد که تداوی به خمر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روایت نیز مسئلۀ اضطرار مطرح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عَلی بنِ الحُسَینِ فی عُیُونِ الأخبارِ</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بِأسانیدِهِ‌</w:t>
      </w:r>
      <w:r>
        <w:rPr>
          <w:rStyle w:val="FootnoteAnchor"/>
          <w:rtl w:val="true"/>
        </w:rPr>
        <w:footnoteReference w:id="902"/>
      </w:r>
      <w:r>
        <w:rPr>
          <w:rFonts w:ascii="Amiri" w:hAnsi="Amiri" w:eastAsia="Amiri" w:cs="Amiri"/>
          <w:color w:val="111111"/>
          <w:sz w:val="28"/>
          <w:sz w:val="28"/>
          <w:szCs w:val="28"/>
          <w:rtl w:val="true"/>
          <w:lang w:bidi="ar-SA"/>
        </w:rPr>
        <w:t>عَنِ الفَضلِ بنِ</w:t>
      </w:r>
    </w:p>
    <w:p>
      <w:pPr>
        <w:pStyle w:val="BookText"/>
        <w:rPr/>
      </w:pPr>
      <w:r>
        <w:rPr>
          <w:rFonts w:ascii="Amiri" w:hAnsi="Amiri" w:eastAsia="Amiri" w:cs="Amiri"/>
          <w:color w:val="111111"/>
          <w:sz w:val="28"/>
          <w:sz w:val="28"/>
          <w:szCs w:val="28"/>
          <w:rtl w:val="true"/>
          <w:lang w:bidi="ar-SA"/>
        </w:rPr>
        <w:t>شاذانَ عَنِ الرِّضا علیه السلام فی کِتابِهِ إلَی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المُضطَرُّ لا یَشرَبُ الخَمرَ لأنَّها تَقتُلُهُ؛</w:t>
      </w:r>
      <w:r>
        <w:rPr>
          <w:rStyle w:val="FootnoteAnchor"/>
          <w:rtl w:val="true"/>
        </w:rPr>
        <w:footnoteReference w:id="903"/>
      </w:r>
      <w:r>
        <w:rPr>
          <w:rFonts w:ascii="IRNazanin" w:hAnsi="IRNazanin" w:eastAsia="IRNazanin"/>
          <w:color w:val="111111"/>
          <w:sz w:val="28"/>
          <w:sz w:val="28"/>
          <w:szCs w:val="28"/>
          <w:rtl w:val="true"/>
          <w:lang w:bidi="fa-IR"/>
        </w:rPr>
        <w:t xml:space="preserve">فضل بن شاذان از کتابی که حضرت رضا علیه السلام برای مأمون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که معروف است به طبّ الرضا، و یا طبّ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آورده است که مضطر نباید شرب خمر کند؛ زیرا خمر او 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دقیقاً در مورد مضطر است و اصلاً بحث درمان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 نباید شرب خمر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سند صدوق رحمه الله به فضل بن شاذان، دو نفر هستند که توثیق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الواحد بن محمّد بن عبدوس نیسابوری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قتیبه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سند این روایت اشکال دارد، امّا به خاطر انطباق آن با فتاوای مشهور قدما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می‌گویند مضطر نباید شرب خمر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ضعف سندی‌اش جبران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عَلی بنِ حاتِمٍ عَن مُحَمَّدِ بنِ عُمَرَ عَن عَلی بنِ مُحَمَّدِ بنِ زیادٍ عَن أحمَدَ بنِ الفَضلِ عَن یُونُسَ بنِ عَبدِ الرَّحمَنِ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المُضطَرُّ لا یَشرَبُ الخَمرَ، فإنَّها لا تَزیدُهُ إلّاشَرّاً، وَ لأنَّهُ إن شَرِبَها قَتَلَتهُ، فَلا یَشرَب مِنها قَطرَةً؛</w:t>
      </w:r>
      <w:r>
        <w:rPr>
          <w:rStyle w:val="FootnoteAnchor"/>
          <w:rtl w:val="true"/>
        </w:rPr>
        <w:footnoteReference w:id="904"/>
      </w:r>
      <w:r>
        <w:rPr>
          <w:rFonts w:ascii="IRNazanin" w:hAnsi="IRNazanin" w:eastAsia="IRNazanin"/>
          <w:color w:val="111111"/>
          <w:sz w:val="28"/>
          <w:sz w:val="28"/>
          <w:szCs w:val="28"/>
          <w:rtl w:val="true"/>
          <w:lang w:bidi="fa-IR"/>
        </w:rPr>
        <w:t>مضطر شرب خمر نمی‌کند؛ زیرا خمر فقط بر شرّ او می‌افزاید و نیز به خاطر این‌که اگر آن را بنوشد، او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حتّی یک قطره از آن را نمی‌نوشد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 شرب خمر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انشاست؛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 نباید شرب خمر کند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سند این روایت افراد زیادی هستند که محلّ بحث‌اند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است بین عدّه‌ای از راویان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محمّد بن زیاد</w:t>
      </w:r>
      <w:r>
        <w:rPr>
          <w:rFonts w:eastAsia="IRNazanin" w:cs="IRNazanin"/>
          <w:color w:val="111111"/>
          <w:sz w:val="28"/>
          <w:szCs w:val="28"/>
          <w:rtl w:val="true"/>
          <w:lang w:bidi="fa-IR"/>
        </w:rPr>
        <w:t>»</w:t>
      </w:r>
      <w:bookmarkStart w:id="1049" w:name="pg13785_135378"/>
    </w:p>
    <w:p>
      <w:pPr>
        <w:pStyle w:val="BookText"/>
        <w:rPr/>
      </w:pPr>
      <w:bookmarkEnd w:id="1049"/>
      <w:r>
        <w:rPr>
          <w:rFonts w:ascii="IRNazanin" w:hAnsi="IRNazanin" w:eastAsia="IRNazanin"/>
          <w:color w:val="111111"/>
          <w:sz w:val="28"/>
          <w:sz w:val="28"/>
          <w:szCs w:val="28"/>
          <w:rtl w:val="true"/>
          <w:lang w:bidi="fa-IR"/>
        </w:rPr>
        <w:t>معتبر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بحث عمده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حمزه بطائنی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واقفی مذهب بود و بسیاری از رجالیان او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مذهب علی بن ابی حمزه بطائنی دو دسته روایت وارد شده که در یک دسته از روایات گفته شده که او تا آخر عمرش بر وقف باقی مانده و از آن رجوع نکرده است؛ امّا در دستۀ دیگری از روایات گفته‌اند که او از وقف رجوع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حلّی در خلاصة الأقوال نوشته است که علی بن ابی حمزۀ بطائنی، جدّاً ضعیف و متّهم به کذب است</w:t>
      </w:r>
      <w:r>
        <w:rPr>
          <w:rFonts w:eastAsia="IRNazanin" w:cs="IRNazanin"/>
          <w:color w:val="111111"/>
          <w:sz w:val="28"/>
          <w:szCs w:val="28"/>
          <w:rtl w:val="true"/>
          <w:lang w:bidi="fa-IR"/>
        </w:rPr>
        <w:t>.</w:t>
      </w:r>
      <w:r>
        <w:rPr>
          <w:rStyle w:val="FootnoteAnchor"/>
          <w:rtl w:val="true"/>
        </w:rPr>
        <w:footnoteReference w:id="905"/>
      </w:r>
      <w:r>
        <w:rPr>
          <w:rFonts w:ascii="IRNazanin" w:hAnsi="IRNazanin" w:eastAsia="IRNazanin"/>
          <w:color w:val="111111"/>
          <w:sz w:val="28"/>
          <w:sz w:val="28"/>
          <w:szCs w:val="28"/>
          <w:rtl w:val="true"/>
          <w:lang w:bidi="fa-IR"/>
        </w:rPr>
        <w:t>البتّه شیخ طوسی در کتاب عدّة الاُصول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ذلک أی الوثاقة، عملت الطائفة بأخبار الفطحیّة وأخبار الواقفة مثل سماعة بن مهران وعلی بن أبی حمزة؛</w:t>
      </w:r>
      <w:r>
        <w:rPr>
          <w:rStyle w:val="FootnoteAnchor"/>
          <w:rtl w:val="true"/>
        </w:rPr>
        <w:footnoteReference w:id="906"/>
      </w:r>
      <w:r>
        <w:rPr>
          <w:rFonts w:ascii="IRNazanin" w:hAnsi="IRNazanin" w:eastAsia="IRNazanin"/>
          <w:color w:val="111111"/>
          <w:sz w:val="28"/>
          <w:sz w:val="28"/>
          <w:szCs w:val="28"/>
          <w:rtl w:val="true"/>
          <w:lang w:bidi="fa-IR"/>
        </w:rPr>
        <w:t>بخاطر همین وثاقت، امامیّه به اخبار فطحیّه و اخبار واقفیه عمل کرده‌اند، مانند اخبار سماعة بن مهران و علی بن ابی‌حمزه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نمونه‌های اهمّیت علم رجال در فقاهت، همین مورد علی بن ابی حمزه است که اگر عدم اعتبار او محرز شود، بیش از پانصد روایت از میدان استدلال خارج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علی بن ابی حمزۀ بطائنی را در کتب رجال، مفصّلاً بیان کرده‌اند و به هر حال، قابلیت اعتماد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است که روایاتی که او در زمان استقامت در مذهب نقل کرده است، اعتبار دارد</w:t>
      </w:r>
      <w:r>
        <w:rPr>
          <w:rFonts w:eastAsia="IRNazanin" w:cs="IRNazanin"/>
          <w:color w:val="111111"/>
          <w:sz w:val="28"/>
          <w:szCs w:val="28"/>
          <w:rtl w:val="true"/>
          <w:lang w:bidi="fa-IR"/>
        </w:rPr>
        <w:t>.</w:t>
      </w:r>
    </w:p>
    <w:p>
      <w:pPr>
        <w:pStyle w:val="Heading6"/>
        <w:numPr>
          <w:ilvl w:val="5"/>
          <w:numId w:val="1"/>
        </w:numPr>
        <w:rPr/>
      </w:pPr>
      <w:bookmarkStart w:id="1050" w:name="__RefHeading___Toc2531501_1468164448"/>
      <w:bookmarkStart w:id="1051" w:name="_Toc406"/>
      <w:bookmarkEnd w:id="1050"/>
      <w:r>
        <w:rPr>
          <w:rtl w:val="true"/>
        </w:rPr>
        <w:t>ج</w:t>
      </w:r>
      <w:r>
        <w:rPr>
          <w:rtl w:val="true"/>
        </w:rPr>
        <w:t xml:space="preserve">) </w:t>
      </w:r>
      <w:r>
        <w:rPr>
          <w:rtl w:val="true"/>
        </w:rPr>
        <w:t>ادلّۀ قول به عدم جواز شرب خمر در صورت اضطرار</w:t>
      </w:r>
      <w:bookmarkEnd w:id="1051"/>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باید بررسی شود که چگونه با وجود این روایات، صاحب جواهر در مورد مضطر فتوا به حلّیت شرب خمر داده است؟</w:t>
      </w:r>
      <w:r>
        <w:rPr>
          <w:rStyle w:val="FootnoteAnchor"/>
          <w:rtl w:val="true"/>
        </w:rPr>
        <w:footnoteReference w:id="907"/>
      </w:r>
      <w:r>
        <w:rPr>
          <w:rFonts w:ascii="IRNazanin" w:hAnsi="IRNazanin" w:eastAsia="IRNazanin"/>
          <w:color w:val="111111"/>
          <w:sz w:val="28"/>
          <w:sz w:val="28"/>
          <w:szCs w:val="28"/>
          <w:rtl w:val="true"/>
          <w:lang w:bidi="fa-IR"/>
        </w:rPr>
        <w:t>مجموعاً سه دلیل در کلمات فقهایی که قائل به حرمت شرب خمر، حتّی در صورت اضطرار هستند،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دلیل ایشان، خبر ابی بصیر بود که در سطرهای پیشین گذشت و در سند روایت، اشکالاتی وجود داشت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رحمه الله به خاطر همین ضعف سند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خبر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ضعف سند را جبران می‌کند این است که قدما بر طبق این روایت فتوا داده‌اند و عمل مشهور، جبران‌کنندۀ ضعف 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المضطر لا یشرب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 در مقام انشاست</w:t>
      </w:r>
      <w:r>
        <w:rPr>
          <w:rStyle w:val="FootnoteAnchor"/>
          <w:rtl w:val="true"/>
        </w:rPr>
        <w:footnoteReference w:id="908"/>
      </w:r>
      <w:r>
        <w:rPr>
          <w:rFonts w:ascii="IRNazanin" w:hAnsi="IRNazanin" w:eastAsia="IRNazanin"/>
          <w:color w:val="111111"/>
          <w:sz w:val="28"/>
          <w:sz w:val="28"/>
          <w:szCs w:val="28"/>
          <w:rtl w:val="true"/>
          <w:lang w:bidi="fa-IR"/>
        </w:rPr>
        <w:t>و مورد این روایت، کسی است که در حالت اضطرار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 حتّی یک قطره از خمر را هم نباید بنوشد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درمان، شهید ثانی رحمه الله</w:t>
      </w:r>
      <w:r>
        <w:rPr>
          <w:rStyle w:val="FootnoteAnchor"/>
          <w:rtl w:val="true"/>
        </w:rPr>
        <w:footnoteReference w:id="909"/>
      </w:r>
      <w:r>
        <w:rPr>
          <w:rFonts w:ascii="IRNazanin" w:hAnsi="IRNazanin" w:eastAsia="IRNazanin"/>
          <w:color w:val="111111"/>
          <w:sz w:val="28"/>
          <w:sz w:val="28"/>
          <w:szCs w:val="28"/>
          <w:rtl w:val="true"/>
          <w:lang w:bidi="fa-IR"/>
        </w:rPr>
        <w:t>و فاضل هندی رحمه الله</w:t>
      </w:r>
      <w:r>
        <w:rPr>
          <w:rStyle w:val="FootnoteAnchor"/>
          <w:rtl w:val="true"/>
        </w:rPr>
        <w:footnoteReference w:id="910"/>
      </w:r>
      <w:r>
        <w:rPr>
          <w:rFonts w:ascii="IRNazanin" w:hAnsi="IRNazanin" w:eastAsia="IRNazanin"/>
          <w:color w:val="111111"/>
          <w:sz w:val="28"/>
          <w:sz w:val="28"/>
          <w:szCs w:val="28"/>
          <w:rtl w:val="true"/>
          <w:lang w:bidi="fa-IR"/>
        </w:rPr>
        <w:t>به مشهور نسبت داده‌اند که حتّی در صورت انحصار درمان در خمر، درمان با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 نیز همچون شیخ طوسی رحمه الله در این مورد ادّعای اجماع کرده‌اند</w:t>
      </w:r>
      <w:r>
        <w:rPr>
          <w:rFonts w:eastAsia="IRNazanin" w:cs="IRNazanin"/>
          <w:color w:val="111111"/>
          <w:sz w:val="28"/>
          <w:szCs w:val="28"/>
          <w:rtl w:val="true"/>
          <w:lang w:bidi="fa-IR"/>
        </w:rPr>
        <w:t>.</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ظاهراً صاحب جواهر رحمه الله در دلیل دوم قائل به مفهوم اولویّت است،</w:t>
      </w:r>
      <w:r>
        <w:rPr>
          <w:rStyle w:val="FootnoteAnchor"/>
          <w:rtl w:val="true"/>
        </w:rPr>
        <w:footnoteReference w:id="912"/>
      </w:r>
      <w:r>
        <w:rPr>
          <w:rFonts w:ascii="IRNazanin" w:hAnsi="IRNazanin" w:eastAsia="IRNazanin"/>
          <w:color w:val="111111"/>
          <w:sz w:val="28"/>
          <w:sz w:val="28"/>
          <w:szCs w:val="28"/>
          <w:rtl w:val="true"/>
          <w:lang w:bidi="fa-IR"/>
        </w:rPr>
        <w:t>به این بیان که اگر درمان با خمر در صورت انحصار جایز نباشد، در صورت اضطرار به طریق اولی جایز نیست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همان نکته‌ای بود که از آیات شریفه، استظهار شد؛ یعنی شارع مقدّس در سه آیه از آیات شریفۀ قرآن، مسئلۀ اضطرار را بیان فرموده و در مورد آنها حکم به اباحه کرده است؛ امّا هر سه مورد، دربارۀ مردار، خون، گوشت خوک یا چیزهای دیگرند و ربطی به مسئلۀ خمر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در آیه‌ای که حکم خمر را</w:t>
      </w:r>
      <w:bookmarkStart w:id="1052" w:name="pg13785_135380"/>
    </w:p>
    <w:p>
      <w:pPr>
        <w:pStyle w:val="BookText"/>
        <w:rPr/>
      </w:pPr>
      <w:bookmarkEnd w:id="1052"/>
      <w:r>
        <w:rPr>
          <w:rFonts w:ascii="IRNazanin" w:hAnsi="IRNazanin" w:eastAsia="IRNazanin"/>
          <w:color w:val="111111"/>
          <w:sz w:val="28"/>
          <w:sz w:val="28"/>
          <w:szCs w:val="28"/>
          <w:rtl w:val="true"/>
          <w:lang w:bidi="fa-IR"/>
        </w:rPr>
        <w:t>بیان فرموده است، اصلاً مسئلۀ اضطرار را مطرح نکرده است و این، بر حرمت خمر در حالت اضطرار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دلیل دومی که صاحب جواهر قدس سره به عنوان اولویت، عنوان می‌کند، مخدوش است و مفید اولویت نیست؛ چرا که درمان با خمر در صورت انحصار، یکی از مصادیق اضطرار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نیز صرفاً استظهاری است که از آیۀ شریفه می‌شود و قوّت استدلال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فقیه از روایات استنباط کند که مضطر، حقّ شرب خمر را ندارد، شاید بتوان گفت که احتمالاً کیفیت تعبیر در آیات خمر،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و 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یعنی به قصد دلالت بر همین نکته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 میان این ادلّه، تنها دلیل معتبر بر این که مضطر نباید شرب خمر کند، روایت چهارم و پنجم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دربارۀ سند حدیث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شیخ صدوق از فضل بن شاذان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 که سند بی‌اشکال نیست؛ لیکن قدما بر طبق این روایت عمل کرده‌اند و فتوای ایشان جبران کنندۀ ضعف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فتوای قدما که گفته شد جبران کنندۀ ضعف سند است، این سؤال مطرح می‌شود که چگونه می‌توان علم پیدا کرد که فقها با استناد به این روایات فتوا داده‌اند؟ جواب این است که در باب مضطر، دو یا سه روایت بیشتر نداریم که سند آنها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فقها راه دیگری برای فتوا دادن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علم داریم که قدمای از فقها بر طبق همین روایات فتوا داده‌اند</w:t>
      </w:r>
      <w:r>
        <w:rPr>
          <w:rFonts w:eastAsia="IRNazanin" w:cs="IRNazanin"/>
          <w:color w:val="111111"/>
          <w:sz w:val="28"/>
          <w:szCs w:val="28"/>
          <w:rtl w:val="true"/>
          <w:lang w:bidi="fa-IR"/>
        </w:rPr>
        <w:t>.</w:t>
      </w:r>
    </w:p>
    <w:p>
      <w:pPr>
        <w:pStyle w:val="Heading6"/>
        <w:numPr>
          <w:ilvl w:val="5"/>
          <w:numId w:val="1"/>
        </w:numPr>
        <w:rPr/>
      </w:pPr>
      <w:bookmarkStart w:id="1053" w:name="__RefHeading___Toc2531503_1468164448"/>
      <w:bookmarkStart w:id="1054" w:name="_Toc407"/>
      <w:bookmarkEnd w:id="1053"/>
      <w:r>
        <w:rPr>
          <w:rtl w:val="true"/>
        </w:rPr>
        <w:t>د</w:t>
      </w:r>
      <w:r>
        <w:rPr>
          <w:rtl w:val="true"/>
        </w:rPr>
        <w:t xml:space="preserve">) </w:t>
      </w:r>
      <w:r>
        <w:rPr>
          <w:rtl w:val="true"/>
        </w:rPr>
        <w:t>ادلّۀ قول به جواز شرب خمر در صورت اضطرار</w:t>
      </w:r>
      <w:bookmarkEnd w:id="1054"/>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قدس سره و بیشتر فقهای متأخّر، قائل به جواز شرب خمر برای مضطر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فقها مجموعاً برای فتوای خود چهار دلیل دارند که باید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ادلّه قابل پذیرش نبود، روایاتی که در سطور قبل گذشت، به قوّت خود باقی است و مطابق آن، مضطر حقّ شرب خمر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برخی از این ادلّه تمام باشد، باید</w:t>
      </w:r>
      <w:bookmarkStart w:id="1055" w:name="pg13785_135381"/>
    </w:p>
    <w:p>
      <w:pPr>
        <w:pStyle w:val="BookText"/>
        <w:rPr/>
      </w:pPr>
      <w:bookmarkEnd w:id="1055"/>
      <w:r>
        <w:rPr>
          <w:rFonts w:ascii="IRNazanin" w:hAnsi="IRNazanin" w:eastAsia="IRNazanin"/>
          <w:color w:val="111111"/>
          <w:sz w:val="28"/>
          <w:sz w:val="28"/>
          <w:szCs w:val="28"/>
          <w:rtl w:val="true"/>
          <w:lang w:bidi="fa-IR"/>
        </w:rPr>
        <w:t>میان این دو دسته دلیل مخالف و موافق اجتهاد کرد</w:t>
      </w:r>
      <w:r>
        <w:rPr>
          <w:rFonts w:eastAsia="IRNazanin" w:cs="IRNazanin"/>
          <w:color w:val="111111"/>
          <w:sz w:val="28"/>
          <w:szCs w:val="28"/>
          <w:rtl w:val="true"/>
          <w:lang w:bidi="fa-IR"/>
        </w:rPr>
        <w:t>.</w:t>
      </w:r>
    </w:p>
    <w:p>
      <w:pPr>
        <w:pStyle w:val="Heading6"/>
        <w:numPr>
          <w:ilvl w:val="5"/>
          <w:numId w:val="1"/>
        </w:numPr>
        <w:rPr/>
      </w:pPr>
      <w:bookmarkStart w:id="1056" w:name="__RefHeading___Toc2531505_1468164448"/>
      <w:bookmarkStart w:id="1057" w:name="_Toc408"/>
      <w:bookmarkEnd w:id="1056"/>
      <w:r>
        <w:rPr/>
        <w:t>1</w:t>
      </w:r>
      <w:r>
        <w:rPr>
          <w:rtl w:val="true"/>
        </w:rPr>
        <w:t xml:space="preserve">- </w:t>
      </w:r>
      <w:r>
        <w:rPr>
          <w:rtl w:val="true"/>
        </w:rPr>
        <w:t>دلیل نخست</w:t>
      </w:r>
      <w:r>
        <w:rPr>
          <w:rtl w:val="true"/>
        </w:rPr>
        <w:t>:</w:t>
      </w:r>
      <w:bookmarkEnd w:id="1057"/>
    </w:p>
    <w:p>
      <w:pPr>
        <w:pStyle w:val="BookText"/>
        <w:rPr/>
      </w:pPr>
      <w:r>
        <w:rPr>
          <w:rFonts w:ascii="IRNazanin" w:hAnsi="IRNazanin" w:eastAsia="IRNazanin"/>
          <w:color w:val="111111"/>
          <w:sz w:val="28"/>
          <w:sz w:val="28"/>
          <w:szCs w:val="28"/>
          <w:rtl w:val="true"/>
          <w:lang w:bidi="fa-IR"/>
        </w:rPr>
        <w:t xml:space="preserve">صاحب جواهر رحمه الله در مورد این فتوا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شرب خمر در صورت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أشبه باُصول المذهب وقواعده التی عُلم منها أهمیّة حفظِ النفس ونفی الحرج والضرر فی الدین؛</w:t>
      </w:r>
      <w:r>
        <w:rPr>
          <w:rStyle w:val="FootnoteAnchor"/>
          <w:rtl w:val="true"/>
        </w:rPr>
        <w:footnoteReference w:id="913"/>
      </w:r>
      <w:r>
        <w:rPr>
          <w:rFonts w:ascii="IRNazanin" w:hAnsi="IRNazanin" w:eastAsia="IRNazanin"/>
          <w:color w:val="111111"/>
          <w:sz w:val="28"/>
          <w:sz w:val="28"/>
          <w:szCs w:val="28"/>
          <w:rtl w:val="true"/>
          <w:lang w:bidi="fa-IR"/>
        </w:rPr>
        <w:t>جواز شرب خمر در حالت اضطرار به اصول و قواعد مذهب نزدیک‌تر است؛ زیرا می‌دانیم که حفظ نفس و نفی حرج و ضرر در دین، در مذهب ما بسیار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قواعد و اصول در مذهب ما وجوب حفظ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لازم باشد که مکلَّف برای حفظ نفس، جرعه‌ای خمر بنوشد، این نوشیدن مقدّمۀ واجب خواهد بود و این کار نه تنها بر او حرام نیست، بلکه چه بسا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اصول مذهب ما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شخصی مضطر به شرب خمر شود، ترک شرب خمر برای او حرجی است و در نتیجه،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حرمت شرب خمر را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فقها معمولاً از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واجبات بهره برده‌اند، مانند وجوب روزه و حج و مانند این احکام برای کسی که انجام این واجبات برای او حرجی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همان‌گونه که پیش‌تر در تنبیهات بحث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Style w:val="FootnoteAnchor"/>
          <w:rtl w:val="true"/>
        </w:rPr>
        <w:footnoteReference w:id="914"/>
      </w:r>
      <w:r>
        <w:rPr>
          <w:rFonts w:ascii="IRNazanin" w:hAnsi="IRNazanin" w:eastAsia="IRNazanin"/>
          <w:color w:val="111111"/>
          <w:sz w:val="28"/>
          <w:sz w:val="28"/>
          <w:szCs w:val="28"/>
          <w:rtl w:val="true"/>
          <w:lang w:bidi="fa-IR"/>
        </w:rPr>
        <w:t>این قاعده در باب محرّمات نیز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صاحب جواهر قدس سره در این بحث نیز به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دلیل نخست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نخست، اشکال کبروی ندارد و قطعاً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محرّمات هم جاری می‌شود؛ لیکن اشکال در صغرای استدلال است، به این بیان که در روایات شرب</w:t>
      </w:r>
      <w:bookmarkStart w:id="1058" w:name="pg13785_135382"/>
    </w:p>
    <w:p>
      <w:pPr>
        <w:pStyle w:val="BookText"/>
        <w:rPr/>
      </w:pPr>
      <w:bookmarkEnd w:id="1058"/>
      <w:r>
        <w:rPr>
          <w:rFonts w:ascii="IRNazanin" w:hAnsi="IRNazanin" w:eastAsia="IRNazanin"/>
          <w:color w:val="111111"/>
          <w:sz w:val="28"/>
          <w:sz w:val="28"/>
          <w:szCs w:val="28"/>
          <w:rtl w:val="true"/>
          <w:lang w:bidi="fa-IR"/>
        </w:rPr>
        <w:t>خمر، ائمّه علیهم السلام از یک واقعیت پرده برداشته‌اند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لا تزید إلّاشرّاً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لا تزید إلّا عطشاً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إن شَرِبَها 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طبیب گمان می‌کند که اگر بیمار جرعه‌ای خمر بنوشد، نجات پیدا می‌کند، حال آن‌که خمر مرگ بیمار را تسریع می‌کند</w:t>
      </w:r>
      <w:r>
        <w:rPr>
          <w:rFonts w:eastAsia="IRNazanin" w:cs="IRNazanin"/>
          <w:color w:val="111111"/>
          <w:sz w:val="28"/>
          <w:szCs w:val="28"/>
          <w:rtl w:val="true"/>
          <w:lang w:bidi="fa-IR"/>
        </w:rPr>
        <w:t>.</w:t>
      </w:r>
    </w:p>
    <w:p>
      <w:pPr>
        <w:pStyle w:val="Heading6"/>
        <w:numPr>
          <w:ilvl w:val="5"/>
          <w:numId w:val="1"/>
        </w:numPr>
        <w:rPr/>
      </w:pPr>
      <w:bookmarkStart w:id="1059" w:name="__RefHeading___Toc2531507_1468164448"/>
      <w:bookmarkStart w:id="1060" w:name="_Toc409"/>
      <w:bookmarkEnd w:id="1059"/>
      <w:r>
        <w:rPr/>
        <w:t>2</w:t>
      </w:r>
      <w:r>
        <w:rPr>
          <w:rtl w:val="true"/>
        </w:rPr>
        <w:t xml:space="preserve">- </w:t>
      </w:r>
      <w:r>
        <w:rPr>
          <w:rtl w:val="true"/>
        </w:rPr>
        <w:t>دلیل دوم</w:t>
      </w:r>
      <w:r>
        <w:rPr>
          <w:rtl w:val="true"/>
        </w:rPr>
        <w:t>:</w:t>
      </w:r>
      <w:bookmarkEnd w:id="1060"/>
    </w:p>
    <w:p>
      <w:pPr>
        <w:pStyle w:val="BookText"/>
        <w:rPr/>
      </w:pPr>
      <w:r>
        <w:rPr>
          <w:rFonts w:ascii="IRNazanin" w:hAnsi="IRNazanin" w:eastAsia="IRNazanin"/>
          <w:color w:val="111111"/>
          <w:sz w:val="28"/>
          <w:sz w:val="28"/>
          <w:szCs w:val="28"/>
          <w:rtl w:val="true"/>
          <w:lang w:bidi="fa-IR"/>
        </w:rPr>
        <w:t>صاحب جواهر رحمه الله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روایت مفضّل بن عمر و محمّد بن عبداللّه و محمّد بن عذافر</w:t>
      </w:r>
      <w:r>
        <w:rPr>
          <w:rStyle w:val="FootnoteAnchor"/>
          <w:rtl w:val="true"/>
        </w:rPr>
        <w:footnoteReference w:id="91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یَعقُوبَ عَن عِدَّةٍ مِن أصحابِنا عَن سَهلِ بنِ زیادٍ وَعَن عَلی بنِ إبراهیمَ عَن أبیهِ جَمیعاً عَن عَمرِو بنِ عُثمانَ عَن مُحَمَّدِ بنِ عَبدِ اللّهِ عَن بَعضِ أصحابِنا عَن أبی عَبدِ اللّه علیه السلام؛ وَعَن عِدَّةٍ مِن أصحابِنا عَن أحمَدَ بنِ مُحَمَّدِ بنِ خالِدٍ عَن مُحَمَّدِ بنِ مُسلِمٍ عَن عَبدِ الرَّحمَنِ بنِ سالِمٍ 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أخبِرنی جَعَلَنی اللّهُ فِداکَ لِمَ حَرَّمَ اللّهُ الخَمرَ وَالمَیتَةَ وَالدَّمَ وَلَحمَ الخِنزیر؟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وَتَعالَی لَم یُحَرِّم ذَلِکَ عَلَی عِبادِهِ وَأحَلَّ لَهُم ما سِواهُ مِن رَغبَةٍ مِنهُ فیما حَرَّمَ عَلَیهِم، وَلا زُهدٍ فیما أحَلَّ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وَلَکِنَّهُ خَلَقَ الخَلقَ، فَعَلِمَ ما تَقُومُ بِهِ أبدانُهُم وَما یُصلِحُهُم، فأحَلَّهُ لَهُم وَأباحَه تَفَضُّلاً مِنهُ عَلَیهِم بِهِ لِمَصلَحَتِهِم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ما یَضُرُّهُم، فَنَهاهُم عَنهُ وَحَرَّمَهُ عَلَیهِم، ثُمَّ أباحَهُ لِلمُضطَرِّ وَأحَلَّهُ لَهُ فی الوَقتِ الَّذی لا یَقُومُ بَدَنُهُ إلّابِهِ فأمَرَهُ أن یَنالَ مِنهُ بِقَدرِ البُلغَةِ لا غَیرِ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المَیتَةُ، فانَّهُ لا یُدمِنُها أحَدٌ إلّاضَعُفَ بَدَنُهُ</w:t>
      </w:r>
      <w:r>
        <w:rPr>
          <w:rFonts w:eastAsia="Amiri" w:cs="Amiri" w:ascii="Amiri" w:hAnsi="Amiri"/>
          <w:color w:val="111111"/>
          <w:sz w:val="28"/>
          <w:szCs w:val="28"/>
          <w:rtl w:val="true"/>
          <w:lang w:bidi="ar-SA"/>
        </w:rPr>
        <w:t>...</w:t>
      </w:r>
      <w:r>
        <w:rPr>
          <w:rStyle w:val="FootnoteAnchor"/>
          <w:rtl w:val="true"/>
        </w:rPr>
        <w:footnoteReference w:id="916"/>
      </w:r>
      <w:r>
        <w:rPr>
          <w:rFonts w:ascii="IRNazanin" w:hAnsi="IRNazanin" w:eastAsia="IRNazanin"/>
          <w:color w:val="111111"/>
          <w:sz w:val="28"/>
          <w:sz w:val="28"/>
          <w:szCs w:val="28"/>
          <w:rtl w:val="true"/>
          <w:lang w:bidi="fa-IR"/>
        </w:rPr>
        <w:t>؛ مفضّل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w:t>
      </w:r>
    </w:p>
    <w:p>
      <w:pPr>
        <w:pStyle w:val="BookText"/>
        <w:rPr/>
      </w:pP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به من خبر دهید که چرا خداوند خمر و مردار و گوشت خوک را حرام کرده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کردن اینها به خاطر رغبت خداوند تبارک و تعالی به آنها نبوده است و حلال کردن غیر اینها نیز به خاطر بی‌رغبتی خداوند به آنها نبوده است؛ بلکه او مخلوقات را آفرید و به آنچه بدن‌های ایشان نیاز داشت و به صلاح ایشان بود، آگاهی داشت و از این رو، آنها را برای آنان حلال کرد و از سوی تفضّل بر ایشان و به خاطر مصلحتشان، مباح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به آنچه برای آنان ضرر داشت، آگاه بود و از این رو، آنها را بر ایشان حرام کرد و آنان را از این امور نهی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بر شخص مضطر، مباح کرده و در مواردی که بدن او جز با این امور استوار نمی‌شود، آنها را برای وی حلال نمود؛ پس او را امر کرد تا فقط به اندازۀ ضرورت استفاده کند نه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مردار را کسی نمی‌خورد، مگر این‌که موجب لاغری بدنش می‌شود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استدلال،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أباحه للمضطر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صاحب جواهر رحمه الله به آن عبارت استدلال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سند 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روشن است و شکّی در وثاقت عدّۀ کافی نیست؛ زیرا مراد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و همگی از ثقات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زیاد، اگرچه در مورد او اختلاف نظر وجود دارد، لیکن نظر صحیح این است که روایات سهل،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موثّق است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ابراهیم بن هاشم است که بیشترین روایت را در کتب روایی شیعه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ایشان هم روایات مدح وجود دارد و هم روایاتی که او را ذم کرده</w:t>
      </w:r>
    </w:p>
    <w:p>
      <w:pPr>
        <w:pStyle w:val="BookText"/>
        <w:rPr/>
      </w:pPr>
      <w:r>
        <w:rPr>
          <w:rFonts w:ascii="IRNazanin" w:hAnsi="IRNazanin" w:eastAsia="IRNazanin"/>
          <w:color w:val="111111"/>
          <w:sz w:val="28"/>
          <w:sz w:val="28"/>
          <w:szCs w:val="28"/>
          <w:rtl w:val="true"/>
          <w:lang w:bidi="fa-IR"/>
        </w:rPr>
        <w:t>است؛ ولی روایات مدح ترجیح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ابن طاووس، او را توثیق و ادّعا کرده است که اجماع بر وثاقت او وجود دارد</w:t>
      </w:r>
      <w:r>
        <w:rPr>
          <w:rFonts w:eastAsia="IRNazanin" w:cs="IRNazanin"/>
          <w:color w:val="111111"/>
          <w:sz w:val="28"/>
          <w:szCs w:val="28"/>
          <w:rtl w:val="true"/>
          <w:lang w:bidi="fa-IR"/>
        </w:rPr>
        <w:t>.</w:t>
      </w:r>
      <w:r>
        <w:rPr>
          <w:rStyle w:val="FootnoteAnchor"/>
          <w:rtl w:val="true"/>
        </w:rPr>
        <w:footnoteReference w:id="917"/>
      </w:r>
      <w:r>
        <w:rPr>
          <w:rFonts w:ascii="IRNazanin" w:hAnsi="IRNazanin" w:eastAsia="IRNazanin"/>
          <w:color w:val="111111"/>
          <w:sz w:val="28"/>
          <w:sz w:val="28"/>
          <w:szCs w:val="28"/>
          <w:rtl w:val="true"/>
          <w:lang w:bidi="fa-IR"/>
        </w:rPr>
        <w:t>علاّمه رحمه الله نیز در کتابش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ندیدم که اصحاب صریحاً قائل به قدح یا تعدیل ابراهیم بن هاشم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روایات زیادی دربارۀ او وجود دارد و بهتر آن است که قول او را بپذیریم</w:t>
      </w:r>
      <w:r>
        <w:rPr>
          <w:rFonts w:eastAsia="IRNazanin" w:cs="IRNazanin"/>
          <w:color w:val="111111"/>
          <w:sz w:val="28"/>
          <w:szCs w:val="28"/>
          <w:rtl w:val="true"/>
          <w:lang w:bidi="fa-IR"/>
        </w:rPr>
        <w:t>.</w:t>
      </w:r>
      <w:r>
        <w:rPr>
          <w:rStyle w:val="FootnoteAnchor"/>
          <w:rtl w:val="true"/>
        </w:rPr>
        <w:footnoteReference w:id="918"/>
      </w:r>
      <w:r>
        <w:rPr>
          <w:rFonts w:ascii="IRNazanin" w:hAnsi="IRNazanin" w:eastAsia="IRNazanin"/>
          <w:color w:val="111111"/>
          <w:sz w:val="28"/>
          <w:sz w:val="28"/>
          <w:szCs w:val="28"/>
          <w:rtl w:val="true"/>
          <w:lang w:bidi="fa-IR"/>
        </w:rPr>
        <w:t>بنا بر این، ابراهیم بن هاشم مورد وثوق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نشان‌دهندۀ ارسال در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احتمال وجود دارد که در عناوین ارسال، بین ارسال مطلق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ارسال غیر مطلق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عثمان، مشترک است و در این‌جا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عثمان ثقفی عضدی بزّاز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ثقه است، انصراف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عبداللّه نیز مشترک است</w:t>
      </w:r>
      <w:r>
        <w:rPr>
          <w:rFonts w:eastAsia="IRNazanin" w:cs="IRNazanin"/>
          <w:color w:val="111111"/>
          <w:sz w:val="28"/>
          <w:szCs w:val="28"/>
          <w:rtl w:val="true"/>
          <w:lang w:bidi="fa-IR"/>
        </w:rPr>
        <w:t>.</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 xml:space="preserve">بنا بر این، سندی که صاحب جواهر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و اکنون مرور شد، اشکالات متعدّدی مانند ارسال و اشتراک و همچنین برخی از اشکالات مبنایی، مانند اختلاف نظر در مورد وثاقت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سند دوم</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روشن است و شکّی در وثاقت عدّۀ کافی وجود ندارد؛ زیرا مراد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و همگی از ثقات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محمّد بن خالد،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خالد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نیز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سالم، توثیق ندارد و نجاشی در رجالش دربارۀ او فقط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20"/>
      </w:r>
      <w:r>
        <w:rPr>
          <w:rFonts w:ascii="IRNazanin" w:hAnsi="IRNazanin" w:eastAsia="IRNazanin"/>
          <w:color w:val="111111"/>
          <w:sz w:val="28"/>
          <w:sz w:val="28"/>
          <w:szCs w:val="28"/>
          <w:rtl w:val="true"/>
          <w:lang w:bidi="fa-IR"/>
        </w:rPr>
        <w:t>ولی علّامه 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و أبوه ثقة</w:t>
      </w:r>
      <w:r>
        <w:rPr>
          <w:rFonts w:eastAsia="IRNazanin" w:cs="IRNazanin"/>
          <w:color w:val="111111"/>
          <w:sz w:val="28"/>
          <w:szCs w:val="28"/>
          <w:rtl w:val="true"/>
          <w:lang w:bidi="fa-IR"/>
        </w:rPr>
        <w:t>».</w:t>
      </w:r>
      <w:r>
        <w:rPr>
          <w:rStyle w:val="FootnoteAnchor"/>
          <w:rtl w:val="true"/>
        </w:rPr>
        <w:footnoteReference w:id="921"/>
      </w:r>
      <w:r>
        <w:rPr>
          <w:rFonts w:ascii="IRNazanin" w:hAnsi="IRNazanin" w:eastAsia="IRNazanin"/>
          <w:color w:val="111111"/>
          <w:sz w:val="28"/>
          <w:sz w:val="28"/>
          <w:szCs w:val="28"/>
          <w:rtl w:val="true"/>
          <w:lang w:bidi="fa-IR"/>
        </w:rPr>
        <w:t>همچنین شیخ طوسی رحمه الله او را از اصحاب امام صادق علیه السلام می‌شمارد</w:t>
      </w:r>
      <w:r>
        <w:rPr>
          <w:rFonts w:eastAsia="IRNazanin" w:cs="IRNazanin"/>
          <w:color w:val="111111"/>
          <w:sz w:val="28"/>
          <w:szCs w:val="28"/>
          <w:rtl w:val="true"/>
          <w:lang w:bidi="fa-IR"/>
        </w:rPr>
        <w:t>.</w:t>
      </w:r>
      <w:r>
        <w:rPr>
          <w:rStyle w:val="FootnoteAnchor"/>
          <w:rtl w:val="true"/>
        </w:rPr>
        <w:footnoteReference w:id="922"/>
      </w:r>
      <w:r>
        <w:rPr>
          <w:rFonts w:ascii="IRNazanin" w:hAnsi="IRNazanin" w:eastAsia="IRNazanin"/>
          <w:color w:val="111111"/>
          <w:sz w:val="28"/>
          <w:sz w:val="28"/>
          <w:szCs w:val="28"/>
          <w:rtl w:val="true"/>
          <w:lang w:bidi="fa-IR"/>
        </w:rPr>
        <w:t>مرحوم خوئی رحمه الله نیز در مورد 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نیست که در آنچه عبدالرحمن بن سالم ذکر کرده است، اشتباهاتی وجود دارد</w:t>
      </w:r>
      <w:r>
        <w:rPr>
          <w:rFonts w:eastAsia="IRNazanin" w:cs="IRNazanin"/>
          <w:color w:val="111111"/>
          <w:sz w:val="28"/>
          <w:szCs w:val="28"/>
          <w:rtl w:val="true"/>
          <w:lang w:bidi="fa-IR"/>
        </w:rPr>
        <w:t>.</w:t>
      </w:r>
      <w:r>
        <w:rPr>
          <w:rStyle w:val="FootnoteAnchor"/>
          <w:rtl w:val="true"/>
        </w:rPr>
        <w:footnoteReference w:id="923"/>
      </w:r>
      <w:r>
        <w:rPr>
          <w:rFonts w:ascii="IRNazanin" w:hAnsi="IRNazanin" w:eastAsia="IRNazanin"/>
          <w:color w:val="111111"/>
          <w:sz w:val="28"/>
          <w:sz w:val="28"/>
          <w:szCs w:val="28"/>
          <w:rtl w:val="true"/>
          <w:lang w:bidi="fa-IR"/>
        </w:rPr>
        <w:t>پس به هر حال، توثیقی برای او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دانست که این مورد نیز از موارد اختلاف مبنایی است؛ زیرا مبنای برخی این است که عدم قدح کافی است و برخی بر این مبنا هستند که عدم قدح کافی نیست؛ بلکه برای اعتبار راوی به توثیق او نیازمندیم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همان مفضّل معروف است که حدیث معروف توحید مفضّل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 المذهب و مضطرب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می‌گوید قابل اعتنا نیست</w:t>
      </w:r>
      <w:r>
        <w:rPr>
          <w:rFonts w:eastAsia="IRNazanin" w:cs="IRNazanin"/>
          <w:color w:val="111111"/>
          <w:sz w:val="28"/>
          <w:szCs w:val="28"/>
          <w:rtl w:val="true"/>
          <w:lang w:bidi="fa-IR"/>
        </w:rPr>
        <w:t>.</w:t>
      </w:r>
      <w:r>
        <w:rPr>
          <w:rStyle w:val="FootnoteAnchor"/>
          <w:rtl w:val="true"/>
        </w:rPr>
        <w:footnoteReference w:id="924"/>
      </w:r>
      <w:r>
        <w:rPr>
          <w:rFonts w:ascii="IRNazanin" w:hAnsi="IRNazanin" w:eastAsia="IRNazanin"/>
          <w:color w:val="111111"/>
          <w:sz w:val="28"/>
          <w:sz w:val="28"/>
          <w:szCs w:val="28"/>
          <w:rtl w:val="true"/>
          <w:lang w:bidi="fa-IR"/>
        </w:rPr>
        <w:t>شیخ طوسی دربارۀ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از اصحاب امام صادق و امام کاظم علیهما السلام بود و وصیّتی دارد که آن را روایت کرده است</w:t>
      </w:r>
      <w:r>
        <w:rPr>
          <w:rFonts w:eastAsia="IRNazanin" w:cs="IRNazanin"/>
          <w:color w:val="111111"/>
          <w:sz w:val="28"/>
          <w:szCs w:val="28"/>
          <w:rtl w:val="true"/>
          <w:lang w:bidi="fa-IR"/>
        </w:rPr>
        <w:t>.</w:t>
      </w:r>
      <w:r>
        <w:rPr>
          <w:rStyle w:val="FootnoteAnchor"/>
          <w:rtl w:val="true"/>
        </w:rPr>
        <w:footnoteReference w:id="925"/>
      </w:r>
      <w:r>
        <w:rPr>
          <w:rFonts w:ascii="IRNazanin" w:hAnsi="IRNazanin" w:eastAsia="IRNazanin"/>
          <w:color w:val="111111"/>
          <w:sz w:val="28"/>
          <w:sz w:val="28"/>
          <w:szCs w:val="28"/>
          <w:rtl w:val="true"/>
          <w:lang w:bidi="fa-IR"/>
        </w:rPr>
        <w:t>همچنین ایشان در کتاب الغیبة او را در شمار ممدوحین ذکر می‌کند</w:t>
      </w:r>
      <w:r>
        <w:rPr>
          <w:rFonts w:eastAsia="IRNazanin" w:cs="IRNazanin"/>
          <w:color w:val="111111"/>
          <w:sz w:val="28"/>
          <w:szCs w:val="28"/>
          <w:rtl w:val="true"/>
          <w:lang w:bidi="fa-IR"/>
        </w:rPr>
        <w:t>.</w:t>
      </w:r>
      <w:r>
        <w:rPr>
          <w:rStyle w:val="FootnoteAnchor"/>
          <w:rtl w:val="true"/>
        </w:rPr>
        <w:footnoteReference w:id="926"/>
      </w:r>
      <w:r>
        <w:rPr>
          <w:rFonts w:ascii="IRNazanin" w:hAnsi="IRNazanin" w:eastAsia="IRNazanin"/>
          <w:color w:val="111111"/>
          <w:sz w:val="28"/>
          <w:sz w:val="28"/>
          <w:szCs w:val="28"/>
          <w:rtl w:val="true"/>
          <w:lang w:bidi="fa-IR"/>
        </w:rPr>
        <w:t>شیخ مفید نیز مفضّل بن عمر را توثیق کرده است</w:t>
      </w:r>
      <w:r>
        <w:rPr>
          <w:rFonts w:eastAsia="IRNazanin" w:cs="IRNazanin"/>
          <w:color w:val="111111"/>
          <w:sz w:val="28"/>
          <w:szCs w:val="28"/>
          <w:rtl w:val="true"/>
          <w:lang w:bidi="fa-IR"/>
        </w:rPr>
        <w:t>.</w:t>
      </w:r>
      <w:r>
        <w:rPr>
          <w:rStyle w:val="FootnoteAnchor"/>
          <w:rtl w:val="true"/>
        </w:rPr>
        <w:footnoteReference w:id="927"/>
      </w:r>
      <w:r>
        <w:rPr>
          <w:rFonts w:ascii="IRNazanin" w:hAnsi="IRNazanin" w:eastAsia="IRNazanin"/>
          <w:color w:val="111111"/>
          <w:sz w:val="28"/>
          <w:sz w:val="28"/>
          <w:szCs w:val="28"/>
          <w:rtl w:val="true"/>
          <w:lang w:bidi="fa-IR"/>
        </w:rPr>
        <w:t>کشّی هم روایاتی دالّ بر جلالت و عظمت او نقل کرده و می‌گوید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نزد امام صادق علیه السلام بسیار معتبر بوده است</w:t>
      </w:r>
      <w:r>
        <w:rPr>
          <w:rFonts w:eastAsia="IRNazanin" w:cs="IRNazanin"/>
          <w:color w:val="111111"/>
          <w:sz w:val="28"/>
          <w:szCs w:val="28"/>
          <w:rtl w:val="true"/>
          <w:lang w:bidi="fa-IR"/>
        </w:rPr>
        <w:t>.</w:t>
      </w:r>
      <w:r>
        <w:rPr>
          <w:rStyle w:val="FootnoteAnchor"/>
          <w:rtl w:val="true"/>
        </w:rPr>
        <w:footnoteReference w:id="928"/>
      </w:r>
      <w:r>
        <w:rPr>
          <w:rFonts w:ascii="IRNazanin" w:hAnsi="IRNazanin" w:eastAsia="IRNazanin"/>
          <w:color w:val="111111"/>
          <w:sz w:val="28"/>
          <w:sz w:val="28"/>
          <w:szCs w:val="28"/>
          <w:rtl w:val="true"/>
          <w:lang w:bidi="fa-IR"/>
        </w:rPr>
        <w:t>لیکن ابن غضائری شدیداً تضعیفش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متهافتٌ مرتفع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29"/>
      </w:r>
      <w:r>
        <w:rPr>
          <w:rFonts w:ascii="IRNazanin" w:hAnsi="IRNazanin" w:eastAsia="IRNazanin"/>
          <w:color w:val="111111"/>
          <w:sz w:val="28"/>
          <w:sz w:val="28"/>
          <w:szCs w:val="28"/>
          <w:rtl w:val="true"/>
          <w:lang w:bidi="fa-IR"/>
        </w:rPr>
        <w:t>محقّق خوئی قدس سره، روایات مادحه را ترجیح می‌دهد و نظر شریفشان این است که مفضّل بن عمر ثقه است</w:t>
      </w:r>
      <w:r>
        <w:rPr>
          <w:rFonts w:eastAsia="IRNazanin" w:cs="IRNazanin"/>
          <w:color w:val="111111"/>
          <w:sz w:val="28"/>
          <w:szCs w:val="28"/>
          <w:rtl w:val="true"/>
          <w:lang w:bidi="fa-IR"/>
        </w:rPr>
        <w:t>.</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بنا بر این، در این سند، عبد الرحمن بن سالم توثیق نشده است و مفضّل بن عمر هم محلّ اختلاف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سند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دیگری نیز وجود دارد که شیخ صدوق قدس سره به اسناد خودش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عذافر،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عذافر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سند، طریق صدوق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عذافر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Style w:val="FootnoteAnchor"/>
          <w:rtl w:val="true"/>
        </w:rPr>
        <w:footnoteReference w:id="931"/>
      </w:r>
      <w:r>
        <w:rPr>
          <w:rFonts w:ascii="IRNazanin" w:hAnsi="IRNazanin" w:eastAsia="IRNazanin"/>
          <w:color w:val="111111"/>
          <w:sz w:val="28"/>
          <w:sz w:val="28"/>
          <w:szCs w:val="28"/>
          <w:rtl w:val="true"/>
          <w:lang w:bidi="fa-IR"/>
        </w:rPr>
        <w:t xml:space="preserve">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عذافر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موثّق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عذافر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توثیقی وجود ندارد؛ زیرا نه نجاشی و نه شیخ طوسی، هیچ کدام او را توثیق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هیچ کدام از این سه سند، بی اشکال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دلالت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صاحب جواهر رحمه الله این است که امام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أباحه للمُضطر؛ سپس خداوند آنچه را که حرام کرده بود، برای مضطر مباح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سائل برخی محرّمات را برشمرده است که از جملۀ آنها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از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أباحه للمُضطر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کرده که خمر برای مضطر، مباح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نظر می‌رسد که سخن ایشان صحیح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ادّعا می‌کند که در این روایت، امام صادق علیه السلام تصریح فرموده‌اند که مضطر می‌تواند شرب خمر کند، حال آن‌که در این روایت، اطلاق وجود دارد نه تصریح</w:t>
      </w:r>
      <w:r>
        <w:rPr>
          <w:rFonts w:eastAsia="IRNazanin" w:cs="IRNazanin"/>
          <w:color w:val="111111"/>
          <w:sz w:val="28"/>
          <w:szCs w:val="28"/>
          <w:rtl w:val="true"/>
          <w:lang w:bidi="fa-IR"/>
        </w:rPr>
        <w:t>.</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توضیح این‌که حضرت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چیزی را به خاطر رغبت یا بی‌رغبتی به آن، حرام یا حلال نکرده است؛ بلکه آنچه را که مصلحت بندگان است، حلال کرده و از آنچه برایشان ضرر دارد، نهی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می‌فرمایند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أباحه للمضطر؛ خداوند همۀ محرّمات را برای مضطر، مباح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w:t>
      </w:r>
      <w:bookmarkStart w:id="1061" w:name="pg13785_135387"/>
    </w:p>
    <w:p>
      <w:pPr>
        <w:pStyle w:val="BookText"/>
        <w:rPr/>
      </w:pPr>
      <w:bookmarkEnd w:id="1061"/>
      <w:r>
        <w:rPr>
          <w:rFonts w:ascii="IRNazanin" w:hAnsi="IRNazanin" w:eastAsia="IRNazanin"/>
          <w:color w:val="111111"/>
          <w:sz w:val="28"/>
          <w:sz w:val="28"/>
          <w:szCs w:val="28"/>
          <w:rtl w:val="true"/>
          <w:lang w:bidi="fa-IR"/>
        </w:rPr>
        <w:t>جواب حضرت صادق علیه السلام متوجّه تمام محرمات است، نه فقط این چهار موردی که سائل پرسیده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جواب امام علیه السلام اطلاق دارد و تصریحی در خصوص این که خمر برای مضطر جایز باشد،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با آن دو روایتی که بر عدم جواز شرب خمر در حال اضطرار دلالت می‌کردند و پیش‌تر آنها را بررسی کردیم، تخصیص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سند آن دو روایت ضعیف است، ولی با توجّه به این‌که فقها بر طبق آنها فتوا داده‌اند، ضعف سند جبران می‌شود و این دو روایت، حدیث مورد بحث را مقیّد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در این حدیث، به جواز شرب خمر برای مضطر، تصریح شده بود، در این صورت، این حدیث با آن دو روایت، تعارض پیدا می‌کرد و نوبت به اجتهاد می‌رسید</w:t>
      </w:r>
      <w:r>
        <w:rPr>
          <w:rFonts w:eastAsia="IRNazanin" w:cs="IRNazanin"/>
          <w:color w:val="111111"/>
          <w:sz w:val="28"/>
          <w:szCs w:val="28"/>
          <w:rtl w:val="true"/>
          <w:lang w:bidi="fa-IR"/>
        </w:rPr>
        <w:t>.</w:t>
      </w:r>
    </w:p>
    <w:p>
      <w:pPr>
        <w:pStyle w:val="Heading6"/>
        <w:numPr>
          <w:ilvl w:val="5"/>
          <w:numId w:val="1"/>
        </w:numPr>
        <w:rPr/>
      </w:pPr>
      <w:bookmarkStart w:id="1062" w:name="__RefHeading___Toc2531509_1468164448"/>
      <w:bookmarkStart w:id="1063" w:name="_Toc410"/>
      <w:bookmarkEnd w:id="1062"/>
      <w:r>
        <w:rPr/>
        <w:t>3</w:t>
      </w:r>
      <w:r>
        <w:rPr>
          <w:rtl w:val="true"/>
        </w:rPr>
        <w:t xml:space="preserve">- </w:t>
      </w:r>
      <w:r>
        <w:rPr>
          <w:rtl w:val="true"/>
        </w:rPr>
        <w:t>دلیل سوم</w:t>
      </w:r>
      <w:r>
        <w:rPr>
          <w:rtl w:val="true"/>
        </w:rPr>
        <w:t>:</w:t>
      </w:r>
      <w:bookmarkEnd w:id="1063"/>
    </w:p>
    <w:p>
      <w:pPr>
        <w:pStyle w:val="BookText"/>
        <w:rPr/>
      </w:pPr>
      <w:r>
        <w:rPr>
          <w:rFonts w:ascii="IRNazanin" w:hAnsi="IRNazanin" w:eastAsia="IRNazanin"/>
          <w:color w:val="111111"/>
          <w:sz w:val="28"/>
          <w:sz w:val="28"/>
          <w:szCs w:val="28"/>
          <w:rtl w:val="true"/>
          <w:lang w:bidi="fa-IR"/>
        </w:rPr>
        <w:t>دلیل دیگری که صاحب جواهر برای اثبات جواز شرب خمر در حال اضطرار اقامه می‌کند، دلیل اولویت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أولَویّة إباحتها مِن إباحة ما هو أفحشَ منها مِن المیتةِ والخنزیر؛</w:t>
      </w:r>
      <w:r>
        <w:rPr>
          <w:rStyle w:val="FootnoteAnchor"/>
          <w:rtl w:val="true"/>
        </w:rPr>
        <w:footnoteReference w:id="933"/>
      </w:r>
      <w:r>
        <w:rPr>
          <w:rFonts w:ascii="IRNazanin" w:hAnsi="IRNazanin" w:eastAsia="IRNazanin"/>
          <w:color w:val="111111"/>
          <w:sz w:val="28"/>
          <w:sz w:val="28"/>
          <w:szCs w:val="28"/>
          <w:rtl w:val="true"/>
          <w:lang w:bidi="fa-IR"/>
        </w:rPr>
        <w:t>با توجّه به این‌که میته و خنزیر، افحش از خمر هستند و با این حال، خوردن آنها برای مضطر جایز است، پس خمر باید به طریق اولی در صورت اضطرار، جایز باشد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به نظر می‌رسد که این دلیل هم ناتمام است؛ زیرا نه تنها اقبحیّت و افحشیّت خنزیر و میته نسبت به خمر محرز نیست، بلکه آثاری در روایات برای خمر بیان شده است که عکس این معنا را می‌رساند، بویژه آن‌که خمر، عقل را زائل می‌کند و کسی که مُدمن خمر باشد، ابایی ندارد از این‌که حتّی نسبت به نزدیکان و نوامیسش، مرتکب جنایت و تجاوز شود؛ یعنی در باب خمر، ازالۀ عقل رخ می‌دهد، امّا در باب میته این گونه نیست</w:t>
      </w:r>
      <w:r>
        <w:rPr>
          <w:rFonts w:eastAsia="IRNazanin" w:cs="IRNazanin"/>
          <w:color w:val="111111"/>
          <w:sz w:val="28"/>
          <w:szCs w:val="28"/>
          <w:rtl w:val="true"/>
          <w:lang w:bidi="fa-IR"/>
        </w:rPr>
        <w:t>.</w:t>
      </w:r>
      <w:bookmarkStart w:id="1064" w:name="pg13785_135388"/>
    </w:p>
    <w:p>
      <w:pPr>
        <w:pStyle w:val="Heading6"/>
        <w:numPr>
          <w:ilvl w:val="5"/>
          <w:numId w:val="1"/>
        </w:numPr>
        <w:rPr/>
      </w:pPr>
      <w:bookmarkStart w:id="1065" w:name="__RefHeading___Toc2531511_1468164448"/>
      <w:bookmarkStart w:id="1066" w:name="_Toc411"/>
      <w:bookmarkEnd w:id="1064"/>
      <w:bookmarkEnd w:id="1065"/>
      <w:r>
        <w:rPr/>
        <w:t>4</w:t>
      </w:r>
      <w:r>
        <w:rPr>
          <w:rtl w:val="true"/>
        </w:rPr>
        <w:t xml:space="preserve">- </w:t>
      </w:r>
      <w:r>
        <w:rPr>
          <w:rtl w:val="true"/>
        </w:rPr>
        <w:t>دلیل چهارم</w:t>
      </w:r>
      <w:r>
        <w:rPr>
          <w:rtl w:val="true"/>
        </w:rPr>
        <w:t>:</w:t>
      </w:r>
      <w:bookmarkEnd w:id="1066"/>
    </w:p>
    <w:p>
      <w:pPr>
        <w:pStyle w:val="BookText"/>
        <w:rPr/>
      </w:pPr>
      <w:r>
        <w:rPr>
          <w:rFonts w:ascii="IRNazanin" w:hAnsi="IRNazanin" w:eastAsia="IRNazanin"/>
          <w:color w:val="111111"/>
          <w:sz w:val="28"/>
          <w:sz w:val="28"/>
          <w:szCs w:val="28"/>
          <w:rtl w:val="true"/>
          <w:lang w:bidi="fa-IR"/>
        </w:rPr>
        <w:t>دلیل دیگر برای جواز شرب خمر در حالت اضطرار، روایتی است که شیخ طوسی قدس سره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أحمَدَ بنِ یَحیَی عَن أحمَدَ بنِ الحَسَنِ عَن عَمرِو بنِ سَعیدٍ عَن مُصَدِّقٍ عَن عَمّارٍ عَن أبی‌عَبدِاللّه علیه السلام فی حَدیثٍ أنَّهُ سألَهُ عَنِ الرَّجُلِ أصابَهُ عَطَشٌ، حَتَّی خافَ عَلَی نَفسِهِ، فأصابَ خَمراً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یَشرَبُ مِنهُ قُوتَهُ؛</w:t>
      </w:r>
      <w:r>
        <w:rPr>
          <w:rStyle w:val="FootnoteAnchor"/>
          <w:rtl w:val="true"/>
        </w:rPr>
        <w:footnoteReference w:id="934"/>
      </w:r>
      <w:r>
        <w:rPr>
          <w:rFonts w:ascii="IRNazanin" w:hAnsi="IRNazanin" w:eastAsia="IRNazanin"/>
          <w:color w:val="111111"/>
          <w:sz w:val="28"/>
          <w:sz w:val="28"/>
          <w:szCs w:val="28"/>
          <w:rtl w:val="true"/>
          <w:lang w:bidi="fa-IR"/>
        </w:rPr>
        <w:t>عمّار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که از شدّت تشنگی خوف بر نفسش دارد، به خمری دست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مقداری که موجب قوت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اندازه‌ای که با آن از مرگ نجات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نشانگر آن است که صاحب وسائل رحمه الله همۀ حدیث را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این حدیث، محمّد بن الحسن، همان شیخ طوسی است و در بالاترین حدّ وثاقت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عن محمّد بن أحمد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به کتب رجال مراجعه می‌کنیم، می‌بینیم که سند شیخ طوسی به محمّد بن احمد بن یحیی، سند صحیحی است</w:t>
      </w:r>
      <w:r>
        <w:rPr>
          <w:rFonts w:eastAsia="IRNazanin" w:cs="IRNazanin"/>
          <w:color w:val="111111"/>
          <w:sz w:val="28"/>
          <w:szCs w:val="28"/>
          <w:rtl w:val="true"/>
          <w:lang w:bidi="fa-IR"/>
        </w:rPr>
        <w:t>.</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احمد بن حسن، میان دو نفر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حسن بن علی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الحسن بن إسماعیل المیثمی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ثقه و معتبر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سعید،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سعید 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دارد که ثقه است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مصدّق، منصرف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 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دارد که او هم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نیز معتبر و ثقه است</w:t>
      </w:r>
      <w:r>
        <w:rPr>
          <w:rFonts w:eastAsia="IRNazanin" w:cs="IRNazanin"/>
          <w:color w:val="111111"/>
          <w:sz w:val="28"/>
          <w:szCs w:val="28"/>
          <w:rtl w:val="true"/>
          <w:lang w:bidi="fa-IR"/>
        </w:rPr>
        <w:t>.</w:t>
      </w:r>
      <w:bookmarkStart w:id="1067" w:name="pg13785_135389"/>
    </w:p>
    <w:p>
      <w:pPr>
        <w:pStyle w:val="BookText"/>
        <w:rPr/>
      </w:pPr>
      <w:bookmarkEnd w:id="1067"/>
      <w:r>
        <w:rPr>
          <w:rFonts w:ascii="IRNazanin" w:hAnsi="IRNazanin" w:eastAsia="IRNazanin"/>
          <w:color w:val="111111"/>
          <w:sz w:val="28"/>
          <w:sz w:val="28"/>
          <w:szCs w:val="28"/>
          <w:rtl w:val="true"/>
          <w:lang w:bidi="fa-IR"/>
        </w:rPr>
        <w:t>بنا بر این، سند حدیث، سند معتبری است و دلالت حدیث هم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میان این چهار دلیلی که مطرح شد، مهم‌ترین دلیل مستدلّین، همین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قدس سره نیز بیشتر بر همین حدیث تکیه دارد و نتیجه می‌گیرد که شرب خمر برای مضطر، جایز است</w:t>
      </w:r>
      <w:r>
        <w:rPr>
          <w:rFonts w:eastAsia="IRNazanin" w:cs="IRNazanin"/>
          <w:color w:val="111111"/>
          <w:sz w:val="28"/>
          <w:szCs w:val="28"/>
          <w:rtl w:val="true"/>
          <w:lang w:bidi="fa-IR"/>
        </w:rPr>
        <w:t>.</w:t>
      </w:r>
    </w:p>
    <w:p>
      <w:pPr>
        <w:pStyle w:val="Heading6"/>
        <w:numPr>
          <w:ilvl w:val="5"/>
          <w:numId w:val="1"/>
        </w:numPr>
        <w:rPr/>
      </w:pPr>
      <w:bookmarkStart w:id="1068" w:name="__RefHeading___Toc2531513_1468164448"/>
      <w:bookmarkStart w:id="1069" w:name="_Toc412"/>
      <w:bookmarkEnd w:id="1068"/>
      <w:r>
        <w:rPr>
          <w:rtl w:val="true"/>
        </w:rPr>
        <w:t>ه</w:t>
      </w:r>
      <w:r>
        <w:rPr>
          <w:rtl w:val="true"/>
        </w:rPr>
        <w:t xml:space="preserve">) </w:t>
      </w:r>
      <w:r>
        <w:rPr>
          <w:rtl w:val="true"/>
        </w:rPr>
        <w:t>علاج تعارض ادلّه</w:t>
      </w:r>
      <w:bookmarkEnd w:id="1069"/>
    </w:p>
    <w:p>
      <w:pPr>
        <w:pStyle w:val="BookText"/>
        <w:rPr/>
      </w:pPr>
      <w:r>
        <w:rPr>
          <w:rFonts w:ascii="IRNazanin" w:hAnsi="IRNazanin" w:eastAsia="IRNazanin"/>
          <w:color w:val="111111"/>
          <w:sz w:val="28"/>
          <w:sz w:val="28"/>
          <w:szCs w:val="28"/>
          <w:rtl w:val="true"/>
          <w:lang w:bidi="fa-IR"/>
        </w:rPr>
        <w:t>در برابر این دلیل چهارم، دو روایت وجود داشت که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خبر أبی بصیر و دیگری خبر فضل بن شاذان که بر حرمت شرب خمر در حالت اضطرار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 دو روایت معارض مواجهیم که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 نباید شرب خمر کند، و دیگری می‌گوید اگر خوف نفس دارد، شرب خمر به مقداری که موجب حفظ او شود، جایز است</w:t>
      </w:r>
      <w:r>
        <w:rPr>
          <w:rFonts w:eastAsia="IRNazanin" w:cs="IRNazanin"/>
          <w:color w:val="111111"/>
          <w:sz w:val="28"/>
          <w:szCs w:val="28"/>
          <w:rtl w:val="true"/>
          <w:lang w:bidi="fa-IR"/>
        </w:rPr>
        <w:t>.</w:t>
      </w:r>
    </w:p>
    <w:p>
      <w:pPr>
        <w:pStyle w:val="Heading6"/>
        <w:numPr>
          <w:ilvl w:val="5"/>
          <w:numId w:val="1"/>
        </w:numPr>
        <w:rPr/>
      </w:pPr>
      <w:bookmarkStart w:id="1070" w:name="__RefHeading___Toc2531515_1468164448"/>
      <w:bookmarkStart w:id="1071" w:name="_Toc413"/>
      <w:bookmarkEnd w:id="1070"/>
      <w:r>
        <w:rPr>
          <w:rtl w:val="true"/>
        </w:rPr>
        <w:t>راه نخست</w:t>
      </w:r>
      <w:r>
        <w:rPr>
          <w:rtl w:val="true"/>
        </w:rPr>
        <w:t xml:space="preserve">: </w:t>
      </w:r>
      <w:r>
        <w:rPr>
          <w:rtl w:val="true"/>
        </w:rPr>
        <w:t>ترجیح سند</w:t>
      </w:r>
      <w:bookmarkEnd w:id="1071"/>
    </w:p>
    <w:p>
      <w:pPr>
        <w:pStyle w:val="BookText"/>
        <w:rPr/>
      </w:pPr>
      <w:r>
        <w:rPr>
          <w:rFonts w:ascii="IRNazanin" w:hAnsi="IRNazanin" w:eastAsia="IRNazanin"/>
          <w:color w:val="111111"/>
          <w:sz w:val="28"/>
          <w:sz w:val="28"/>
          <w:szCs w:val="28"/>
          <w:rtl w:val="true"/>
          <w:lang w:bidi="fa-IR"/>
        </w:rPr>
        <w:t>همان‌گونه که در مطالب پیشین گذشت، سند آن دو روایت معتبر نیست؛ امّا روایتی که در دلیل چهارم آمد، به لحاظ سند و دلالت، قوی و معتبر است و باید بر طبق آن فتوا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این راه، خالی از اشکال نیست؛ زیرا اگرچه سند آن دو روایت معتبر نبود، امّا متقدّمان از فقها بر طبق آنها فتوا داده‌اند و براساس این مبنا که فتوا دادن بر طبق یک روایت ضعیف، موجب جبران ضعف سند آن است، آن روایات نیز معتبر هستند</w:t>
      </w:r>
      <w:r>
        <w:rPr>
          <w:rFonts w:eastAsia="IRNazanin" w:cs="IRNazanin"/>
          <w:color w:val="111111"/>
          <w:sz w:val="28"/>
          <w:szCs w:val="28"/>
          <w:rtl w:val="true"/>
          <w:lang w:bidi="fa-IR"/>
        </w:rPr>
        <w:t>.</w:t>
      </w:r>
    </w:p>
    <w:p>
      <w:pPr>
        <w:pStyle w:val="Heading6"/>
        <w:numPr>
          <w:ilvl w:val="5"/>
          <w:numId w:val="1"/>
        </w:numPr>
        <w:rPr/>
      </w:pPr>
      <w:bookmarkStart w:id="1072" w:name="__RefHeading___Toc2531517_1468164448"/>
      <w:bookmarkStart w:id="1073" w:name="_Toc414"/>
      <w:bookmarkEnd w:id="1072"/>
      <w:r>
        <w:rPr>
          <w:rtl w:val="true"/>
        </w:rPr>
        <w:t>راه دوم</w:t>
      </w:r>
      <w:r>
        <w:rPr>
          <w:rtl w:val="true"/>
        </w:rPr>
        <w:t xml:space="preserve">: </w:t>
      </w:r>
      <w:r>
        <w:rPr>
          <w:rtl w:val="true"/>
        </w:rPr>
        <w:t>جمع دلالی</w:t>
      </w:r>
      <w:bookmarkEnd w:id="1073"/>
    </w:p>
    <w:p>
      <w:pPr>
        <w:pStyle w:val="BookText"/>
        <w:rPr/>
      </w:pPr>
      <w:r>
        <w:rPr>
          <w:rFonts w:ascii="IRNazanin" w:hAnsi="IRNazanin" w:eastAsia="IRNazanin"/>
          <w:color w:val="111111"/>
          <w:sz w:val="28"/>
          <w:sz w:val="28"/>
          <w:szCs w:val="28"/>
          <w:rtl w:val="true"/>
          <w:lang w:bidi="fa-IR"/>
        </w:rPr>
        <w:t>در این‌جا دو شیوه برای جمع دلالی به نظر می‌رسد که در کتب فقهی بیان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این است که روایت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المضطرّ لا یشرب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کراهت حمل کنیم؛ یعنی این روایت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می‌گوید شرب خمر در هنگام خوف نفس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قرینه بگیریم برای تصرّف در آن روایت</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المضطرّ لا یشرب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روایت، بر کراهت شرب خمر برای مضطر دلالت می‌کند</w:t>
      </w:r>
      <w:r>
        <w:rPr>
          <w:rFonts w:eastAsia="IRNazanin" w:cs="IRNazanin"/>
          <w:color w:val="111111"/>
          <w:sz w:val="28"/>
          <w:szCs w:val="28"/>
          <w:rtl w:val="true"/>
          <w:lang w:bidi="fa-IR"/>
        </w:rPr>
        <w:t>.</w:t>
      </w:r>
      <w:bookmarkStart w:id="1074" w:name="pg13785_135390"/>
    </w:p>
    <w:p>
      <w:pPr>
        <w:pStyle w:val="BookText"/>
        <w:rPr/>
      </w:pPr>
      <w:bookmarkEnd w:id="1074"/>
      <w:r>
        <w:rPr>
          <w:rFonts w:ascii="IRNazanin" w:hAnsi="IRNazanin" w:eastAsia="IRNazanin"/>
          <w:color w:val="111111"/>
          <w:sz w:val="28"/>
          <w:sz w:val="28"/>
          <w:szCs w:val="28"/>
          <w:rtl w:val="true"/>
          <w:lang w:bidi="fa-IR"/>
        </w:rPr>
        <w:t>اشکال چنین جمعی، این است که هیچ فقیهی چنین فتوایی ندارد و به کراهت شرب خمر برای مضطر قائل نشده است؛ بلکه فقها یا شرب خمر را برای مضطر، جایز می‌دانند و یا جایز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راه برای جمع، این است که با توجّه به تعلیلی که 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المضطرّ لا یشرب الخمر لأنّها 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مولوی نیست؛ بلکه ارشادی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مطلب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شارع پس از حکم به حرمت چیزی، آثارش را هم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 مردار موجب خلق و خوی بد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این آثار، علّت برای آن تحریم نیست، بلکه به تعبیر برخی بزرگان، حکمت آن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در جایی علّت ذکر شد، باید دقّت کرد که این علّت، داخل در تعبّدیات است یا نه؟ در آن دو روایت، برای حرمت شرب خمر مضطر، دلایلی ذکر شده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تزید إلّاعطشاً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تزید إلّاشرّاً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قتلته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لیکن این علل، علل تعبّدی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شخصی یقین دارد که با نوشیدن مقداری خمر، ده دقیقه زنده می‌ماند تا به آب برسد، لازم نیست به آن علل متعبّد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تعلیل، یک حکم تعبّدی کلّی نیست؛ بلکه یک عنوان ارشادی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برای جمع بین این روایات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می‌گوید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یشرب منه قوته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قرینه است بر این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ارشادی است و به این معناست که امام علیه السلام با توجّه به جنبۀ غالب،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 گمان نکند که با خوردن خمر زنده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برخی موارد، ممکن است شرب خمر برای ضرورت مضطر، راهگشا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در مقام بیان حکم مولوی تعبّدی نیستند</w:t>
      </w:r>
      <w:r>
        <w:rPr>
          <w:rFonts w:eastAsia="IRNazanin" w:cs="IRNazanin"/>
          <w:color w:val="111111"/>
          <w:sz w:val="28"/>
          <w:szCs w:val="28"/>
          <w:rtl w:val="true"/>
          <w:lang w:bidi="fa-IR"/>
        </w:rPr>
        <w:t>.</w:t>
      </w:r>
    </w:p>
    <w:p>
      <w:pPr>
        <w:pStyle w:val="Heading6"/>
        <w:numPr>
          <w:ilvl w:val="5"/>
          <w:numId w:val="1"/>
        </w:numPr>
        <w:rPr/>
      </w:pPr>
      <w:bookmarkStart w:id="1075" w:name="__RefHeading___Toc2531519_1468164448"/>
      <w:bookmarkStart w:id="1076" w:name="_Toc415"/>
      <w:bookmarkEnd w:id="1075"/>
      <w:r>
        <w:rPr>
          <w:rtl w:val="true"/>
        </w:rPr>
        <w:t>و</w:t>
      </w:r>
      <w:r>
        <w:rPr>
          <w:rtl w:val="true"/>
        </w:rPr>
        <w:t xml:space="preserve">) </w:t>
      </w:r>
      <w:r>
        <w:rPr>
          <w:rtl w:val="true"/>
        </w:rPr>
        <w:t>نتیجۀ بحث اضطرار</w:t>
      </w:r>
      <w:bookmarkEnd w:id="1076"/>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روایت جواز که سندش صحیح و دلالتش قطعی است، به این نتیجه می‌رسیم که مضطر اگر یقین دارد به این که شرب خمر او را از مرگ نجات می‌دهد، استفاده‌اش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متقدّم هم که گفته‌اند مضطر حق ندارد شرب خمر</w:t>
      </w:r>
      <w:bookmarkStart w:id="1077" w:name="pg13785_135391"/>
    </w:p>
    <w:p>
      <w:pPr>
        <w:pStyle w:val="BookText"/>
        <w:rPr/>
      </w:pPr>
      <w:bookmarkEnd w:id="1077"/>
      <w:r>
        <w:rPr>
          <w:rFonts w:ascii="IRNazanin" w:hAnsi="IRNazanin" w:eastAsia="IRNazanin"/>
          <w:color w:val="111111"/>
          <w:sz w:val="28"/>
          <w:sz w:val="28"/>
          <w:szCs w:val="28"/>
          <w:rtl w:val="true"/>
          <w:lang w:bidi="fa-IR"/>
        </w:rPr>
        <w:t>کند، بر اساس این جهت بوده است که غالباً اگر مضطر شرب خمر کند، می‌میرد و آن روایات هم ارشاد به این مطلب دارند</w:t>
      </w:r>
      <w:r>
        <w:rPr>
          <w:rFonts w:eastAsia="IRNazanin" w:cs="IRNazanin"/>
          <w:color w:val="111111"/>
          <w:sz w:val="28"/>
          <w:szCs w:val="28"/>
          <w:rtl w:val="true"/>
          <w:lang w:bidi="fa-IR"/>
        </w:rPr>
        <w:t>.</w:t>
      </w:r>
    </w:p>
    <w:p>
      <w:pPr>
        <w:pStyle w:val="Heading4"/>
        <w:numPr>
          <w:ilvl w:val="3"/>
          <w:numId w:val="1"/>
        </w:numPr>
        <w:rPr/>
      </w:pPr>
      <w:bookmarkStart w:id="1078" w:name="__RefHeading___Toc2531521_1468164448"/>
      <w:bookmarkStart w:id="1079" w:name="_Toc416"/>
      <w:bookmarkEnd w:id="1078"/>
      <w:r>
        <w:rPr>
          <w:rtl w:val="true"/>
        </w:rPr>
        <w:t>گفتار پنجم</w:t>
      </w:r>
      <w:r>
        <w:rPr>
          <w:rtl w:val="true"/>
        </w:rPr>
        <w:t xml:space="preserve">: </w:t>
      </w:r>
      <w:r>
        <w:rPr>
          <w:rtl w:val="true"/>
        </w:rPr>
        <w:t>بررسی روایت جمیل بن درّاج</w:t>
      </w:r>
      <w:bookmarkEnd w:id="1079"/>
    </w:p>
    <w:p>
      <w:pPr>
        <w:pStyle w:val="Heading5"/>
        <w:numPr>
          <w:ilvl w:val="4"/>
          <w:numId w:val="1"/>
        </w:numPr>
        <w:rPr/>
      </w:pPr>
      <w:bookmarkStart w:id="1080" w:name="__RefHeading___Toc2531523_1468164448"/>
      <w:bookmarkStart w:id="1081" w:name="_Toc417"/>
      <w:bookmarkEnd w:id="1080"/>
      <w:r>
        <w:rPr>
          <w:rtl w:val="true"/>
        </w:rPr>
        <w:t>اشارة</w:t>
      </w:r>
      <w:bookmarkEnd w:id="1081"/>
    </w:p>
    <w:p>
      <w:pPr>
        <w:pStyle w:val="BookText"/>
        <w:rPr/>
      </w:pPr>
      <w:r>
        <w:rPr>
          <w:rFonts w:ascii="IRNazanin" w:hAnsi="IRNazanin" w:eastAsia="IRNazanin"/>
          <w:color w:val="111111"/>
          <w:sz w:val="28"/>
          <w:sz w:val="28"/>
          <w:szCs w:val="28"/>
          <w:rtl w:val="true"/>
          <w:lang w:bidi="fa-IR"/>
        </w:rPr>
        <w:t>شیخ انصاری رحمه الله در این بحث روایتی را ذکر می‌کند که ظاهراً با روایات حرمت،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ذکر روایت، توجیهاتی را برای آن بیان می‌کند</w:t>
      </w:r>
      <w:r>
        <w:rPr>
          <w:rFonts w:eastAsia="IRNazanin" w:cs="IRNazanin"/>
          <w:color w:val="111111"/>
          <w:sz w:val="28"/>
          <w:szCs w:val="28"/>
          <w:rtl w:val="true"/>
          <w:lang w:bidi="fa-IR"/>
        </w:rPr>
        <w:t>.</w:t>
      </w:r>
      <w:r>
        <w:rPr>
          <w:rStyle w:val="FootnoteAnchor"/>
          <w:rtl w:val="true"/>
        </w:rPr>
        <w:footnoteReference w:id="936"/>
      </w:r>
    </w:p>
    <w:p>
      <w:pPr>
        <w:pStyle w:val="Heading5"/>
        <w:numPr>
          <w:ilvl w:val="4"/>
          <w:numId w:val="1"/>
        </w:numPr>
        <w:rPr/>
      </w:pPr>
      <w:bookmarkStart w:id="1082" w:name="__RefHeading___Toc2531525_1468164448"/>
      <w:bookmarkStart w:id="1083" w:name="_Toc418"/>
      <w:bookmarkEnd w:id="1082"/>
      <w:r>
        <w:rPr>
          <w:rtl w:val="true"/>
        </w:rPr>
        <w:t>بند نخست</w:t>
      </w:r>
      <w:r>
        <w:rPr>
          <w:rtl w:val="true"/>
        </w:rPr>
        <w:t xml:space="preserve">: </w:t>
      </w:r>
      <w:r>
        <w:rPr>
          <w:rtl w:val="true"/>
        </w:rPr>
        <w:t>بررسی روایت</w:t>
      </w:r>
      <w:bookmarkEnd w:id="1083"/>
    </w:p>
    <w:p>
      <w:pPr>
        <w:pStyle w:val="Heading6"/>
        <w:numPr>
          <w:ilvl w:val="5"/>
          <w:numId w:val="1"/>
        </w:numPr>
        <w:rPr/>
      </w:pPr>
      <w:bookmarkStart w:id="1084" w:name="__RefHeading___Toc2531527_1468164448"/>
      <w:bookmarkStart w:id="1085" w:name="_Toc419"/>
      <w:bookmarkEnd w:id="1084"/>
      <w:r>
        <w:rPr>
          <w:rtl w:val="true"/>
        </w:rPr>
        <w:t>اشارة</w:t>
      </w:r>
      <w:bookmarkEnd w:id="1085"/>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الطوسی رحمه الله بِإسنادِهِ عَنِ الحُسَینِ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أبی عُمَیرٍ وَ عَلی بنِ حَدیدٍ جَمیعاً عَن 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یَکُونُ لی عَلَی الرَّجُلِ الدَّراهِمُ فَیُعطینی بِها 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ثُمَّ أفسِدها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اجعَلها خَلاًّ؛</w:t>
      </w:r>
      <w:r>
        <w:rPr>
          <w:rStyle w:val="FootnoteAnchor"/>
          <w:rtl w:val="true"/>
        </w:rPr>
        <w:footnoteReference w:id="937"/>
      </w:r>
      <w:r>
        <w:rPr>
          <w:rFonts w:ascii="IRNazanin" w:hAnsi="IRNazanin" w:eastAsia="IRNazanin"/>
          <w:color w:val="111111"/>
          <w:sz w:val="28"/>
          <w:sz w:val="28"/>
          <w:szCs w:val="28"/>
          <w:rtl w:val="true"/>
          <w:lang w:bidi="fa-IR"/>
        </w:rPr>
        <w:t>جمیل بن درّاج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که من از مردی چند درهم طلب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مدیون در مقابل دینی که من دارد، به من خمر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خمر را بگیر، سپس افساد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سرکه کن</w:t>
      </w:r>
      <w:r>
        <w:rPr>
          <w:rFonts w:eastAsia="IRNazanin" w:cs="IRNazanin"/>
          <w:color w:val="111111"/>
          <w:sz w:val="28"/>
          <w:szCs w:val="28"/>
          <w:rtl w:val="true"/>
          <w:lang w:bidi="fa-IR"/>
        </w:rPr>
        <w:t>.</w:t>
      </w:r>
    </w:p>
    <w:p>
      <w:pPr>
        <w:pStyle w:val="Heading6"/>
        <w:numPr>
          <w:ilvl w:val="5"/>
          <w:numId w:val="1"/>
        </w:numPr>
        <w:rPr/>
      </w:pPr>
      <w:bookmarkStart w:id="1086" w:name="__RefHeading___Toc2531529_1468164448"/>
      <w:bookmarkStart w:id="1087" w:name="_Toc420"/>
      <w:bookmarkEnd w:id="1086"/>
      <w:r>
        <w:rPr>
          <w:rtl w:val="true"/>
        </w:rPr>
        <w:t>الف</w:t>
      </w:r>
      <w:r>
        <w:rPr>
          <w:rtl w:val="true"/>
        </w:rPr>
        <w:t xml:space="preserve">) </w:t>
      </w:r>
      <w:r>
        <w:rPr>
          <w:rtl w:val="true"/>
        </w:rPr>
        <w:t>بررسی سند</w:t>
      </w:r>
      <w:r>
        <w:rPr>
          <w:rtl w:val="true"/>
        </w:rPr>
        <w:t>:</w:t>
      </w:r>
      <w:bookmarkEnd w:id="1087"/>
    </w:p>
    <w:p>
      <w:pPr>
        <w:pStyle w:val="BookText"/>
        <w:rPr/>
      </w:pPr>
      <w:r>
        <w:rPr>
          <w:rFonts w:ascii="IRNazanin" w:hAnsi="IRNazanin" w:eastAsia="IRNazanin"/>
          <w:color w:val="111111"/>
          <w:sz w:val="28"/>
          <w:sz w:val="28"/>
          <w:szCs w:val="28"/>
          <w:rtl w:val="true"/>
          <w:lang w:bidi="fa-IR"/>
        </w:rPr>
        <w:t>روایت، صحیحه است؛ زیرا سند شیخ طوسی رحمه الله به حسین بن سعید، سند صحیحی است</w:t>
      </w:r>
      <w:r>
        <w:rPr>
          <w:rFonts w:eastAsia="IRNazanin" w:cs="IRNazanin"/>
          <w:color w:val="111111"/>
          <w:sz w:val="28"/>
          <w:szCs w:val="28"/>
          <w:rtl w:val="true"/>
          <w:lang w:bidi="fa-IR"/>
        </w:rPr>
        <w:t>.</w:t>
      </w:r>
      <w:r>
        <w:rPr>
          <w:rStyle w:val="FootnoteAnchor"/>
          <w:rtl w:val="true"/>
        </w:rPr>
        <w:footnoteReference w:id="938"/>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علی بن حدید، توثیق نشده است و نجاشی در مورد او فقط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عبارت را شیخ طوسی رحمه الله هم دارد و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تنها از علی بن حدید نقل شده باشد، قابل اعتنا نیست</w:t>
      </w:r>
      <w:r>
        <w:rPr>
          <w:rFonts w:eastAsia="IRNazanin" w:cs="IRNazanin"/>
          <w:color w:val="111111"/>
          <w:sz w:val="28"/>
          <w:szCs w:val="28"/>
          <w:rtl w:val="true"/>
          <w:lang w:bidi="fa-IR"/>
        </w:rPr>
        <w:t>.</w:t>
      </w:r>
      <w:bookmarkStart w:id="1088" w:name="pg13785_135392"/>
    </w:p>
    <w:p>
      <w:pPr>
        <w:pStyle w:val="BookText"/>
        <w:rPr/>
      </w:pPr>
      <w:bookmarkEnd w:id="1088"/>
      <w:r>
        <w:rPr>
          <w:rFonts w:ascii="IRNazanin" w:hAnsi="IRNazanin" w:eastAsia="IRNazanin"/>
          <w:color w:val="111111"/>
          <w:sz w:val="28"/>
          <w:sz w:val="28"/>
          <w:szCs w:val="28"/>
          <w:rtl w:val="true"/>
          <w:lang w:bidi="fa-IR"/>
        </w:rPr>
        <w:t>لیکن محمّد بن ابی عمیر، موثّق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این‌که این روایت را محمّد بن ابی عمیر و علی بن حدید از جمیل نقل کرده‌اند، اگر علی بن حدید هم اشکال داشته باشد، این سند به واسطۀ محمّد بن ابی عمیر، سند صحیحی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همان علی بن حدید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قدس سره این احتمال را بیان می‌کند</w:t>
      </w:r>
      <w:r>
        <w:rPr>
          <w:rStyle w:val="FootnoteAnchor"/>
          <w:rtl w:val="true"/>
        </w:rPr>
        <w:footnoteReference w:id="939"/>
      </w:r>
      <w:r>
        <w:rPr>
          <w:rFonts w:ascii="IRNazanin" w:hAnsi="IRNazanin" w:eastAsia="IRNazanin"/>
          <w:color w:val="111111"/>
          <w:sz w:val="28"/>
          <w:sz w:val="28"/>
          <w:szCs w:val="28"/>
          <w:rtl w:val="true"/>
          <w:lang w:bidi="fa-IR"/>
        </w:rPr>
        <w:t xml:space="preserve">که شاید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باشد، به این معنا که امام صادق علیه السلام به کلام امیر المؤمنین علیه السلام استشهاد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بسیار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شیخ انصاری رحمه الله پایان روایت را به گونه دیگری آورده است و می‌گوید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حاشیه نویسان کتاب المکاسب، مانند محقّق ایروانی رحمه الله نیز با اعتماد به نقل شیخ انصاری رحمه الله همین عبارت 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هر دو اشتباه کرده‌اند و در روایت اصلاً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w:t>
      </w:r>
    </w:p>
    <w:p>
      <w:pPr>
        <w:pStyle w:val="Heading6"/>
        <w:numPr>
          <w:ilvl w:val="5"/>
          <w:numId w:val="1"/>
        </w:numPr>
        <w:rPr/>
      </w:pPr>
      <w:bookmarkStart w:id="1089" w:name="__RefHeading___Toc2531531_1468164448"/>
      <w:bookmarkStart w:id="1090" w:name="_Toc421"/>
      <w:bookmarkEnd w:id="1089"/>
      <w:r>
        <w:rPr>
          <w:rtl w:val="true"/>
        </w:rPr>
        <w:t>ب</w:t>
      </w:r>
      <w:r>
        <w:rPr>
          <w:rtl w:val="true"/>
        </w:rPr>
        <w:t xml:space="preserve">) </w:t>
      </w:r>
      <w:r>
        <w:rPr>
          <w:rtl w:val="true"/>
        </w:rPr>
        <w:t>بررسی دلالت</w:t>
      </w:r>
      <w:r>
        <w:rPr>
          <w:rtl w:val="true"/>
        </w:rPr>
        <w:t>:</w:t>
      </w:r>
      <w:bookmarkEnd w:id="1090"/>
    </w:p>
    <w:p>
      <w:pPr>
        <w:pStyle w:val="BookText"/>
        <w:rPr/>
      </w:pPr>
      <w:r>
        <w:rPr>
          <w:rFonts w:ascii="IRNazanin" w:hAnsi="IRNazanin" w:eastAsia="IRNazanin"/>
          <w:color w:val="111111"/>
          <w:sz w:val="28"/>
          <w:sz w:val="28"/>
          <w:szCs w:val="28"/>
          <w:rtl w:val="true"/>
          <w:lang w:bidi="fa-IR"/>
        </w:rPr>
        <w:t xml:space="preserve">در این روایت، امام علیه السلام نمی‌فرمایند که خمر صلاحیت برای عوضیت ندارد؛ بلکه کلمۀ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این مطلب دارد که خمر می‌تواند عوض از دراهم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معامله‌ای صورت می‌گیرد که در آن عوض و معوّض وجود دارد و در یک طرف، دراهم است و در طرف دیگر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از مصادیق تکسّب به خمر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روایت ظهور در این دارد که تکسّب به خمر مانعی ندارد، در حالی که این مطلب با آنچه تا کنون دربارۀ حرمت و بطلان تکسّب به خمر گفته شد، منافات دارد</w:t>
      </w:r>
      <w:r>
        <w:rPr>
          <w:rFonts w:eastAsia="IRNazanin" w:cs="IRNazanin"/>
          <w:color w:val="111111"/>
          <w:sz w:val="28"/>
          <w:szCs w:val="28"/>
          <w:rtl w:val="true"/>
          <w:lang w:bidi="fa-IR"/>
        </w:rPr>
        <w:t>.</w:t>
      </w:r>
    </w:p>
    <w:p>
      <w:pPr>
        <w:pStyle w:val="Heading6"/>
        <w:numPr>
          <w:ilvl w:val="5"/>
          <w:numId w:val="1"/>
        </w:numPr>
        <w:rPr/>
      </w:pPr>
      <w:bookmarkStart w:id="1091" w:name="__RefHeading___Toc2531533_1468164448"/>
      <w:bookmarkStart w:id="1092" w:name="_Toc422"/>
      <w:bookmarkEnd w:id="1091"/>
      <w:r>
        <w:rPr/>
        <w:t>1</w:t>
      </w:r>
      <w:r>
        <w:rPr>
          <w:rtl w:val="true"/>
        </w:rPr>
        <w:t xml:space="preserve">- </w:t>
      </w:r>
      <w:r>
        <w:rPr>
          <w:rtl w:val="true"/>
        </w:rPr>
        <w:t>دیدگاه محقّق خوئی</w:t>
      </w:r>
      <w:bookmarkEnd w:id="1092"/>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خوئی قدس سره در کتاب محاضرات فی الفقه الجعفری به دلالت روایت جمیل بر جواز تکسّب به خمر به قصد تخلیل، قائل شده است؛</w:t>
      </w:r>
      <w:r>
        <w:rPr>
          <w:rStyle w:val="FootnoteAnchor"/>
          <w:rtl w:val="true"/>
        </w:rPr>
        <w:footnoteReference w:id="940"/>
      </w:r>
      <w:r>
        <w:rPr>
          <w:rFonts w:ascii="IRNazanin" w:hAnsi="IRNazanin" w:eastAsia="IRNazanin"/>
          <w:color w:val="111111"/>
          <w:sz w:val="28"/>
          <w:sz w:val="28"/>
          <w:szCs w:val="28"/>
          <w:rtl w:val="true"/>
          <w:lang w:bidi="fa-IR"/>
        </w:rPr>
        <w:t>لیکن در کتاب مصباح الفقاهة بر</w:t>
      </w:r>
      <w:bookmarkStart w:id="1093" w:name="pg13785_135393"/>
    </w:p>
    <w:p>
      <w:pPr>
        <w:pStyle w:val="BookText"/>
        <w:rPr/>
      </w:pPr>
      <w:bookmarkEnd w:id="1093"/>
      <w:r>
        <w:rPr>
          <w:rFonts w:ascii="IRNazanin" w:hAnsi="IRNazanin" w:eastAsia="IRNazanin"/>
          <w:color w:val="111111"/>
          <w:sz w:val="28"/>
          <w:sz w:val="28"/>
          <w:szCs w:val="28"/>
          <w:rtl w:val="true"/>
          <w:lang w:bidi="fa-IR"/>
        </w:rPr>
        <w:t>این باور است که از این روایت نمی‌توان برای جواز تکسّب به خمر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یتوهّم أنّ الروایة ظاهرة فی جواز اشتراء الخمر بقصد التخلیل فنرفع الید بها عن ظهور ما یدلّ علی حرمة بیعه مطلقاً وضعاً و تکلیفاً فتختصّ حرمة بیع الخمر بغیر هذه الصورة وإنّما هی راجعة إلی جواز الخمر من المدیون مسلماً أو کافراً وفائاً عن الدین؛</w:t>
      </w:r>
      <w:r>
        <w:rPr>
          <w:rStyle w:val="FootnoteAnchor"/>
          <w:rtl w:val="true"/>
        </w:rPr>
        <w:footnoteReference w:id="941"/>
      </w:r>
      <w:r>
        <w:rPr>
          <w:rFonts w:ascii="IRNazanin" w:hAnsi="IRNazanin" w:eastAsia="IRNazanin"/>
          <w:color w:val="111111"/>
          <w:sz w:val="28"/>
          <w:sz w:val="28"/>
          <w:szCs w:val="28"/>
          <w:rtl w:val="true"/>
          <w:lang w:bidi="fa-IR"/>
        </w:rPr>
        <w:t xml:space="preserve">نباید گمان کرد که از این روایت جواز خریدن خمر به قصد سرکه‌سازی استفاده می‌شود و می‌توان به‌وسیلۀ آن، از ظهور ادلّه‌ای که بر حرمت بیع 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وضعاً و چه تکلیفاً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می‌کند، دست برداشت تا در نتیجه، حرمت بیع خمر به غیر این صورت اختصاص پیدا کند؛ بلکه این روایت فقط بر جواز گرفتن خمر از مدیون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مسلمان باشد و چه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دین،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توهّم این‌که از روایت جمیل، جواز خریدن خمر به قصد تخلیل استفاده می‌شود، توهّم فاسد است؛ زیرا این روایت ربطی به خرید و فروش خمر ندارد؛ بلکه فقط دلالت دارد بر این که اگر کسی بخواهد به عنوان وفا کردن به دینِ خودش به انسان خمر بدهد، گرفتن این خمر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جواز تکسّب و معامله را نمی‌توان از این روایت استفاده کرد</w:t>
      </w:r>
      <w:r>
        <w:rPr>
          <w:rFonts w:eastAsia="IRNazanin" w:cs="IRNazanin"/>
          <w:color w:val="111111"/>
          <w:sz w:val="28"/>
          <w:szCs w:val="28"/>
          <w:rtl w:val="true"/>
          <w:lang w:bidi="fa-IR"/>
        </w:rPr>
        <w:t>.</w:t>
      </w:r>
    </w:p>
    <w:p>
      <w:pPr>
        <w:pStyle w:val="Heading6"/>
        <w:numPr>
          <w:ilvl w:val="5"/>
          <w:numId w:val="1"/>
        </w:numPr>
        <w:rPr/>
      </w:pPr>
      <w:bookmarkStart w:id="1094" w:name="__RefHeading___Toc2531535_1468164448"/>
      <w:bookmarkStart w:id="1095" w:name="_Toc423"/>
      <w:bookmarkEnd w:id="1094"/>
      <w:r>
        <w:rPr/>
        <w:t>2</w:t>
      </w:r>
      <w:r>
        <w:rPr>
          <w:rtl w:val="true"/>
        </w:rPr>
        <w:t xml:space="preserve">- </w:t>
      </w:r>
      <w:r>
        <w:rPr>
          <w:rtl w:val="true"/>
        </w:rPr>
        <w:t>نقد دیدگاه محقّق خوئی</w:t>
      </w:r>
      <w:bookmarkEnd w:id="1095"/>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نقدی که بر سخن محقّق خوئی قدس سره می‌توان وارد کرد، این است که اگرچه مسئلۀ خرید و فروش در روایت نیامده است، لیکن باید توجّه داشت که بحث ما در باب خمر، فقط دربارۀ خرید و فروش نیست؛ بلکه سخن از تکسّب به خمر است و تکسّب، شامل فروختن خمر، خریدن خمر، هبۀ معوّضه، صلح و هر نوع معامله‌ای</w:t>
      </w:r>
      <w:bookmarkStart w:id="1096" w:name="pg13785_135394"/>
    </w:p>
    <w:p>
      <w:pPr>
        <w:pStyle w:val="BookText"/>
        <w:rPr/>
      </w:pPr>
      <w:bookmarkEnd w:id="1096"/>
      <w:r>
        <w:rPr>
          <w:rFonts w:ascii="IRNazanin" w:hAnsi="IRNazanin" w:eastAsia="IRNazanin"/>
          <w:color w:val="111111"/>
          <w:sz w:val="28"/>
          <w:sz w:val="28"/>
          <w:szCs w:val="28"/>
          <w:rtl w:val="true"/>
          <w:lang w:bidi="fa-IR"/>
        </w:rPr>
        <w:t>است که در آن، خمر، عوض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پرسش مطرح می‌شود که آیا می‌توان جواز یک نوع تکسّب قهری را از روایت فهمید؟ به این معنا که وقتی امام علیه السلام می‌فرمایند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خُذها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خُذها عوضاً عن الدراهم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وقتی خمر، عوض از دراهم قرار گرفت، بدان معناست که تکسّب به خمر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حتّی اگر باطن این معامله وفای به دین باشد، این وفای به دین، قهراً ملازم تکسّب است و در نتیجه، این روایت بر جواز این تکسّب قهری، دلالت می‌کند</w:t>
      </w:r>
      <w:r>
        <w:rPr>
          <w:rFonts w:eastAsia="IRNazanin" w:cs="IRNazanin"/>
          <w:color w:val="111111"/>
          <w:sz w:val="28"/>
          <w:szCs w:val="28"/>
          <w:rtl w:val="true"/>
          <w:lang w:bidi="fa-IR"/>
        </w:rPr>
        <w:t>.</w:t>
      </w:r>
    </w:p>
    <w:p>
      <w:pPr>
        <w:pStyle w:val="Heading5"/>
        <w:numPr>
          <w:ilvl w:val="4"/>
          <w:numId w:val="1"/>
        </w:numPr>
        <w:rPr/>
      </w:pPr>
      <w:bookmarkStart w:id="1097" w:name="__RefHeading___Toc2531537_1468164448"/>
      <w:bookmarkStart w:id="1098" w:name="_Toc424"/>
      <w:bookmarkEnd w:id="1097"/>
      <w:r>
        <w:rPr>
          <w:rtl w:val="true"/>
        </w:rPr>
        <w:t>بند دوم</w:t>
      </w:r>
      <w:r>
        <w:rPr>
          <w:rtl w:val="true"/>
        </w:rPr>
        <w:t xml:space="preserve">: </w:t>
      </w:r>
      <w:r>
        <w:rPr>
          <w:rtl w:val="true"/>
        </w:rPr>
        <w:t>توجیهات شیخ انصاری</w:t>
      </w:r>
      <w:bookmarkEnd w:id="1098"/>
    </w:p>
    <w:p>
      <w:pPr>
        <w:pStyle w:val="Heading6"/>
        <w:numPr>
          <w:ilvl w:val="5"/>
          <w:numId w:val="1"/>
        </w:numPr>
        <w:rPr/>
      </w:pPr>
      <w:bookmarkStart w:id="1099" w:name="__RefHeading___Toc2531539_1468164448"/>
      <w:bookmarkStart w:id="1100" w:name="_Toc425"/>
      <w:bookmarkEnd w:id="1099"/>
      <w:r>
        <w:rPr>
          <w:rtl w:val="true"/>
        </w:rPr>
        <w:t>اشارة</w:t>
      </w:r>
      <w:bookmarkEnd w:id="1100"/>
    </w:p>
    <w:p>
      <w:pPr>
        <w:pStyle w:val="BookText"/>
        <w:rPr/>
      </w:pPr>
      <w:r>
        <w:rPr>
          <w:rFonts w:ascii="IRNazanin" w:hAnsi="IRNazanin" w:eastAsia="IRNazanin"/>
          <w:color w:val="111111"/>
          <w:sz w:val="28"/>
          <w:sz w:val="28"/>
          <w:szCs w:val="28"/>
          <w:rtl w:val="true"/>
          <w:lang w:bidi="fa-IR"/>
        </w:rPr>
        <w:t>شیخ انصاری رحمه الله در کتاب المکاسب، پس از نقل این روایت، دو توجیه را برای آن ذکر می‌کند</w:t>
      </w:r>
      <w:r>
        <w:rPr>
          <w:rFonts w:eastAsia="IRNazanin" w:cs="IRNazanin"/>
          <w:color w:val="111111"/>
          <w:sz w:val="28"/>
          <w:szCs w:val="28"/>
          <w:rtl w:val="true"/>
          <w:lang w:bidi="fa-IR"/>
        </w:rPr>
        <w:t>:</w:t>
      </w:r>
      <w:r>
        <w:rPr>
          <w:rStyle w:val="FootnoteAnchor"/>
          <w:rtl w:val="true"/>
        </w:rPr>
        <w:footnoteReference w:id="942"/>
      </w:r>
    </w:p>
    <w:p>
      <w:pPr>
        <w:pStyle w:val="Heading6"/>
        <w:numPr>
          <w:ilvl w:val="5"/>
          <w:numId w:val="1"/>
        </w:numPr>
        <w:rPr/>
      </w:pPr>
      <w:bookmarkStart w:id="1101" w:name="__RefHeading___Toc2531541_1468164448"/>
      <w:bookmarkStart w:id="1102" w:name="_Toc426"/>
      <w:bookmarkEnd w:id="1101"/>
      <w:r>
        <w:rPr>
          <w:rtl w:val="true"/>
        </w:rPr>
        <w:t>الف</w:t>
      </w:r>
      <w:r>
        <w:rPr>
          <w:rtl w:val="true"/>
        </w:rPr>
        <w:t xml:space="preserve">) </w:t>
      </w:r>
      <w:r>
        <w:rPr>
          <w:rtl w:val="true"/>
        </w:rPr>
        <w:t>توجیه نخست</w:t>
      </w:r>
      <w:r>
        <w:rPr>
          <w:rtl w:val="true"/>
        </w:rPr>
        <w:t>:</w:t>
      </w:r>
      <w:bookmarkEnd w:id="1102"/>
    </w:p>
    <w:p>
      <w:pPr>
        <w:pStyle w:val="BookText"/>
        <w:rPr/>
      </w:pPr>
      <w:r>
        <w:rPr>
          <w:rFonts w:ascii="IRNazanin" w:hAnsi="IRNazanin" w:eastAsia="IRNazanin"/>
          <w:color w:val="111111"/>
          <w:sz w:val="28"/>
          <w:sz w:val="28"/>
          <w:szCs w:val="28"/>
          <w:rtl w:val="true"/>
          <w:lang w:bidi="fa-IR"/>
        </w:rPr>
        <w:t>مقصود این است که این خمر را مجّاناً بگیرد و برای خود سرکه کند، نه این‌که خمر را به عنوان عوض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لازمۀ توجیه نخست، بقای دین بر ذمّۀ مدیون است؛ یعنی اگر مقصود امام علیه السلام این باشد که خمر را نه به قصد عوضیت آن دراهم، بلکه مجّاناً بگیر و بعداً برای خودت سرکه کن، نتیجه‌اش این است که آن دراهم بر ذمّۀ مدیون، باقی بماند و این بر خلاف ظاهر روایت است؛ زیرا ظاهر روایت این است که بعد از اخذ خمر، ذمّۀ مدیون بریء می‌شود</w:t>
      </w:r>
      <w:r>
        <w:rPr>
          <w:rFonts w:eastAsia="IRNazanin" w:cs="IRNazanin"/>
          <w:color w:val="111111"/>
          <w:sz w:val="28"/>
          <w:szCs w:val="28"/>
          <w:rtl w:val="true"/>
          <w:lang w:bidi="fa-IR"/>
        </w:rPr>
        <w:t>.</w:t>
      </w:r>
    </w:p>
    <w:p>
      <w:pPr>
        <w:pStyle w:val="Heading6"/>
        <w:numPr>
          <w:ilvl w:val="5"/>
          <w:numId w:val="1"/>
        </w:numPr>
        <w:rPr/>
      </w:pPr>
      <w:bookmarkStart w:id="1103" w:name="__RefHeading___Toc2531543_1468164448"/>
      <w:bookmarkStart w:id="1104" w:name="_Toc427"/>
      <w:bookmarkEnd w:id="1103"/>
      <w:r>
        <w:rPr>
          <w:rtl w:val="true"/>
        </w:rPr>
        <w:t>ب</w:t>
      </w:r>
      <w:r>
        <w:rPr>
          <w:rtl w:val="true"/>
        </w:rPr>
        <w:t xml:space="preserve">) </w:t>
      </w:r>
      <w:r>
        <w:rPr>
          <w:rtl w:val="true"/>
        </w:rPr>
        <w:t>توجیه دوم</w:t>
      </w:r>
      <w:r>
        <w:rPr>
          <w:rtl w:val="true"/>
        </w:rPr>
        <w:t>:</w:t>
      </w:r>
      <w:bookmarkEnd w:id="1104"/>
    </w:p>
    <w:p>
      <w:pPr>
        <w:pStyle w:val="BookText"/>
        <w:rPr/>
      </w:pPr>
      <w:r>
        <w:rPr>
          <w:rFonts w:ascii="IRNazanin" w:hAnsi="IRNazanin" w:eastAsia="IRNazanin"/>
          <w:color w:val="111111"/>
          <w:sz w:val="28"/>
          <w:sz w:val="28"/>
          <w:szCs w:val="28"/>
          <w:rtl w:val="true"/>
          <w:lang w:bidi="fa-IR"/>
        </w:rPr>
        <w:t xml:space="preserve">دومین توجیه این است که </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اخذ مجّانی تفسیر نکنیم؛ بلکه آن را به</w:t>
      </w:r>
    </w:p>
    <w:p>
      <w:pPr>
        <w:pStyle w:val="BookText"/>
        <w:rPr/>
      </w:pPr>
      <w:r>
        <w:rPr>
          <w:rFonts w:ascii="IRNazanin" w:hAnsi="IRNazanin" w:eastAsia="IRNazanin"/>
          <w:color w:val="111111"/>
          <w:sz w:val="28"/>
          <w:sz w:val="28"/>
          <w:szCs w:val="28"/>
          <w:rtl w:val="true"/>
          <w:lang w:bidi="fa-IR"/>
        </w:rPr>
        <w:t xml:space="preserve">اخذ امانی، معنا کنیم و بگوییم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خذها امانةً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این خمر را امانت بگیر و از طرف صاحبش سرکه کن و سپس آن را به عنوان عوض دراهم،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ایروانی قدس سره</w:t>
      </w:r>
      <w:r>
        <w:rPr>
          <w:rStyle w:val="FootnoteAnchor"/>
          <w:rtl w:val="true"/>
        </w:rPr>
        <w:footnoteReference w:id="943"/>
      </w:r>
      <w:r>
        <w:rPr>
          <w:rFonts w:ascii="IRNazanin" w:hAnsi="IRNazanin" w:eastAsia="IRNazanin"/>
          <w:color w:val="111111"/>
          <w:sz w:val="28"/>
          <w:sz w:val="28"/>
          <w:szCs w:val="28"/>
          <w:rtl w:val="true"/>
          <w:lang w:bidi="fa-IR"/>
        </w:rPr>
        <w:t>و محقّق خوئی قدس سره</w:t>
      </w:r>
      <w:r>
        <w:rPr>
          <w:rStyle w:val="FootnoteAnchor"/>
          <w:rtl w:val="true"/>
        </w:rPr>
        <w:footnoteReference w:id="944"/>
      </w:r>
      <w:r>
        <w:rPr>
          <w:rFonts w:ascii="IRNazanin" w:hAnsi="IRNazanin" w:eastAsia="IRNazanin"/>
          <w:color w:val="111111"/>
          <w:sz w:val="28"/>
          <w:sz w:val="28"/>
          <w:szCs w:val="28"/>
          <w:rtl w:val="true"/>
          <w:lang w:bidi="fa-IR"/>
        </w:rPr>
        <w:t>در اشکال به این توجیه شیخ انصاری رحمه الله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خمر، اجازه داده است که این خمر را بگیرد؛ ولی اذن دومی نداده است که پس از سرکه شدن خمر، تو مأذون هستی که این را از طرف من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می‌گفت خمر را سرکه کن، سپس من اجازه می‌دهم به عنوان طلب خودت برداری، مطلب شیخ رحمه الله قابل پذیرش بود؛ ولی در روایت، فرض این است که اذن فقط نسبت به اخذ خمر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را از دو راه می‌توان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معظّم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اشکال، احتمالی را مطرح کرده‌اند که شاید بتوان مسئله را از راه تقاص حل کرد؛</w:t>
      </w:r>
      <w:r>
        <w:rPr>
          <w:rStyle w:val="FootnoteAnchor"/>
          <w:rtl w:val="true"/>
        </w:rPr>
        <w:footnoteReference w:id="945"/>
      </w:r>
      <w:r>
        <w:rPr>
          <w:rFonts w:ascii="IRNazanin" w:hAnsi="IRNazanin" w:eastAsia="IRNazanin"/>
          <w:color w:val="111111"/>
          <w:sz w:val="28"/>
          <w:sz w:val="28"/>
          <w:szCs w:val="28"/>
          <w:rtl w:val="true"/>
          <w:lang w:bidi="fa-IR"/>
        </w:rPr>
        <w:t xml:space="preserve">یعنی از آن‌جا که طلبکار دراهمی را از بدهکار می‌خواهد و او نمی‌دهد، می‌تواند این سرکه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مال شخص بدهکار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تقاص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گفته شود که برای تقاص، اذن حاکم لازم است، پاسخ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امام علیه السلام که فرموده‌اند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أفسدها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سرکه کردن خمر تفسیر شده است و همین می‌تواند اذن امام علیه السلام برای تقاص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این سخن گرچه سخن متینی است، امّا بسیار بر خلاف ظاهر روایت است؛ زیرا تقاص در جایی است که طلبکار از پرداخت بدهی توسّط بدهکار ناامید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او می‌تواند حقّ خودش را به عنوان تقاص، از مال او بردارد؛ لیکن در این روایت، مطلبی مبنی بر ناامیدی شخص از پرداخت دین، وجود ندارد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پاسخ این است که این جا اذن مالک وجود دارد؛ زیرا عرفاً وقتی مالک خمر، خمر را می‌دهد، این کار او اذن در همۀ تصرّفات است و مانند این است که</w:t>
      </w:r>
      <w:bookmarkStart w:id="1105" w:name="pg13785_135396"/>
    </w:p>
    <w:p>
      <w:pPr>
        <w:pStyle w:val="BookText"/>
        <w:rPr/>
      </w:pPr>
      <w:bookmarkEnd w:id="1105"/>
      <w:r>
        <w:rPr>
          <w:rFonts w:ascii="IRNazanin" w:hAnsi="IRNazanin" w:eastAsia="IRNazanin"/>
          <w:color w:val="111111"/>
          <w:sz w:val="28"/>
          <w:sz w:val="28"/>
          <w:szCs w:val="28"/>
          <w:rtl w:val="true"/>
          <w:lang w:bidi="fa-IR"/>
        </w:rPr>
        <w:t>بگوید این خمر را بگیر و برای هر کاری می‌خواهی مصرف کن؛ اگر مسلمان هستی، از آن سرکه بساز و یا به دارو تبدیل کن و یا به هر روش دیگری که برای تو حلال است از آن استفاده نما</w:t>
      </w:r>
      <w:r>
        <w:rPr>
          <w:rFonts w:eastAsia="IRNazanin" w:cs="IRNazanin"/>
          <w:color w:val="111111"/>
          <w:sz w:val="28"/>
          <w:szCs w:val="28"/>
          <w:rtl w:val="true"/>
          <w:lang w:bidi="fa-IR"/>
        </w:rPr>
        <w:t>.</w:t>
      </w:r>
    </w:p>
    <w:p>
      <w:pPr>
        <w:pStyle w:val="Heading5"/>
        <w:numPr>
          <w:ilvl w:val="4"/>
          <w:numId w:val="1"/>
        </w:numPr>
        <w:rPr/>
      </w:pPr>
      <w:bookmarkStart w:id="1106" w:name="__RefHeading___Toc2531545_1468164448"/>
      <w:bookmarkStart w:id="1107" w:name="_Toc428"/>
      <w:bookmarkEnd w:id="1106"/>
      <w:r>
        <w:rPr>
          <w:rtl w:val="true"/>
        </w:rPr>
        <w:t>بند سوم</w:t>
      </w:r>
      <w:r>
        <w:rPr>
          <w:rtl w:val="true"/>
        </w:rPr>
        <w:t xml:space="preserve">: </w:t>
      </w:r>
      <w:r>
        <w:rPr>
          <w:rtl w:val="true"/>
        </w:rPr>
        <w:t>دلالت روایت، بر جواز تکسّب به قصد سرکه‌سازی</w:t>
      </w:r>
      <w:bookmarkEnd w:id="1107"/>
    </w:p>
    <w:p>
      <w:pPr>
        <w:pStyle w:val="Heading6"/>
        <w:numPr>
          <w:ilvl w:val="5"/>
          <w:numId w:val="1"/>
        </w:numPr>
        <w:rPr/>
      </w:pPr>
      <w:bookmarkStart w:id="1108" w:name="__RefHeading___Toc2531547_1468164448"/>
      <w:bookmarkStart w:id="1109" w:name="_Toc429"/>
      <w:bookmarkEnd w:id="1108"/>
      <w:r>
        <w:rPr>
          <w:rtl w:val="true"/>
        </w:rPr>
        <w:t>اشارة</w:t>
      </w:r>
      <w:bookmarkEnd w:id="1109"/>
    </w:p>
    <w:p>
      <w:pPr>
        <w:pStyle w:val="BookText"/>
        <w:rPr/>
      </w:pPr>
      <w:r>
        <w:rPr>
          <w:rFonts w:ascii="IRNazanin" w:hAnsi="IRNazanin" w:eastAsia="IRNazanin"/>
          <w:color w:val="111111"/>
          <w:sz w:val="28"/>
          <w:sz w:val="28"/>
          <w:szCs w:val="28"/>
          <w:rtl w:val="true"/>
          <w:lang w:bidi="fa-IR"/>
        </w:rPr>
        <w:t>دو گونه برداشت از این روایت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بگوییم این روایت، بر جواز مطلق تکسّب به خمر دلالت دارد، و دوم این‌که بگوییم مدلول این روایت، فقط جواز تکسّب به خمر به قصد ساخت سرکه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قدس سره در دو جا از کتاب المکاسب المحرّمه دربارۀ این مطلب سخن گفته‌اند</w:t>
      </w:r>
      <w:r>
        <w:rPr>
          <w:rFonts w:eastAsia="IRNazanin" w:cs="IRNazanin"/>
          <w:color w:val="111111"/>
          <w:sz w:val="28"/>
          <w:szCs w:val="28"/>
          <w:rtl w:val="true"/>
          <w:lang w:bidi="fa-IR"/>
        </w:rPr>
        <w:t>.</w:t>
      </w:r>
      <w:r>
        <w:rPr>
          <w:rStyle w:val="FootnoteAnchor"/>
          <w:rtl w:val="true"/>
        </w:rPr>
        <w:footnoteReference w:id="946"/>
      </w:r>
      <w:r>
        <w:rPr>
          <w:rFonts w:ascii="IRNazanin" w:hAnsi="IRNazanin" w:eastAsia="IRNazanin"/>
          <w:color w:val="111111"/>
          <w:sz w:val="28"/>
          <w:sz w:val="28"/>
          <w:szCs w:val="28"/>
          <w:rtl w:val="true"/>
          <w:lang w:bidi="fa-IR"/>
        </w:rPr>
        <w:t>ایشان نیز معتقد است که ظاهر این روایت، بر جواز خرید و فروش خمر به قصد سرکه‌سازی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نخست، این‌که بگوییم در این روایت، خمر بدل از دراهم است، مستلزم اشکال و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براساس استنباط ایشان، روایت بر جواز تکسّب به خمر به قصد سرکه‌سازی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مطلب این است که ظاهر روایت همین است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تفاوت در استنباط، ناشی از اختلاف در مبناست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 بر آنند که مالیّت خمر در اسلام به طور کلّی از بین رفته است؛ لیکن این دیدگاه درست نیست؛ زیرا همان‌گونه که در بحث‌های پیشین گذشت، از ادلّه فهمیده می‌شود که عدم مالیّت خمر فقط در صورتی است که مقصود از آن، شرب و اسکار باشد؛ بلکه اگر به قصد شرب باشد، امّا برای حفظ نفس و از باب اضطرار باشد، باز هم مالیّت دارد و قابل خرید و فروش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همان روایت خمر، قرینۀ خوبی وجود دارد بر این که استفاده از خمر به قصد تخلیل، اشکالی ندارد؛ زیرا از امام علیه السلام سؤال شد که اگر کسی بخواهد خمر را سرکه کند، حکمش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bookmarkStart w:id="1110" w:name="pg13785_135397"/>
    </w:p>
    <w:p>
      <w:pPr>
        <w:pStyle w:val="BookText"/>
        <w:rPr/>
      </w:pPr>
      <w:bookmarkEnd w:id="1110"/>
      <w:r>
        <w:rPr>
          <w:rFonts w:ascii="IRNazanin" w:hAnsi="IRNazanin" w:eastAsia="IRNazanin"/>
          <w:color w:val="111111"/>
          <w:sz w:val="28"/>
          <w:sz w:val="28"/>
          <w:szCs w:val="28"/>
          <w:rtl w:val="true"/>
          <w:lang w:bidi="fa-IR"/>
        </w:rPr>
        <w:t>البتّه در همان‌جا گفته شد که در آن روایات، بحث بیع و تکسّب نیست و نمی‌توان به آن روایات برای جواز تکسّب، استدلال کرد؛ امّا در روایاتی که بایع و مشتری خمر را لعن می‌کنند، قرینۀ روشنی وجود دارد که مقصود، بیع به قصد شرب و اسکار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نیز همین‌طور است؛ یعنی خمر به قصد سرکه‌سازی، مالیّت دارد و می‌تواند عوض از دراهم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روایت به گونه‌ای معنا شود که با ظهور روایت در برائت ذمّۀ مدیون، منافات نداشته باشد و این شیوۀ استنباط که بیان شد، با ظهور روایت نیز سازگار است</w:t>
      </w:r>
      <w:r>
        <w:rPr>
          <w:rFonts w:eastAsia="IRNazanin" w:cs="IRNazanin"/>
          <w:color w:val="111111"/>
          <w:sz w:val="28"/>
          <w:szCs w:val="28"/>
          <w:rtl w:val="true"/>
          <w:lang w:bidi="fa-IR"/>
        </w:rPr>
        <w:t>.</w:t>
      </w:r>
    </w:p>
    <w:p>
      <w:pPr>
        <w:pStyle w:val="Heading6"/>
        <w:numPr>
          <w:ilvl w:val="5"/>
          <w:numId w:val="1"/>
        </w:numPr>
        <w:rPr/>
      </w:pPr>
      <w:bookmarkStart w:id="1111" w:name="__RefHeading___Toc2531549_1468164448"/>
      <w:bookmarkStart w:id="1112" w:name="_Toc430"/>
      <w:bookmarkEnd w:id="1111"/>
      <w:r>
        <w:rPr>
          <w:rtl w:val="true"/>
        </w:rPr>
        <w:t>الف</w:t>
      </w:r>
      <w:r>
        <w:rPr>
          <w:rtl w:val="true"/>
        </w:rPr>
        <w:t xml:space="preserve">) </w:t>
      </w:r>
      <w:r>
        <w:rPr>
          <w:rtl w:val="true"/>
        </w:rPr>
        <w:t>بررسی دیدگاه محقّق ایروانی</w:t>
      </w:r>
      <w:bookmarkEnd w:id="1112"/>
    </w:p>
    <w:p>
      <w:pPr>
        <w:pStyle w:val="BookText"/>
        <w:rPr/>
      </w:pPr>
      <w:r>
        <w:rPr>
          <w:rFonts w:ascii="IRNazanin" w:hAnsi="IRNazanin" w:eastAsia="IRNazanin"/>
          <w:color w:val="111111"/>
          <w:sz w:val="28"/>
          <w:sz w:val="28"/>
          <w:szCs w:val="28"/>
          <w:rtl w:val="true"/>
          <w:lang w:bidi="fa-IR"/>
        </w:rPr>
        <w:t>یکی از حواشی بسیار خوب کتاب المکاسب، حاشیۀ محقّق ایروانی قدس سره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حاشیۀ این بحث، چند مطلب را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مطلب، همان اشکالی بود که در ذیل توجیه دوم شیخ رحمه الله، مطرح شد و پاسخ آن نیز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دوم، این است که به نظر ایشان، ابن أبی عمیر در این جا اجتهاد کرده است</w:t>
      </w:r>
      <w:r>
        <w:rPr>
          <w:rFonts w:eastAsia="IRNazanin" w:cs="IRNazanin"/>
          <w:color w:val="111111"/>
          <w:sz w:val="28"/>
          <w:szCs w:val="28"/>
          <w:rtl w:val="true"/>
          <w:lang w:bidi="fa-IR"/>
        </w:rPr>
        <w:t>.</w:t>
      </w:r>
      <w:r>
        <w:rPr>
          <w:rStyle w:val="FootnoteAnchor"/>
          <w:rtl w:val="true"/>
        </w:rPr>
        <w:footnoteReference w:id="947"/>
      </w:r>
      <w:r>
        <w:rPr>
          <w:rFonts w:ascii="IRNazanin" w:hAnsi="IRNazanin" w:eastAsia="IRNazanin"/>
          <w:color w:val="111111"/>
          <w:sz w:val="28"/>
          <w:sz w:val="28"/>
          <w:szCs w:val="28"/>
          <w:rtl w:val="true"/>
          <w:lang w:bidi="fa-IR"/>
        </w:rPr>
        <w:t xml:space="preserve">ابن أبی عمیر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أفسدها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إجعلها 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 است و اجتهاد او برای ما حجّت نیست تا به آن استشهاد کنیم؛ زیرا ممکن است مقصود امام علیه السلام حقیقت افساد بوده باشد، به شکلی که دیگر قابل استفاده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ایشان به پیروی از شیخ رحمه الله در کتاب المکاسب، گمان کرده است که عبارت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اجعلها 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ابن أبی عمیر است، حال آن‌که در روایت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اجعلها 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سخن شیخ و محقّق ایروانی سهو قلم است و درست نیست؛ زیرا در روایت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مراد از آن، علی بن حدید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علی ابن حدید در مجلس امام علیه السلام حضور داشته است و اگر می‌گوید </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واجعلها خلاًّ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بسا به خاطر این بوده است که آن جا قرینه‌ای برای مقصود امام علیه السلام</w:t>
      </w:r>
    </w:p>
    <w:p>
      <w:pPr>
        <w:pStyle w:val="BookText"/>
        <w:rPr/>
      </w:pPr>
      <w:r>
        <w:rPr>
          <w:rFonts w:ascii="IRNazanin" w:hAnsi="IRNazanin" w:eastAsia="IRNazanin"/>
          <w:color w:val="111111"/>
          <w:sz w:val="28"/>
          <w:sz w:val="28"/>
          <w:szCs w:val="28"/>
          <w:rtl w:val="true"/>
          <w:lang w:bidi="fa-IR"/>
        </w:rPr>
        <w:t>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 که پیش از این مرور شد، آمده بود که از طایفۀ ثقیف برای پیامبر صلی الله علیه و آله شرابی را هدیّه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نخست فرمود ببرید و بفروشید؛ ولی سپس فرمود نه، آن را دور بریزید؛ زیرا کسی که نوشیدن آن را حرام کرده است، ثمن آن را نیز حرام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با توجّه به این‌که علی بن حدید در مجلس امام علیه السلام حضور داشته است، می‌توان گفت که کلام او اصلاً استنباط و اجتهاد شخصی نیست؛ بلکه می‌خواهد از وجود قرینه‌ای خبر دهد که در آن جا وجود داشته و نشانۀ این بوده است که مقصود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أفسدها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ساختن سرکه از خمر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هم قرینۀ یاد شده، این باشد که امام علیه السلام می‌خواهد جمیل بن درّاج به پولش برسد؛ ولی اگر می‌فرمود خمر را بگیر و دور بریز، جمیل به پولش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علیه السلام او را ارشاد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را بگیر و آن را فاسد کن؛ یعنی آن را سرکه کن تا این خمر مالیّت پیدا کند و تو به پولت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این کلام محقّق ایروانی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می‌گوید این اجتهاد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نیست؛ بلکه قرینه‌ای در آن‌جا بوده که دلالت بر این دارد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ساختن سرکه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سومی که محقّق ایروانی قدس سره بیان می‌کند، این است که در روایت، اصلاً اشاره‌ای به این‌که این خمر را بدل از دراهم قرار دهد، وجود ندارد؛ بلکه فقط ایهام به این مطلب دارد که ایهام هم حجت نیست و ارزش آن از اشاره، بسیار کمتر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پاسخ این است که برخلاف نظر ایشان، این روایت کاملاً ظهور دارد و هر کس آن را ببیند، اعتراف می‌کند که </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خُذها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گرفتن خمر به جای دراهم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ایشان می‌گوید روایت فقط ایهام دارد، پذیرفته نیست؛ بلکه ظهور دارد و ظهور آن روشن است</w:t>
      </w:r>
      <w:r>
        <w:rPr>
          <w:rFonts w:eastAsia="IRNazanin" w:cs="IRNazanin"/>
          <w:color w:val="111111"/>
          <w:sz w:val="28"/>
          <w:szCs w:val="28"/>
          <w:rtl w:val="true"/>
          <w:lang w:bidi="fa-IR"/>
        </w:rPr>
        <w:t>.</w:t>
      </w:r>
      <w:bookmarkStart w:id="1113" w:name="pg13785_135399"/>
    </w:p>
    <w:p>
      <w:pPr>
        <w:pStyle w:val="BookText"/>
        <w:rPr/>
      </w:pPr>
      <w:bookmarkEnd w:id="1113"/>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محقّق ایروانی قدس سره در چهارمین مطلب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اثبات این‌که شخص، خمر را بدل از دراهم نمی‌گیرد، باید دانست که اگر امام علیه السلام دستور به افساد خمر می‌دهد، از باب قلع مادّۀ فساد است که البتّه قلع و حسم مادّۀ فساد، یکی از واجبات بر انسان مؤمن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پاسخ مطلب این است که با توجّه به آنچه گفته شد، نوبت به این توجیه نمی‌رسد؛ چون فرض قلع مادّۀ فساد در جایی است که خمر در اختیار ما باشد و طلب و طلبکار و بدهکاری هم در کار نباشد، در حالی که در بحث ما این فرض، بسیار بعید است</w:t>
      </w:r>
      <w:r>
        <w:rPr>
          <w:rFonts w:eastAsia="IRNazanin" w:cs="IRNazanin"/>
          <w:color w:val="111111"/>
          <w:sz w:val="28"/>
          <w:szCs w:val="28"/>
          <w:rtl w:val="true"/>
          <w:lang w:bidi="fa-IR"/>
        </w:rPr>
        <w:t>.</w:t>
      </w:r>
    </w:p>
    <w:p>
      <w:pPr>
        <w:pStyle w:val="Heading6"/>
        <w:numPr>
          <w:ilvl w:val="5"/>
          <w:numId w:val="1"/>
        </w:numPr>
        <w:rPr/>
      </w:pPr>
      <w:bookmarkStart w:id="1114" w:name="__RefHeading___Toc2531551_1468164448"/>
      <w:bookmarkStart w:id="1115" w:name="_Toc431"/>
      <w:bookmarkEnd w:id="1114"/>
      <w:r>
        <w:rPr>
          <w:rtl w:val="true"/>
        </w:rPr>
        <w:t>ب</w:t>
      </w:r>
      <w:r>
        <w:rPr>
          <w:rtl w:val="true"/>
        </w:rPr>
        <w:t xml:space="preserve">) </w:t>
      </w:r>
      <w:r>
        <w:rPr>
          <w:rtl w:val="true"/>
        </w:rPr>
        <w:t>بررسی بیان ارشاد الطالب</w:t>
      </w:r>
      <w:bookmarkEnd w:id="1115"/>
    </w:p>
    <w:p>
      <w:pPr>
        <w:pStyle w:val="BookText"/>
        <w:rPr/>
      </w:pPr>
      <w:r>
        <w:rPr>
          <w:rFonts w:ascii="IRNazanin" w:hAnsi="IRNazanin" w:eastAsia="IRNazanin"/>
          <w:color w:val="111111"/>
          <w:sz w:val="28"/>
          <w:sz w:val="28"/>
          <w:szCs w:val="28"/>
          <w:rtl w:val="true"/>
          <w:lang w:bidi="fa-IR"/>
        </w:rPr>
        <w:t>برخی از اعاظم شاگردان محقّق خوئی قدس سره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امر به اخذ و امر به تخلیل، دو حکم جدا هستند که هیچ کدام مقیّد یا مخصّص دیگری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نخستین امر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إجعلها 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دوم امام علیه السلام است</w:t>
      </w:r>
      <w:r>
        <w:rPr>
          <w:rFonts w:eastAsia="IRNazanin" w:cs="IRNazanin"/>
          <w:color w:val="111111"/>
          <w:sz w:val="28"/>
          <w:szCs w:val="28"/>
          <w:rtl w:val="true"/>
          <w:lang w:bidi="fa-IR"/>
        </w:rPr>
        <w:t>.</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اگر این بیان صحیح باشد، مستلزم آن است که بپذیریم این روایت، بر اطلاق در جواز تکسّب به خمر دلالت دارد، خواه به قصد تخلیل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پاسخ این است که با توجّه 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روایت ظهور عرفی روشنی دارد در این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إجعلها 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خُذها للإفساد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خُذها للتخلیل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آنچه تا کنون گفته شد، صحیح آن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جمیل در محضر امام صادق علیه السلام سؤال می‌کند و پاسخ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این گفتگو را برای علی بن حدید نقل کرده است، به گونه‌ای که در نقل او قرائنی بوده 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اصلاً اجتهاد و استنباط شخصی علی ابن حدید، درکار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این‌که جمیل در پی بازپس گرفتن طلب خود است، عبارت </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عبارتی ارشادی است</w:t>
      </w:r>
      <w:r>
        <w:rPr>
          <w:rFonts w:eastAsia="IRNazanin" w:cs="IRNazanin"/>
          <w:color w:val="111111"/>
          <w:sz w:val="28"/>
          <w:szCs w:val="28"/>
          <w:rtl w:val="true"/>
          <w:lang w:bidi="fa-IR"/>
        </w:rPr>
        <w:t>.</w:t>
      </w:r>
      <w:bookmarkStart w:id="1116" w:name="pg13785_135400"/>
    </w:p>
    <w:p>
      <w:pPr>
        <w:pStyle w:val="BookText"/>
        <w:rPr/>
      </w:pPr>
      <w:bookmarkEnd w:id="1116"/>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روایت، تعبیر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إهراق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دور ریختن، نیامده است؛ بلکه تعبیر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با تبدیل خمر به سرکه نیز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إجعلها خلّاً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قید برای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متمّم معنای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این نکات، روشن می‌شود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تخلیل است</w:t>
      </w:r>
      <w:r>
        <w:rPr>
          <w:rStyle w:val="FootnoteAnchor"/>
          <w:rtl w:val="true"/>
        </w:rPr>
        <w:footnoteReference w:id="949"/>
      </w:r>
      <w:r>
        <w:rPr>
          <w:rFonts w:ascii="IRNazanin" w:hAnsi="IRNazanin" w:eastAsia="IRNazanin"/>
          <w:color w:val="111111"/>
          <w:sz w:val="28"/>
          <w:sz w:val="28"/>
          <w:szCs w:val="28"/>
          <w:rtl w:val="true"/>
          <w:lang w:bidi="fa-IR"/>
        </w:rPr>
        <w:t>و با این مقدّمات، دو نتیجۀ کلّی از تامّل در روایت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ظاهر این روایت، عوض قرار گرفتن خمر از آن دراهمی که او طلب دارد،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تکسّب به خمر، اگر به قصد تخلیل یا افساد باشد نیز مانعی ندارد</w:t>
      </w:r>
      <w:r>
        <w:rPr>
          <w:rFonts w:eastAsia="IRNazanin" w:cs="IRNazanin"/>
          <w:color w:val="111111"/>
          <w:sz w:val="28"/>
          <w:szCs w:val="28"/>
          <w:rtl w:val="true"/>
          <w:lang w:bidi="fa-IR"/>
        </w:rPr>
        <w:t>.</w:t>
      </w:r>
    </w:p>
    <w:p>
      <w:pPr>
        <w:pStyle w:val="Heading5"/>
        <w:numPr>
          <w:ilvl w:val="4"/>
          <w:numId w:val="1"/>
        </w:numPr>
        <w:rPr/>
      </w:pPr>
      <w:bookmarkStart w:id="1117" w:name="__RefHeading___Toc2531553_1468164448"/>
      <w:bookmarkStart w:id="1118" w:name="_Toc432"/>
      <w:bookmarkEnd w:id="1117"/>
      <w:r>
        <w:rPr>
          <w:rtl w:val="true"/>
        </w:rPr>
        <w:t>بند چهارم</w:t>
      </w:r>
      <w:r>
        <w:rPr>
          <w:rtl w:val="true"/>
        </w:rPr>
        <w:t xml:space="preserve">: </w:t>
      </w:r>
      <w:r>
        <w:rPr>
          <w:rtl w:val="true"/>
        </w:rPr>
        <w:t>نسبت روایت جمیل با روایات پیشین</w:t>
      </w:r>
      <w:bookmarkEnd w:id="1118"/>
    </w:p>
    <w:p>
      <w:pPr>
        <w:pStyle w:val="Heading6"/>
        <w:numPr>
          <w:ilvl w:val="5"/>
          <w:numId w:val="1"/>
        </w:numPr>
        <w:rPr/>
      </w:pPr>
      <w:bookmarkStart w:id="1119" w:name="__RefHeading___Toc2531555_1468164448"/>
      <w:bookmarkStart w:id="1120" w:name="_Toc433"/>
      <w:bookmarkEnd w:id="1119"/>
      <w:r>
        <w:rPr>
          <w:rtl w:val="true"/>
        </w:rPr>
        <w:t>اشارة</w:t>
      </w:r>
      <w:bookmarkEnd w:id="1120"/>
    </w:p>
    <w:p>
      <w:pPr>
        <w:pStyle w:val="BookText"/>
        <w:rPr/>
      </w:pPr>
      <w:r>
        <w:rPr>
          <w:rFonts w:ascii="IRNazanin" w:hAnsi="IRNazanin" w:eastAsia="IRNazanin"/>
          <w:color w:val="111111"/>
          <w:sz w:val="28"/>
          <w:sz w:val="28"/>
          <w:szCs w:val="28"/>
          <w:rtl w:val="true"/>
          <w:lang w:bidi="fa-IR"/>
        </w:rPr>
        <w:t>از مجموع مباحث گذشته و بررسی ادلّه، نتیجه گرفتیم که نمی‌توان از ادلّه برای اثبات حرمت مطلق خرید و فروش خمر، استفاده کرد؛ زیرا روایتی که پیامبر اکرم صلی الله علیه و آله خمر و بایع و مشتری و عاصر و معتصر خمر را لعن فرموده است، به جایی انصراف دارد که این کارها به قصد اسکار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از این انصراف چشم‌پوشی و فرض کنیم که آن ادلّۀ پیشین، تکسّب به خمر را به صورت مطلق، حرام می‌کند، این سؤال مطرح می‌شود که با توجّه به دلالت روایت جمیل بن درّاج بر جواز تکسّب به خمر به قصد سرکه‌سازی، چه نسبتی میان روایت جمیل و روایات پیشین، وجود خواهد داشت؟ آیا میان روایت جمیل بن درّاج و آن روایات دیگر، نسبت اطلاق و تقیید برقرار است یا عموم و خصوص؟ و اگر نسبت عموم و خصوص است، مطلق است یا من وجه؟</w:t>
      </w:r>
    </w:p>
    <w:p>
      <w:pPr>
        <w:pStyle w:val="Heading6"/>
        <w:numPr>
          <w:ilvl w:val="5"/>
          <w:numId w:val="1"/>
        </w:numPr>
        <w:rPr/>
      </w:pPr>
      <w:bookmarkStart w:id="1121" w:name="__RefHeading___Toc2531557_1468164448"/>
      <w:bookmarkStart w:id="1122" w:name="_Toc434"/>
      <w:bookmarkEnd w:id="1121"/>
      <w:r>
        <w:rPr>
          <w:rtl w:val="true"/>
        </w:rPr>
        <w:t>الف</w:t>
      </w:r>
      <w:r>
        <w:rPr>
          <w:rtl w:val="true"/>
        </w:rPr>
        <w:t xml:space="preserve">) </w:t>
      </w:r>
      <w:r>
        <w:rPr>
          <w:rtl w:val="true"/>
        </w:rPr>
        <w:t>احتمال نخست</w:t>
      </w:r>
      <w:r>
        <w:rPr>
          <w:rtl w:val="true"/>
        </w:rPr>
        <w:t>:</w:t>
      </w:r>
      <w:bookmarkEnd w:id="1122"/>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نخست این است که روایت جمیل بن درّاج، آن روایات و ادلّۀ مطلق را تقیید</w:t>
      </w:r>
      <w:bookmarkStart w:id="1123" w:name="pg13785_135401"/>
    </w:p>
    <w:p>
      <w:pPr>
        <w:pStyle w:val="BookText"/>
        <w:rPr/>
      </w:pPr>
      <w:bookmarkEnd w:id="1123"/>
      <w:r>
        <w:rPr>
          <w:rFonts w:ascii="IRNazanin" w:hAnsi="IRNazanin" w:eastAsia="IRNazanin"/>
          <w:color w:val="111111"/>
          <w:sz w:val="28"/>
          <w:sz w:val="28"/>
          <w:szCs w:val="28"/>
          <w:rtl w:val="true"/>
          <w:lang w:bidi="fa-IR"/>
        </w:rPr>
        <w:t>بزند، به این بیان که تکسّب به خمر، اگر به قصد سرکه‌سازی باشد،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صحیح است که نسبت بین این دو را عموم و خصوص مطلق، یا اطلاق و تقیید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بیانات امام خمینی قدس سره استفاده می‌شود که ایشان نیز نسبت را عموم و خصوص و یا اطلاق و تقیید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این باور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جمیل بر جواز تکسّب به خمر به قصد سرکه‌سازی، دلالت می‌کند</w:t>
      </w:r>
      <w:r>
        <w:rPr>
          <w:rFonts w:eastAsia="IRNazanin" w:cs="IRNazanin"/>
          <w:color w:val="111111"/>
          <w:sz w:val="28"/>
          <w:szCs w:val="28"/>
          <w:rtl w:val="true"/>
          <w:lang w:bidi="fa-IR"/>
        </w:rPr>
        <w:t>.</w:t>
      </w:r>
      <w:r>
        <w:rPr>
          <w:rStyle w:val="FootnoteAnchor"/>
          <w:rtl w:val="true"/>
        </w:rPr>
        <w:footnoteReference w:id="950"/>
      </w:r>
    </w:p>
    <w:p>
      <w:pPr>
        <w:pStyle w:val="Heading6"/>
        <w:numPr>
          <w:ilvl w:val="5"/>
          <w:numId w:val="1"/>
        </w:numPr>
        <w:rPr/>
      </w:pPr>
      <w:bookmarkStart w:id="1124" w:name="__RefHeading___Toc2531559_1468164448"/>
      <w:bookmarkStart w:id="1125" w:name="_Toc435"/>
      <w:bookmarkEnd w:id="1124"/>
      <w:r>
        <w:rPr>
          <w:rtl w:val="true"/>
        </w:rPr>
        <w:t>ب</w:t>
      </w:r>
      <w:r>
        <w:rPr>
          <w:rtl w:val="true"/>
        </w:rPr>
        <w:t xml:space="preserve">) </w:t>
      </w:r>
      <w:r>
        <w:rPr>
          <w:rtl w:val="true"/>
        </w:rPr>
        <w:t>احتمال دوم</w:t>
      </w:r>
      <w:r>
        <w:rPr>
          <w:rtl w:val="true"/>
        </w:rPr>
        <w:t>:</w:t>
      </w:r>
      <w:bookmarkEnd w:id="1125"/>
    </w:p>
    <w:p>
      <w:pPr>
        <w:pStyle w:val="BookText"/>
        <w:rPr/>
      </w:pPr>
      <w:r>
        <w:rPr>
          <w:rFonts w:ascii="IRNazanin" w:hAnsi="IRNazanin" w:eastAsia="IRNazanin"/>
          <w:color w:val="111111"/>
          <w:sz w:val="28"/>
          <w:sz w:val="28"/>
          <w:szCs w:val="28"/>
          <w:rtl w:val="true"/>
          <w:lang w:bidi="fa-IR"/>
        </w:rPr>
        <w:t>احتمال دوم که در کلام محقّق خوئی قدس سره آمده،</w:t>
      </w:r>
      <w:r>
        <w:rPr>
          <w:rStyle w:val="FootnoteAnchor"/>
          <w:rtl w:val="true"/>
        </w:rPr>
        <w:footnoteReference w:id="951"/>
      </w:r>
      <w:r>
        <w:rPr>
          <w:rFonts w:ascii="IRNazanin" w:hAnsi="IRNazanin" w:eastAsia="IRNazanin"/>
          <w:color w:val="111111"/>
          <w:sz w:val="28"/>
          <w:sz w:val="28"/>
          <w:szCs w:val="28"/>
          <w:rtl w:val="true"/>
          <w:lang w:bidi="fa-IR"/>
        </w:rPr>
        <w:t>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میان روایت جمیل و آن روایات، عموم و خصوص من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باید به نکته‌ای دربارۀ تفاوت جهت روایت جمیل با روایات پیشین، 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پیشین از جهت بایع، دارای خصوصیتی هستند، امّا از جهت معامله اطلاق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روایات آمده بود که اگر بایع مسلمانی، خمری را بخرد یا بفروشد، مرتکب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روایات از این جهت که آیا معامله به قصد تخلیل است یا نه، اطلاق دارند؛ ولی از این جهت که بایع، بایع مسلمان است، خصوصیت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روایت جمیل عکس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می‌گوید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لی علی الرجل الدراهم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وصف او اشاره نشده است و چه بسا مسلمان یا ذمّی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جهت این که بایع، مسلمان باشد یا غیر مسلمان، اطلاق دارد؛ لیکن از این جهت که معامله به قصد سرکه‌سازی انجام شود، خصوصیت دارد و مقیّد شده است</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نسبت میان این روایت و آن روایات، عموم و خصوص من وجه است و مادّۀ اجتماعشان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با یکدیگر تعارض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بایع مسلمانی است که خمر را به قصد تخلیل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دستۀ نخست بر حرمت چنین معامله‌ای، دلالت دارند و روایت جمیل بر جواز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برخی تلاش کرده‌اند که این تعارض در مادّۀ اجتماع را به گونه‌ای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دو راهکار برای حلّ تعارض ارائه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خوئی قدس سره معتقد است که برای حلّ تعارض باید این دو دسته دلیل را کنار بگذاریم و به عموماتی که دربارۀ تکسّب به خمر داریم،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 می‌گوید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ثمن الخمر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السحت ثمن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به‌نظر می‌رسد که این بیان، بیان تامّی نیست؛ زیرا روایتی که از پیامبر اکرم صلی الله علیه و آله در مورد لعن خمر و بایع و مشتری و عاصر و معتصر خمر، نقل شد نیز اختصاص به مسلمان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همین روایتِ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السحت ثمن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جهت بایع، مطلق است و اختصاص به مسلمان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نظر می‌رسد که نمی‌توان میان این روایات، رابطۀ عموم و خصوص را تصوّر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شاگردان محقّق خوئی، پس از پذیرش بیان ایشان در مورد تعارض، برای حلّ این تعارض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بر اطلاق حرمت و بطلان خرید و فروش خمر، دلالت می‌کنند بر روایت جمیل مقدّم می‌شوند؛ زیرا به زعم ایشان، در این‌جا تعارض وجود دارد و طرف موافق با قرآن، همین روایات مانعه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 روایاتی که ثمن خمر را سحت و باطل و حرام می‌دانند و تفاوتی میان قصد اسکار و قصد تخلیل، قائل نیستند، با ظاهر قرآن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الْخَمْرُ وَ الْمَیْسِرُ وَ الْأَنْصابُ وَ الْأَزْلامُ رِجْسٌ مِنْ عَمَلِ الشَّیْطانِ فَاجْتَنِبُوهُ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سازگارترند؛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دارد و به معنای آن است که از همۀ تصرّفات 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خرید و فروش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کنید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به نظر می‌رسد که این بیان نیز چند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نخست، همان اشکالی است که بر گفتار محقّق خوئی قدس سره وارد بود، به این بیان که میان روایت جمیل و</w:t>
      </w:r>
      <w:bookmarkStart w:id="1126" w:name="pg13785_135403"/>
    </w:p>
    <w:p>
      <w:pPr>
        <w:pStyle w:val="BookText"/>
        <w:rPr/>
      </w:pPr>
      <w:bookmarkEnd w:id="1126"/>
      <w:r>
        <w:rPr>
          <w:rFonts w:ascii="IRNazanin" w:hAnsi="IRNazanin" w:eastAsia="IRNazanin"/>
          <w:color w:val="111111"/>
          <w:sz w:val="28"/>
          <w:sz w:val="28"/>
          <w:szCs w:val="28"/>
          <w:rtl w:val="true"/>
          <w:lang w:bidi="fa-IR"/>
        </w:rPr>
        <w:t>روایات پیشین نسبت عموم و خصوص من وجه وجود ندارد و به خاطر همین، تعارضی نیست که برای حلّ آن به مرجّحات خارجی و قرآن، مراجعه کنیم؛ بلکه همان‌گونه که در احتمال نخست گفته شد، نسبت میان روایات، اطلاق و تقیید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این‌که با فرض تعارض، آیۀ شریفه، مرجّح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بررسی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الْخَمْرُ وَ الْمَیْسِرُ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شد که این آیه، بر بطلان تکسّب به خمر 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بر اساس آنچه در این گفتار گذشت، بر خلاف دیدگاه محقّق خوئی قدس سره و شاگردان ایشان، به نظر می‌رسد که روایت جمیل ابن درّاج بر جواز تکسّب به خمر دلالت دارد، به شرطی که به قصد سرکه‌سازی انجام شود؛ یعنی این روایت، مقیِّد آن روایات مطلق است، نه این‌که میان آنها عموم و خصوص من وجه باشد</w:t>
      </w:r>
      <w:r>
        <w:rPr>
          <w:rFonts w:eastAsia="IRNazanin" w:cs="IRNazanin"/>
          <w:color w:val="111111"/>
          <w:sz w:val="28"/>
          <w:szCs w:val="28"/>
          <w:rtl w:val="true"/>
          <w:lang w:bidi="fa-IR"/>
        </w:rPr>
        <w:t>.</w:t>
      </w:r>
    </w:p>
    <w:p>
      <w:pPr>
        <w:pStyle w:val="Heading4"/>
        <w:numPr>
          <w:ilvl w:val="3"/>
          <w:numId w:val="1"/>
        </w:numPr>
        <w:rPr/>
      </w:pPr>
      <w:bookmarkStart w:id="1127" w:name="__RefHeading___Toc2531561_1468164448"/>
      <w:bookmarkStart w:id="1128" w:name="_Toc436"/>
      <w:bookmarkEnd w:id="1127"/>
      <w:r>
        <w:rPr>
          <w:rtl w:val="true"/>
        </w:rPr>
        <w:t>گفتار ششم</w:t>
      </w:r>
      <w:r>
        <w:rPr>
          <w:rtl w:val="true"/>
        </w:rPr>
        <w:t xml:space="preserve">: </w:t>
      </w:r>
      <w:r>
        <w:rPr>
          <w:rtl w:val="true"/>
        </w:rPr>
        <w:t>معاملۀ خمر میان دو غیرمسلمان</w:t>
      </w:r>
      <w:bookmarkEnd w:id="1128"/>
    </w:p>
    <w:p>
      <w:pPr>
        <w:pStyle w:val="Heading5"/>
        <w:numPr>
          <w:ilvl w:val="4"/>
          <w:numId w:val="1"/>
        </w:numPr>
        <w:rPr/>
      </w:pPr>
      <w:bookmarkStart w:id="1129" w:name="__RefHeading___Toc2531563_1468164448"/>
      <w:bookmarkStart w:id="1130" w:name="_Toc437"/>
      <w:bookmarkEnd w:id="1129"/>
      <w:r>
        <w:rPr>
          <w:rtl w:val="true"/>
        </w:rPr>
        <w:t>اشارة</w:t>
      </w:r>
      <w:bookmarkEnd w:id="1130"/>
    </w:p>
    <w:p>
      <w:pPr>
        <w:pStyle w:val="BookText"/>
        <w:rPr/>
      </w:pPr>
      <w:r>
        <w:rPr>
          <w:rFonts w:ascii="IRNazanin" w:hAnsi="IRNazanin" w:eastAsia="IRNazanin"/>
          <w:color w:val="111111"/>
          <w:sz w:val="28"/>
          <w:sz w:val="28"/>
          <w:szCs w:val="28"/>
          <w:rtl w:val="true"/>
          <w:lang w:bidi="fa-IR"/>
        </w:rPr>
        <w:t>مطلب دیگری که در بحث تکسّب به خمر مطرح می‌شود، این است که آیا حرمت تکلیفی و حرمت وضعی، به جایی که بایع و مشتری و یا یکی از آنها مسلمان هستند، اختصاص دارد؟ یعنی آیا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خریدار و فروشنده ذمّی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هر دو نصرانی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معاملۀ آنها صحیح و ثمنی هم که دریافت می‌کنند، حلال است؟ یا مقتضای ادلّه‌ای که در مباحث گذشته خواندیم، اطلاق دارد و تکسّب اهل ذمّه با خمر نیز حرام و باطل است؟</w:t>
      </w:r>
    </w:p>
    <w:p>
      <w:pPr>
        <w:pStyle w:val="Heading5"/>
        <w:numPr>
          <w:ilvl w:val="4"/>
          <w:numId w:val="1"/>
        </w:numPr>
        <w:rPr/>
      </w:pPr>
      <w:bookmarkStart w:id="1131" w:name="__RefHeading___Toc2531565_1468164448"/>
      <w:bookmarkStart w:id="1132" w:name="_Toc438"/>
      <w:bookmarkEnd w:id="1131"/>
      <w:r>
        <w:rPr>
          <w:rtl w:val="true"/>
        </w:rPr>
        <w:t>بند نخست</w:t>
      </w:r>
      <w:r>
        <w:rPr>
          <w:rtl w:val="true"/>
        </w:rPr>
        <w:t xml:space="preserve">: </w:t>
      </w:r>
      <w:r>
        <w:rPr>
          <w:rtl w:val="true"/>
        </w:rPr>
        <w:t>ادلّۀ دالّ بر اطلاق</w:t>
      </w:r>
      <w:bookmarkEnd w:id="1132"/>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روایاتی نظیر </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أکلِ السّحت ثمنُ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اطلاق دارد و خصوصیتی برای خریدار فروشنده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روایتی که پیامبر صلی الله علیه و آله گروهی را لعن فرمودند که از جملۀ آنها بایع خمر و مشتری خمر است، قید مسلمان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آیۀ شریفۀ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الْخَمْرُ وَ الْمَیْسِرُ وَ الْأَنْصابُ وَ الْأَزْلامُ رِجْسٌ مِنْ عَمَلِ</w:t>
      </w:r>
      <w:bookmarkStart w:id="1133" w:name="pg13785_135404"/>
    </w:p>
    <w:p>
      <w:pPr>
        <w:pStyle w:val="BookText"/>
        <w:rPr/>
      </w:pPr>
      <w:bookmarkEnd w:id="1133"/>
      <w:r>
        <w:rPr>
          <w:rFonts w:ascii="Amiri" w:hAnsi="Amiri" w:eastAsia="Amiri" w:cs="Amiri"/>
          <w:color w:val="111111"/>
          <w:sz w:val="28"/>
          <w:sz w:val="28"/>
          <w:szCs w:val="28"/>
          <w:rtl w:val="true"/>
          <w:lang w:bidi="ar-SA"/>
        </w:rPr>
        <w:t>اَلشَّیْطانِ فَاجْتَنِبُوهُ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مطلق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چنان‌که در همین فصل گذشت،</w:t>
      </w:r>
      <w:r>
        <w:rPr>
          <w:rStyle w:val="FootnoteAnchor"/>
          <w:rtl w:val="true"/>
        </w:rPr>
        <w:footnoteReference w:id="952"/>
      </w:r>
      <w:r>
        <w:rPr>
          <w:rFonts w:ascii="IRNazanin" w:hAnsi="IRNazanin" w:eastAsia="IRNazanin"/>
          <w:color w:val="111111"/>
          <w:sz w:val="28"/>
          <w:sz w:val="28"/>
          <w:szCs w:val="28"/>
          <w:rtl w:val="true"/>
          <w:lang w:bidi="fa-IR"/>
        </w:rPr>
        <w:t>از این آیۀ شریفه، حرمت تکلیفی و وضعی تکسّب به خمر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فقها از این آیۀ شریفه، از باب این که حذف متعلّق، دلالت بر عموم می‌کند، استفاده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همۀ چیزهایی که مرتبط با خمر است، اجتناب کنید که از جملۀ آنها خرید و فروش است</w:t>
      </w:r>
      <w:r>
        <w:rPr>
          <w:rFonts w:eastAsia="IRNazanin" w:cs="IRNazanin"/>
          <w:color w:val="111111"/>
          <w:sz w:val="28"/>
          <w:szCs w:val="28"/>
          <w:rtl w:val="true"/>
          <w:lang w:bidi="fa-IR"/>
        </w:rPr>
        <w:t>.</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به هر حال، اگر برای حرمت و بطلان تکسّب به خمر، به آیۀ شریفه استناد شود، فرقی بین این که بایع، مسلمان باشد یا غیر مسلمان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ادلّه، قاعده‌ای نیز در قواعد فقهیّه هست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کفّار همان گونه که مکلّف به اصول‌اند، مکلّف به فروع نیز هستند</w:t>
      </w:r>
      <w:r>
        <w:rPr>
          <w:rFonts w:eastAsia="IRNazanin" w:cs="IRNazanin"/>
          <w:color w:val="111111"/>
          <w:sz w:val="28"/>
          <w:szCs w:val="28"/>
          <w:rtl w:val="true"/>
          <w:lang w:bidi="fa-IR"/>
        </w:rPr>
        <w:t>».</w:t>
      </w:r>
      <w:r>
        <w:rPr>
          <w:rStyle w:val="FootnoteAnchor"/>
          <w:rtl w:val="true"/>
        </w:rPr>
        <w:footnoteReference w:id="954"/>
      </w:r>
      <w:r>
        <w:rPr>
          <w:rFonts w:ascii="IRNazanin" w:hAnsi="IRNazanin" w:eastAsia="IRNazanin"/>
          <w:color w:val="111111"/>
          <w:sz w:val="28"/>
          <w:sz w:val="28"/>
          <w:szCs w:val="28"/>
          <w:rtl w:val="true"/>
          <w:lang w:bidi="fa-IR"/>
        </w:rPr>
        <w:t>این قاعده محلّ خلاف است؛ برخی از بزرگان آن را قبول ندارند؛</w:t>
      </w:r>
      <w:r>
        <w:rPr>
          <w:rStyle w:val="FootnoteAnchor"/>
          <w:rtl w:val="true"/>
        </w:rPr>
        <w:footnoteReference w:id="955"/>
      </w:r>
      <w:r>
        <w:rPr>
          <w:rFonts w:ascii="IRNazanin" w:hAnsi="IRNazanin" w:eastAsia="IRNazanin"/>
          <w:color w:val="111111"/>
          <w:sz w:val="28"/>
          <w:sz w:val="28"/>
          <w:szCs w:val="28"/>
          <w:rtl w:val="true"/>
          <w:lang w:bidi="fa-IR"/>
        </w:rPr>
        <w:t>لیکن مشهور قائل‌اند به این که کفّار مکلّف به فروع‌اند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قاعده، همان گونه که خوردن خمر برای مسلمان حرام است، بر کافر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گونه که خرید و فروش خمر برای مسلمان حرام است، برای کافر هم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ادلّه، اگر یک کافر ذمّی به یک ذمّی دیگر، خمری را فروخت، تکسّبش، هم حرمت تکلیفی دارد و هم حرمت وضعی؛ یعنی معامله‌اش حرام و باطل است</w:t>
      </w:r>
      <w:r>
        <w:rPr>
          <w:rFonts w:eastAsia="IRNazanin" w:cs="IRNazanin"/>
          <w:color w:val="111111"/>
          <w:sz w:val="28"/>
          <w:szCs w:val="28"/>
          <w:rtl w:val="true"/>
          <w:lang w:bidi="fa-IR"/>
        </w:rPr>
        <w:t>.</w:t>
      </w:r>
    </w:p>
    <w:p>
      <w:pPr>
        <w:pStyle w:val="Heading5"/>
        <w:numPr>
          <w:ilvl w:val="4"/>
          <w:numId w:val="1"/>
        </w:numPr>
        <w:rPr/>
      </w:pPr>
      <w:bookmarkStart w:id="1134" w:name="__RefHeading___Toc2531567_1468164448"/>
      <w:bookmarkStart w:id="1135" w:name="_Toc439"/>
      <w:bookmarkEnd w:id="1134"/>
      <w:r>
        <w:rPr>
          <w:rtl w:val="true"/>
        </w:rPr>
        <w:t>بند دوم</w:t>
      </w:r>
      <w:r>
        <w:rPr>
          <w:rtl w:val="true"/>
        </w:rPr>
        <w:t xml:space="preserve">: </w:t>
      </w:r>
      <w:r>
        <w:rPr>
          <w:rtl w:val="true"/>
        </w:rPr>
        <w:t>ادلّۀ دالّ بر تفصیل</w:t>
      </w:r>
      <w:bookmarkEnd w:id="1135"/>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در بحث خنزیر از برخی روایات استفاده می‌شود که بین بایع مسلمان و بایع ذمّی،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را اجمالاً مرور می‌کنیم، هرچند که سند</w:t>
      </w:r>
    </w:p>
    <w:p>
      <w:pPr>
        <w:pStyle w:val="BookText"/>
        <w:rPr/>
      </w:pPr>
      <w:r>
        <w:rPr>
          <w:rFonts w:ascii="IRNazanin" w:hAnsi="IRNazanin" w:eastAsia="IRNazanin"/>
          <w:color w:val="111111"/>
          <w:sz w:val="28"/>
          <w:sz w:val="28"/>
          <w:szCs w:val="28"/>
          <w:rtl w:val="true"/>
          <w:lang w:bidi="fa-IR"/>
        </w:rPr>
        <w:t>آنها را در مباحث مربوط به بیع خنزیر، به طور مفصّل بررسی کردیم</w:t>
      </w:r>
      <w:r>
        <w:rPr>
          <w:rFonts w:eastAsia="IRNazanin" w:cs="IRNazanin"/>
          <w:color w:val="111111"/>
          <w:sz w:val="28"/>
          <w:szCs w:val="28"/>
          <w:rtl w:val="true"/>
          <w:lang w:bidi="fa-IR"/>
        </w:rPr>
        <w:t>.</w:t>
      </w:r>
      <w:r>
        <w:rPr>
          <w:rStyle w:val="FootnoteAnchor"/>
          <w:rtl w:val="true"/>
        </w:rPr>
        <w:footnoteReference w:id="95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نخست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ابراهیم،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ابن أبی نجران،</w:t>
      </w:r>
      <w:r>
        <w:rPr>
          <w:rStyle w:val="FootnoteAnchor"/>
          <w:rtl w:val="true"/>
        </w:rPr>
        <w:footnoteReference w:id="957"/>
      </w:r>
      <w:r>
        <w:rPr>
          <w:rFonts w:ascii="Amiri" w:hAnsi="Amiri" w:eastAsia="Amiri" w:cs="Amiri"/>
          <w:color w:val="111111"/>
          <w:sz w:val="28"/>
          <w:sz w:val="28"/>
          <w:szCs w:val="28"/>
          <w:rtl w:val="true"/>
          <w:lang w:bidi="ar-SA"/>
        </w:rPr>
        <w:t>عن محمّد بن مُسکان،</w:t>
      </w:r>
      <w:r>
        <w:rPr>
          <w:rStyle w:val="FootnoteAnchor"/>
          <w:rtl w:val="true"/>
        </w:rPr>
        <w:footnoteReference w:id="958"/>
      </w:r>
      <w:r>
        <w:rPr>
          <w:rFonts w:ascii="IRNazanin" w:hAnsi="IRNazanin" w:eastAsia="IRNazanin"/>
          <w:color w:val="111111"/>
          <w:sz w:val="28"/>
          <w:sz w:val="28"/>
          <w:szCs w:val="28"/>
          <w:rtl w:val="true"/>
          <w:lang w:bidi="fa-IR"/>
        </w:rPr>
        <w:t>عن معاویة بن</w:t>
      </w:r>
    </w:p>
    <w:p>
      <w:pPr>
        <w:pStyle w:val="BookText"/>
        <w:rPr/>
      </w:pPr>
      <w:r>
        <w:rPr>
          <w:rFonts w:ascii="Amiri" w:hAnsi="Amiri" w:eastAsia="Amiri" w:cs="Amiri"/>
          <w:color w:val="111111"/>
          <w:sz w:val="28"/>
          <w:sz w:val="28"/>
          <w:szCs w:val="28"/>
          <w:rtl w:val="true"/>
          <w:lang w:bidi="ar-SA"/>
        </w:rPr>
        <w:t>سعید،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نَصرانی أسلَمَ وَ عِندَهُ خَمرٌ وَ خَنازیرُ، وَ عَلَیهِ دَینٌ، هَل یَبیعُ خَمرَهُ وَ خَنازیرَهُ وَ یَقضی دَینَهُ؟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959"/>
      </w:r>
      <w:r>
        <w:rPr>
          <w:rFonts w:ascii="IRNazanin" w:hAnsi="IRNazanin" w:eastAsia="IRNazanin"/>
          <w:color w:val="111111"/>
          <w:sz w:val="28"/>
          <w:sz w:val="28"/>
          <w:szCs w:val="28"/>
          <w:rtl w:val="true"/>
          <w:lang w:bidi="fa-IR"/>
        </w:rPr>
        <w:t>معاویة بن سعید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هشتم علیه السلام سؤال کردم یک مسیحی که مسلمان شده و دارای مقداری خمر و تعدادی خوک است و بدهکاری هم دارد، آیا می‌تواند خمر و خوک خود را بفروشد و دینش را بپردازد یا نه؟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ذهن سائل این بوده است که اگر این مسیحی، مسلمان نشده بود، می‌توانست خمر و خوک را بفروشد و دینش را بپردازد؛ امّا اکنون که اسلام آورده است، حکم او چیست؟ از این روایت نتیجه می‌گیریم که فروختن خمر و خوک در صورتی که بایع، مسلمان باشد، جایز نیست؛ ولی اگر ذمّی باشد،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یعقوب الکلینی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ابراهیم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 بن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إسمعیل بن مرّار، عن یونس، فی مَجُوسیٍّ باعَ خَمراً أو خَنازیرَ إلَی أجَلٍ مُسَمًّی، ثُمَّ أسلَمَ قَبلَ أن یَحِلَّ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دَراهِمُهُ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أسلَمَ رَجُلٌ وَلَهُ خَمرٌ وَخَنازیرُ، ثُمَّ ماتَ وَهی فی مِلکِهِ وَعَلَیهِ 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یَبیعُ دُیّانُهُ أو وَلیٌّ لَهُ غَیرُ مُسلِمٍ خَمرَهُ وَخَنازیرَهُ وَیَقضی دَینَهُ، وَلَیسَ</w:t>
      </w:r>
    </w:p>
    <w:p>
      <w:pPr>
        <w:pStyle w:val="BookText"/>
        <w:rPr/>
      </w:pPr>
      <w:r>
        <w:rPr>
          <w:rFonts w:ascii="Amiri" w:hAnsi="Amiri" w:eastAsia="Amiri" w:cs="Amiri"/>
          <w:color w:val="111111"/>
          <w:sz w:val="28"/>
          <w:sz w:val="28"/>
          <w:szCs w:val="28"/>
          <w:rtl w:val="true"/>
          <w:lang w:bidi="ar-SA"/>
        </w:rPr>
        <w:t>لَهُ أن یَبیعَهُ وَهُوَ حَیٌّ، وَلا یُمسِکَهُ؛</w:t>
      </w:r>
      <w:r>
        <w:rPr>
          <w:rStyle w:val="FootnoteAnchor"/>
          <w:rtl w:val="true"/>
        </w:rPr>
        <w:footnoteReference w:id="960"/>
      </w:r>
      <w:r>
        <w:rPr>
          <w:rFonts w:ascii="IRNazanin" w:hAnsi="IRNazanin" w:eastAsia="IRNazanin"/>
          <w:color w:val="111111"/>
          <w:sz w:val="28"/>
          <w:sz w:val="28"/>
          <w:szCs w:val="28"/>
          <w:rtl w:val="true"/>
          <w:lang w:bidi="fa-IR"/>
        </w:rPr>
        <w:t>یونس می‌گوید یک مجوسی خمر و خنزیر را به صورت نسیه فروخته است و پیش از آن که وقت گرفتن پول برسد، مسلمان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دراهم 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یونس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که خمر و خنزیر دارد، مسلمان شود و سپس بمیرد و دینی هم بر ذمّه‌اش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از او طلب‌کارند یا ولیّ او که مسلمان نیست، خمر و خنزیر را بفروشد و دینش را بدهد؛ ولی تا زمانی که این شخصِ مسلمان شده، زنده است، خودش نمی‌تواند خمر و خنزیر را بفروشد و یا آنها را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هم به خوبی دلالت دارد که بایع، نباید مسلمان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روایت موقوفه است؛ یعنی یونس آن را از امام علیه السلام نقل نکرده است، ولی یونس از اصحاب بزرگ است و از غیر امام علیه السلام چیزی نقل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عبداللّه بن جعفر فی قرب الإسناد عن عبد اللّه بن الحسن، عن جدّه علی بن الجعفر، عن أخیه موسی بن جعفر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رَجُلَینِ نَصرانیینِ، باعَ أحَدُهُما خَمراً أو خِنزیراً إلَی أجَلٍ، فأسلَما قَبلَ أن یَقبِضا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یَحِلُّ لَهُما ثَمَنُهُ بَعدَ الإسلامِ؟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لَهُ الثَّمَنُ فَلا بأسَ أن یأخُذَه؛</w:t>
      </w:r>
      <w:r>
        <w:rPr>
          <w:rStyle w:val="FootnoteAnchor"/>
          <w:rtl w:val="true"/>
        </w:rPr>
        <w:footnoteReference w:id="961"/>
      </w:r>
      <w:r>
        <w:rPr>
          <w:rFonts w:ascii="IRNazanin" w:hAnsi="IRNazanin" w:eastAsia="IRNazanin"/>
          <w:color w:val="111111"/>
          <w:sz w:val="28"/>
          <w:sz w:val="28"/>
          <w:szCs w:val="28"/>
          <w:rtl w:val="true"/>
          <w:lang w:bidi="fa-IR"/>
        </w:rPr>
        <w:t>علی بن جعفر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 که دو مرد نصرانی خمر و خنزیر را به صورت نسیه فروخته‌اند، ولی پیش از گرفتن ثمن، هر دو مسلمان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اسلام، پول آن خمر و خنزیر برای آنان، حلال است؟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ثمن مال اوست؛ پس اشکالی ندارد آن را بگیرد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نیز روشن است که در ذهن سائل این بوده است که اگر آن دو نفر، اسلام</w:t>
      </w:r>
    </w:p>
    <w:p>
      <w:pPr>
        <w:pStyle w:val="BookText"/>
        <w:rPr/>
      </w:pPr>
      <w:r>
        <w:rPr>
          <w:rFonts w:ascii="IRNazanin" w:hAnsi="IRNazanin" w:eastAsia="IRNazanin"/>
          <w:color w:val="111111"/>
          <w:sz w:val="28"/>
          <w:sz w:val="28"/>
          <w:szCs w:val="28"/>
          <w:rtl w:val="true"/>
          <w:lang w:bidi="fa-IR"/>
        </w:rPr>
        <w:t>نیاورده بودند، خرید و فروش خمر برای آنان اشکالی نداشت؛ ولی اکنون که مسلمان شده‌اند، نمی‌توانند خمر و خنزیر را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می‌گوید قبل از اسلام خمر و خنزیر را فروخته‌اند، ولی قبل از این که ثمن را دریافت کنند، مسلمان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اکنون می‌توانند ثمنش را بگیرند یا نه؟ امام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می‌توانند ثمن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حدیث، سند صحیحی ندارد و صاحب وسائل قدس سره آن را از قرب الإسناد، نقل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مُحَمَّدُ بنُ أحمَدَ بنِ یَحیَی عَن أحمَدَ بنِ الحَسَنِ عَن عَمرِو بنِ سَعیدٍ عَن مُصَدِّقِ بنِ صَدَقَةَ عَن عَمّارِ بنِ مُوسَی عَن أبی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رَجُلَینِ نَصرانیینِ باعَ أحَدُهُما مِن صاحِبِهِ خَمراً أو خَنازیرَ، ثُمَّ أسلَما قَبلَ أن یَقبِضَ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تَحِلُّ لَهُ الدَّراهِمُ؟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Style w:val="FootnoteAnchor"/>
          <w:rtl w:val="true"/>
        </w:rPr>
        <w:footnoteReference w:id="962"/>
      </w:r>
      <w:r>
        <w:rPr>
          <w:rFonts w:ascii="IRNazanin" w:hAnsi="IRNazanin" w:eastAsia="IRNazanin"/>
          <w:color w:val="111111"/>
          <w:sz w:val="28"/>
          <w:sz w:val="28"/>
          <w:szCs w:val="28"/>
          <w:rtl w:val="true"/>
          <w:lang w:bidi="fa-IR"/>
        </w:rPr>
        <w:t>از امام صادق علیه السلام سؤال شد که میان دو مرد نصرانی خرید و فروش خمر یا خنزیر، صورت گرفته است، ولی هر دوی آنها قبل از قبض دراهم، اسلام آورده‌اند؛ آیا دراهم برای آنان حلال است؟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معروف است به موثّقۀ عمّار ساباطی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یحیی، عن أحمد بن محمّد، عن ابن فضّال، عن یونس بن یعقوب، عن منصور،</w:t>
      </w:r>
      <w:r>
        <w:rPr>
          <w:rStyle w:val="FootnoteAnchor"/>
          <w:rtl w:val="true"/>
        </w:rPr>
        <w:footnoteReference w:id="9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 عَلَی رَجُلٍ ذمّی دَراهِمُ</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فَیَبیعُ الخَمرَ وَ الخِنزیرَ وَ أنا حاضِرٌ فَیَحِلُّ لی أخذُها؟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لَکَ عَلَیهِ دَراهِمُ فَقَضاکَ دَراهِمَکَ؛</w:t>
      </w:r>
      <w:r>
        <w:rPr>
          <w:rStyle w:val="FootnoteAnchor"/>
          <w:rtl w:val="true"/>
        </w:rPr>
        <w:footnoteReference w:id="964"/>
      </w:r>
      <w:r>
        <w:rPr>
          <w:rFonts w:ascii="IRNazanin" w:hAnsi="IRNazanin" w:eastAsia="IRNazanin"/>
          <w:color w:val="111111"/>
          <w:sz w:val="28"/>
          <w:sz w:val="28"/>
          <w:szCs w:val="28"/>
          <w:rtl w:val="true"/>
          <w:lang w:bidi="fa-IR"/>
        </w:rPr>
        <w:t>منصور می‌گوید به امام صادق علیه السلام عرض</w:t>
      </w:r>
      <w:bookmarkStart w:id="1136" w:name="pg13785_135408"/>
    </w:p>
    <w:p>
      <w:pPr>
        <w:pStyle w:val="BookText"/>
        <w:rPr/>
      </w:pPr>
      <w:bookmarkEnd w:id="1136"/>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شخصی ذمّی طلبی دارم،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و خنزیر را می‌فروشد، آیا من می‌توانم این ثمن را از او بگیرم یا نه؟ حضرت علیه السلام می‌فرمایند تو از او پول می‌خواهی، او هم پولت 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که مرور شد، بر تفصیل میان بایع مسلمان و ذمّی، دلالت دارد؛ یعنی بایع اگر مسلمان باشد، حق ندارد خمر و خنزیر بفروشد؛ امّا اگر ذمّی باشد، می‌تواند این بیع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ذمّی بودن خصوصیت ندارد؛ بلکه از مجموع این پنج روایت استفاده می‌شود که فارق، مسلمان بودن و مسلمان نبودن است، خواه آن غیر مسلمان ذمّی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مؤیّداتی هم دارد که عبارت‌اند از این‌که در فقه اسلامی در باب اخذ جزیه از کفّار اهل ذمّه، حتّی اگر بدانیم که از طریق فروش خمر و خنزیر، پولی به دست می‌آورند و از همان پول به مسلمان‌ها جزیه می‌دهند، حاکم اسلامی می‌تواند آن پول را اخذ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دیگر این‌که در معامله با کافر، اگر بدانیم که درآمد او از راه فروش خمر و خنزیر است، معامله صحیح خواهد بود</w:t>
      </w:r>
      <w:r>
        <w:rPr>
          <w:rFonts w:eastAsia="IRNazanin" w:cs="IRNazanin"/>
          <w:color w:val="111111"/>
          <w:sz w:val="28"/>
          <w:szCs w:val="28"/>
          <w:rtl w:val="true"/>
          <w:lang w:bidi="fa-IR"/>
        </w:rPr>
        <w:t>.</w:t>
      </w:r>
      <w:r>
        <w:rPr>
          <w:rStyle w:val="FootnoteAnchor"/>
          <w:rtl w:val="true"/>
        </w:rPr>
        <w:footnoteReference w:id="965"/>
      </w:r>
    </w:p>
    <w:p>
      <w:pPr>
        <w:pStyle w:val="Heading5"/>
        <w:numPr>
          <w:ilvl w:val="4"/>
          <w:numId w:val="1"/>
        </w:numPr>
        <w:rPr/>
      </w:pPr>
      <w:bookmarkStart w:id="1137" w:name="__RefHeading___Toc2531569_1468164448"/>
      <w:bookmarkStart w:id="1138" w:name="_Toc440"/>
      <w:bookmarkEnd w:id="1137"/>
      <w:r>
        <w:rPr>
          <w:rtl w:val="true"/>
        </w:rPr>
        <w:t>بند سوم</w:t>
      </w:r>
      <w:r>
        <w:rPr>
          <w:rtl w:val="true"/>
        </w:rPr>
        <w:t xml:space="preserve">: </w:t>
      </w:r>
      <w:r>
        <w:rPr>
          <w:rtl w:val="true"/>
        </w:rPr>
        <w:t>راه جمع میان ادلّه</w:t>
      </w:r>
      <w:bookmarkEnd w:id="1138"/>
    </w:p>
    <w:p>
      <w:pPr>
        <w:pStyle w:val="Heading6"/>
        <w:numPr>
          <w:ilvl w:val="5"/>
          <w:numId w:val="1"/>
        </w:numPr>
        <w:rPr/>
      </w:pPr>
      <w:bookmarkStart w:id="1139" w:name="__RefHeading___Toc2531571_1468164448"/>
      <w:bookmarkStart w:id="1140" w:name="_Toc441"/>
      <w:bookmarkEnd w:id="1139"/>
      <w:r>
        <w:rPr>
          <w:rtl w:val="true"/>
        </w:rPr>
        <w:t>اشارة</w:t>
      </w:r>
      <w:bookmarkEnd w:id="1140"/>
    </w:p>
    <w:p>
      <w:pPr>
        <w:pStyle w:val="BookText"/>
        <w:rPr/>
      </w:pPr>
      <w:r>
        <w:rPr>
          <w:rFonts w:ascii="IRNazanin" w:hAnsi="IRNazanin" w:eastAsia="IRNazanin"/>
          <w:color w:val="111111"/>
          <w:sz w:val="28"/>
          <w:sz w:val="28"/>
          <w:szCs w:val="28"/>
          <w:rtl w:val="true"/>
          <w:lang w:bidi="fa-IR"/>
        </w:rPr>
        <w:t xml:space="preserve">بنا بر آنچه در بند نخست و دوم گذشت، از یک سو شاهد اطلاق آیه و روایات و همچنین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بودن کفّار به 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از سوی دیگر، روایاتی داریم که از آنها تفصیل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با این روایات، اطلاقات و قاعدۀ یاد شده را مقیّد کرد؟</w:t>
      </w:r>
    </w:p>
    <w:p>
      <w:pPr>
        <w:pStyle w:val="Heading6"/>
        <w:numPr>
          <w:ilvl w:val="5"/>
          <w:numId w:val="1"/>
        </w:numPr>
        <w:rPr/>
      </w:pPr>
      <w:bookmarkStart w:id="1141" w:name="__RefHeading___Toc2531573_1468164448"/>
      <w:bookmarkStart w:id="1142" w:name="_Toc442"/>
      <w:bookmarkEnd w:id="1141"/>
      <w:r>
        <w:rPr>
          <w:rtl w:val="true"/>
        </w:rPr>
        <w:t>الف</w:t>
      </w:r>
      <w:r>
        <w:rPr>
          <w:rtl w:val="true"/>
        </w:rPr>
        <w:t xml:space="preserve">) </w:t>
      </w:r>
      <w:r>
        <w:rPr>
          <w:rtl w:val="true"/>
        </w:rPr>
        <w:t>بیان نخست</w:t>
      </w:r>
      <w:r>
        <w:rPr>
          <w:rtl w:val="true"/>
        </w:rPr>
        <w:t xml:space="preserve">: </w:t>
      </w:r>
      <w:r>
        <w:rPr>
          <w:rtl w:val="true"/>
        </w:rPr>
        <w:t>تقیید</w:t>
      </w:r>
      <w:r>
        <w:rPr>
          <w:rtl w:val="true"/>
        </w:rPr>
        <w:t>:</w:t>
      </w:r>
      <w:bookmarkEnd w:id="1142"/>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احتمال این است که این پنج روایت را مقیّدِ اطلاقات گذشته بدانیم؛ یعنی اگرچه در برخی از روایات، پیامبر صلی الله علیه و آله بایع ومشتری خمر را لعن کرده و یا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موارد مال حرام، ثمن خمر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لیکن این پنج روایتی که مرور شد، آن روایات را تقیید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نتیجۀ جمع میان این روایات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موارد مال حرام، ثمن خمر است، مگر این‌که بایع، مسلمان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قاعدۀ اشتراک احکام میان مسلمان و کافر را تقیید بزنیم و بگوییم کفّار، مکلّف به فروع هستند، مگر در باب خمر و خنزیر؛ یعنی اگر در باب خمر و خنزیر، معامله‌ای بین دو ذمّی واقع شد، براساس روایات خاص و مقیِّد، این معامله نه حرمت تکلیفی دارد و نه حرمت 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یک نصرانی با پولی که از راه خمر به دست می‌آورد، خانه‌ای را از مسلمانی بخرد، مالک مسلمان حقّ تصرّف در آن خانه را ندارد و هیچ فقیه مسلمان و شیعه‌ای نمی‌گوید که چون پول خانه از فروش خمر به دست آمده است، معامله باطل و آن خانه در ملک مرد مسلمان، باقی 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بیان نخست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لازمۀ بیان نخست و قول به تقیید، این است که ثمن خمری که مسلمان می‌فروشد، از مصادیق سحت باشد؛ امّا ثمن خمری که ذمّی به ذمّی می‌فروشد، عنوان سحت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بایع و مشتری خمر، نصرانی باشند، مشمول لعن پیامبر صلی الله علیه و آله نیستند؛ ولی اگر هر دو مسلمان باشند، مشمول لعن پیامبرند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به این معناست که مسلمان از ذمّی، بدتر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تعبیر فقها، أسوء حالاً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 این‌که روایت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أکلِ السُّحتِ ثمنُ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قابل تخصیص نیست؛ زیرا اگرچه مسئلۀ معاملات، یک مسئلۀ اعتباری است و چه بسا شارع در موردی بطلان و در موردی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ظاهر شبیه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را اعتبار کند، امّا تعبیرهایی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أکل السُّحتِ، ثمنُ الخمر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قضایای حقیقیه‌اند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می‌توان با این پنج روایت، مقیّد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دخالت مسلمان بودن در ملاک احکام</w:t>
      </w:r>
    </w:p>
    <w:p>
      <w:pPr>
        <w:pStyle w:val="BookText"/>
        <w:rPr/>
      </w:pPr>
      <w:r>
        <w:rPr>
          <w:rFonts w:ascii="IRNazanin" w:hAnsi="IRNazanin" w:eastAsia="IRNazanin"/>
          <w:color w:val="111111"/>
          <w:sz w:val="28"/>
          <w:sz w:val="28"/>
          <w:szCs w:val="28"/>
          <w:rtl w:val="true"/>
          <w:lang w:bidi="fa-IR"/>
        </w:rPr>
        <w:t xml:space="preserve">اکنون این پرسش مطرح می‌شود که آیا اصلاً در مقام ثبوت، شارع می‌تواند در عنوان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و آن را مقیّد به اسلام کند؟ بویژه آن‌که در ادامۀ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اُجور الفواجر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ذکر شده است؛ یعنی می‌فرماید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أکلِ السُّحت ثمنُ الخمر و أُجورُ الفواجر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أُجورُ الفواجر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عنوان سحت دارد، خواه آن فاجر مسلمان باشد یا غیر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در مورد خمر، این حکم را به مسلمانان مقیّد کرده است؛ ولی در مورد اجرت فاحشه، این حکم، مطلق است؟</w:t>
      </w:r>
    </w:p>
    <w:p>
      <w:pPr>
        <w:pStyle w:val="BookText"/>
        <w:rPr/>
      </w:pPr>
      <w:r>
        <w:rPr>
          <w:rFonts w:ascii="IRNazanin" w:hAnsi="IRNazanin" w:eastAsia="IRNazanin"/>
          <w:color w:val="111111"/>
          <w:sz w:val="28"/>
          <w:sz w:val="28"/>
          <w:szCs w:val="28"/>
          <w:rtl w:val="true"/>
          <w:lang w:bidi="fa-IR"/>
        </w:rPr>
        <w:t>ظاهر این است که در مقام ثبوت، برای شارع تصرّف در عنوان ممکن نیست و نمی‌تواند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بایع خمر مسلمان باشد، ثمن آن سحت است؛ امّا اگر بایعش کافر ذمّی یا اصلاً کافر غیر ذمّی یا مشرک باشد، ثمن آن سحت نیست؛ زیرا اگر مالی در واقع عنوان سحت دارد، فرقی ندارد که بایع آن مسلمان باشد یا غیر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التزام به باوری جز این، مستلزم این است که بگوییم شارع مثلاً در باب نجاسات می‌تواند پس از تشریع نجاست دم و یا خمر، تفصیل قائل شود، یا مثلاً در همین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مورد خمر و ازلام و انصاب وارد شده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در خمر تصرّف کند رجس است، ولی اگر غیر مسلمان در آن تصرّف کند رجس نیست، حال آن‌که چنین التزامی قطعاً باطل است؛ زیرا احکام را تابع ملاکات می‌دانیم و لازمۀ باور به این‌که احکام تابع ملاکات‌اند، این است که نمی‌توان گفت این ملاک، در مورد مسلمان وجود دارد و در غیر مسلمان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خمر، قمار، انصاب و ازلام را به ملاک رجسیت تحریم کرده است، این ملاک، ملاک همیشگی و کلّی است و فرقی میان مسلمان و غیر مسلمان نیست</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حکم تکلیفی، مسئله روشن است و از این رو، اگر خمر رجس باشد، خوردنش، هم برای مسلمان حرام است و هم برای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مسلمان بودن در ملاکات احکام دخالتی ندارد؛ ولی ممکن است در برخی از احکام وضعی، مسلمان</w:t>
      </w:r>
      <w:bookmarkStart w:id="1143" w:name="pg13785_135411"/>
    </w:p>
    <w:p>
      <w:pPr>
        <w:pStyle w:val="BookText"/>
        <w:rPr/>
      </w:pPr>
      <w:bookmarkEnd w:id="1143"/>
      <w:r>
        <w:rPr>
          <w:rFonts w:ascii="IRNazanin" w:hAnsi="IRNazanin" w:eastAsia="IRNazanin"/>
          <w:color w:val="111111"/>
          <w:sz w:val="28"/>
          <w:sz w:val="28"/>
          <w:szCs w:val="28"/>
          <w:rtl w:val="true"/>
          <w:lang w:bidi="fa-IR"/>
        </w:rPr>
        <w:t>بودن در ملاک دخالت داشته باشد، مانند این‌که صحّت ذبح، مشروط به مسلمان بودن ذابح است؛ لیکن چنین مواردی، هم نادرند و هم دلیل خاص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در مورد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أکلِ السُّحتِ ثمنُ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خود این تعبیر، کاشف از ملاک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حرام است، لیکن اشعار به ملاک هم دارد و این ملاک، هم در ثمن خمری وجود دارد که مسلمان بفروشد و هم در ثمن خمری که کافر بفروشد</w:t>
      </w:r>
      <w:r>
        <w:rPr>
          <w:rFonts w:eastAsia="IRNazanin" w:cs="IRNazanin"/>
          <w:color w:val="111111"/>
          <w:sz w:val="28"/>
          <w:szCs w:val="28"/>
          <w:rtl w:val="true"/>
          <w:lang w:bidi="fa-IR"/>
        </w:rPr>
        <w:t>.</w:t>
      </w:r>
    </w:p>
    <w:p>
      <w:pPr>
        <w:pStyle w:val="Heading6"/>
        <w:numPr>
          <w:ilvl w:val="5"/>
          <w:numId w:val="1"/>
        </w:numPr>
        <w:rPr/>
      </w:pPr>
      <w:bookmarkStart w:id="1144" w:name="__RefHeading___Toc2531575_1468164448"/>
      <w:bookmarkStart w:id="1145" w:name="_Toc443"/>
      <w:bookmarkEnd w:id="1144"/>
      <w:r>
        <w:rPr>
          <w:rtl w:val="true"/>
        </w:rPr>
        <w:t>ب</w:t>
      </w:r>
      <w:r>
        <w:rPr>
          <w:rtl w:val="true"/>
        </w:rPr>
        <w:t xml:space="preserve">) </w:t>
      </w:r>
      <w:r>
        <w:rPr>
          <w:rtl w:val="true"/>
        </w:rPr>
        <w:t>بیان دوم</w:t>
      </w:r>
      <w:r>
        <w:rPr>
          <w:rtl w:val="true"/>
        </w:rPr>
        <w:t>:</w:t>
      </w:r>
      <w:bookmarkEnd w:id="1145"/>
    </w:p>
    <w:p>
      <w:pPr>
        <w:pStyle w:val="BookText"/>
        <w:rPr/>
      </w:pPr>
      <w:r>
        <w:rPr>
          <w:rFonts w:ascii="IRNazanin" w:hAnsi="IRNazanin" w:eastAsia="IRNazanin"/>
          <w:color w:val="111111"/>
          <w:sz w:val="28"/>
          <w:sz w:val="28"/>
          <w:szCs w:val="28"/>
          <w:rtl w:val="true"/>
          <w:lang w:bidi="fa-IR"/>
        </w:rPr>
        <w:t>بیان دوم این است که در دلالت و مقیِّد بودن این پنج روایت، درنگ کنیم و ببینیم کدام یک از آنها بر جواز خرید و فروش خمر توسّط نصرانی، دلالت دارد؟</w:t>
      </w:r>
    </w:p>
    <w:p>
      <w:pPr>
        <w:pStyle w:val="BookText"/>
        <w:rPr/>
      </w:pPr>
      <w:r>
        <w:rPr>
          <w:rFonts w:ascii="IRNazanin" w:hAnsi="IRNazanin" w:eastAsia="IRNazanin"/>
          <w:color w:val="111111"/>
          <w:sz w:val="28"/>
          <w:sz w:val="28"/>
          <w:szCs w:val="28"/>
          <w:rtl w:val="true"/>
          <w:lang w:bidi="fa-IR"/>
        </w:rPr>
        <w:t>در روایت آخر، منصور می‌گوید که من از یک ذمّی طلبی دارم و او با فروختن خمر، طلب من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إنّما لک علیه دراهم، فقضاک دراهمک؛ تو از او پولی می‌خواهی و او هم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احتمال وجود دارد که امام علیه السلام از باب تسهیل بر مسلمانان، این پول را برای آنان حلال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بنای امام علیه السلام این نیست که بر معاملۀ ذمّی و فروش خمر، صحّه بگذارد؛ بلکه امام علیه السلام می‌خواهد در این‌جا تسهیلی را برای مسلمان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او پول می‌خواهی و او پولت را داده است، امّا وزر و وبال آن معامله و سحت، بر ذمّۀ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مواردی وجود دارد که پول تا زمانی که در دست شخص است، حرام و سحت است، امّا وقتی در دست امام علیه السلام قرار می‌گیرد، حلال می‌شود، مانند مال مخلوط به حرام، پس از پرداخت خمس</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نیز با توجّه به این‌که مسلمانان از صدر اسلام و بعد از آن، با مجوسی‌ها و نصرانی‌ها ارتباط داشتند، این احتمال وجود دارد که فرمایش امام علیه السلام تسهیل برای مسلمانان باشد، به این بیان که معاملۀ خمر میان دو ذمّی، باطل و ثمنش سحت است؛ امّا اگر همین ثمن را به عنوان قضای دین به مسلمانی بپردازند، امام علیه السلام از باب تسهیل، پول را برای آن مسلمان حلال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سوم نیز سخن از دو نصرانی است که یکی به دیگری، خمر فروخته است؛ ولی پیش از پرداخت و اخذ ثمن، هر دو مسلمان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نیز امام علیه السلام نمی‌فرمایند که معاملۀ آنها صحیح بوده است؛ بلکه می‌فرمایند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إنّما له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عنایت امام علیه السلام به معنای خاصّی است؛ یعنی فارغ از هر بحثی در مورد معامله و خمر، این پول مال این مرد است و ملاک آن هم تسهیل، تخفیف و احترام به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موقوفه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له دراهمه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نیز امام علیه السلام نمی‌فرمایند معامله صحیح است؛ بلکه می‌فرمایند این پول مال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بیان دوم این است که از این روایات نمی‌توان استنباط تقیید کرد و قائل شد که امام علیه السلام معاملۀ بین دو ذمّی را صحیح و معاملۀ میان مسلمانان را باطل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فرض، حتّی اگر دو ذمّی خمر را خرید وفروش کنند، باز هم عنوان سحت صادق است؛ لیکن شارع این گونه اعتبار کرده است که این ثمن تا هنگامی که در دست کافر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ثمن خمر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سحت شمرده می‌شود؛ لیکن پس از آن‌که در دست مسلمان قرار گرفت، چون عنوانش تغییر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قضای دین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ثمن خمر نیست و سحت به شمار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چنین اعتباری از سوی شارع ثبوتاً امکان دارد و شارع می‌تواند برای تسهیل و تخفیف بر مسلمین، آن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بیان، اطلاقات یاد شده در بند نخست و همچنین قاعدۀ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الکفّار مکلّفون بالفروع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تخصیص نمی‌خورند و به قوّت خود باقی‌اند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مؤیّد بیان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تأیید بیان و راه دوم، می‌توان به صحیحۀ محمّد بن مسلم، استناد کرد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یَعقُوبَ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الکلینی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بنِ إبراهیمَ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ابراهیم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عیسَی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w:t>
      </w:r>
      <w:bookmarkStart w:id="1146" w:name="pg13785_135413"/>
    </w:p>
    <w:p>
      <w:pPr>
        <w:pStyle w:val="BookText"/>
        <w:rPr/>
      </w:pPr>
      <w:bookmarkEnd w:id="1146"/>
      <w:r>
        <w:rPr>
          <w:rFonts w:ascii="Amiri" w:hAnsi="Amiri" w:eastAsia="Amiri" w:cs="Amiri"/>
          <w:color w:val="111111"/>
          <w:sz w:val="28"/>
          <w:sz w:val="28"/>
          <w:szCs w:val="28"/>
          <w:rtl w:val="true"/>
          <w:lang w:bidi="ar-SA"/>
        </w:rPr>
        <w:t>أبا عَبدِاللّه علیه السلام عَن صَدَقاتِ أهلِ الذِّمَّةِ وَ ما یُؤخَذُ مِن جِزیَتِهِم، مِن ثَمَنِ خُمُورِهِم وَ خَنازیرِهِم وَ مَیتَتِهِم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الجِزیَةُ فی أموالِهِم، تُؤخَذُ مِن ثَمَنِ لَحمِ الخِنزیرِ أو خَمرٍ، فَکُلُّ ما أخَذُوا مِنهُم مِن ذَلِکَ فَوِزرُ ذَلِکَ عَلَیهِم، وَ ثَمَنُهُ لِلمُسلِمینَ حَلالٌ یأخُذُونَهُ فی جِزیَتِهِم</w:t>
      </w:r>
      <w:r>
        <w:rPr>
          <w:rFonts w:eastAsia="Amiri" w:cs="Amiri" w:ascii="Amiri" w:hAnsi="Amiri"/>
          <w:color w:val="111111"/>
          <w:sz w:val="28"/>
          <w:szCs w:val="28"/>
          <w:rtl w:val="true"/>
          <w:lang w:bidi="ar-SA"/>
        </w:rPr>
        <w:t>.</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محمّد بن مسلم در مورد پولی که اهل ذمّه از طریق فروش خمر و خنزیر و مانند اینها به دست می‌آورند و از همان پول، جزیه پرداخت می‌کنند و یا صدقاتی به فقیران می‌دهند، از امام صادق علیه السلام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ثمنی که اهل ذمّه در مقابل خمر وخنزیر می‌گیرند، گناهش بر عهدۀ خودشان است؛ امّا پولی که به مسلمانان می‌دهند، برای مسلمانان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حرمت تکلیفی و وضعی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خمر را می‌فروشد، هم حرام تکلیفی مرتکب شده است و هم حرام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کاملاً روشن است که پول خمر برای اهل ذمّه، سحت است؛ امّا وقتی آن را به مسلمانان دادند، برای ایشان سحت نیست و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ممکن است دفع مالی برای شخصی واجب باشد، حال آن‌که بر دیگری اخذ همان مال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زید یقین دارد که پولی را به عمرو بدهکار است، بر او واجب است که پول را بپردازد؛ لیکن اگر عمرو یقین دارد که قبلاً دینش را از زید پس گرفته است، گرفتن این پول برای او حرام است</w:t>
      </w:r>
      <w:r>
        <w:rPr>
          <w:rFonts w:eastAsia="IRNazanin" w:cs="IRNazanin"/>
          <w:color w:val="111111"/>
          <w:sz w:val="28"/>
          <w:szCs w:val="28"/>
          <w:rtl w:val="true"/>
          <w:lang w:bidi="fa-IR"/>
        </w:rPr>
        <w:t>.</w:t>
      </w:r>
    </w:p>
    <w:p>
      <w:pPr>
        <w:pStyle w:val="Heading6"/>
        <w:numPr>
          <w:ilvl w:val="5"/>
          <w:numId w:val="1"/>
        </w:numPr>
        <w:rPr/>
      </w:pPr>
      <w:bookmarkStart w:id="1147" w:name="__RefHeading___Toc2531577_1468164448"/>
      <w:bookmarkStart w:id="1148" w:name="_Toc444"/>
      <w:bookmarkEnd w:id="1147"/>
      <w:r>
        <w:rPr>
          <w:rtl w:val="true"/>
        </w:rPr>
        <w:t>ج</w:t>
      </w:r>
      <w:r>
        <w:rPr>
          <w:rtl w:val="true"/>
        </w:rPr>
        <w:t xml:space="preserve">) </w:t>
      </w:r>
      <w:r>
        <w:rPr>
          <w:rtl w:val="true"/>
        </w:rPr>
        <w:t>بیان سوم</w:t>
      </w:r>
      <w:r>
        <w:rPr>
          <w:rtl w:val="true"/>
        </w:rPr>
        <w:t>:</w:t>
      </w:r>
      <w:bookmarkEnd w:id="1148"/>
    </w:p>
    <w:p>
      <w:pPr>
        <w:pStyle w:val="BookText"/>
        <w:rPr/>
      </w:pPr>
      <w:r>
        <w:rPr>
          <w:rFonts w:ascii="IRNazanin" w:hAnsi="IRNazanin" w:eastAsia="IRNazanin"/>
          <w:color w:val="111111"/>
          <w:sz w:val="28"/>
          <w:sz w:val="28"/>
          <w:szCs w:val="28"/>
          <w:rtl w:val="true"/>
          <w:lang w:bidi="fa-IR"/>
        </w:rPr>
        <w:t>احتمال سومی را نیز می‌توان در نظر گرفت و آن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پنج روایت فقط حکم وضعی، و از این روایت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وزر ذلک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حکم تکلیفی استفاده می‌شود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دو کافر ذمّی، خرید و فروش خمر را انجام دهند، فقط مرتکب حرام تکلیفی</w:t>
      </w:r>
      <w:bookmarkStart w:id="1149" w:name="pg13785_135414"/>
    </w:p>
    <w:p>
      <w:pPr>
        <w:pStyle w:val="BookText"/>
        <w:rPr/>
      </w:pPr>
      <w:bookmarkEnd w:id="1149"/>
      <w:r>
        <w:rPr>
          <w:rFonts w:ascii="IRNazanin" w:hAnsi="IRNazanin" w:eastAsia="IRNazanin"/>
          <w:color w:val="111111"/>
          <w:sz w:val="28"/>
          <w:sz w:val="28"/>
          <w:szCs w:val="28"/>
          <w:rtl w:val="true"/>
          <w:lang w:bidi="fa-IR"/>
        </w:rPr>
        <w:t>شده‌اند، نه حرام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معاملۀ ایشان حرام است ولی باطل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ثمن آن سحت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 مال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می‌توانند در آن تصرّف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این احتمال نیز صحیح نیست</w:t>
      </w:r>
      <w:r>
        <w:rPr>
          <w:rFonts w:eastAsia="IRNazanin" w:cs="IRNazanin"/>
          <w:color w:val="111111"/>
          <w:sz w:val="28"/>
          <w:szCs w:val="28"/>
          <w:rtl w:val="true"/>
          <w:lang w:bidi="fa-IR"/>
        </w:rPr>
        <w:t>.</w:t>
      </w:r>
    </w:p>
    <w:p>
      <w:pPr>
        <w:pStyle w:val="Heading4"/>
        <w:numPr>
          <w:ilvl w:val="3"/>
          <w:numId w:val="1"/>
        </w:numPr>
        <w:rPr/>
      </w:pPr>
      <w:bookmarkStart w:id="1150" w:name="__RefHeading___Toc2531579_1468164448"/>
      <w:bookmarkStart w:id="1151" w:name="_Toc445"/>
      <w:bookmarkEnd w:id="1150"/>
      <w:r>
        <w:rPr>
          <w:rtl w:val="true"/>
        </w:rPr>
        <w:t>گفتار هفتم</w:t>
      </w:r>
      <w:r>
        <w:rPr>
          <w:rtl w:val="true"/>
        </w:rPr>
        <w:t xml:space="preserve">: </w:t>
      </w:r>
      <w:r>
        <w:rPr>
          <w:rtl w:val="true"/>
        </w:rPr>
        <w:t>فروختن خمر به غیرمسلمان</w:t>
      </w:r>
      <w:bookmarkEnd w:id="1151"/>
    </w:p>
    <w:p>
      <w:pPr>
        <w:pStyle w:val="BookText"/>
        <w:rPr/>
      </w:pPr>
      <w:r>
        <w:rPr>
          <w:rFonts w:ascii="IRNazanin" w:hAnsi="IRNazanin" w:eastAsia="IRNazanin"/>
          <w:color w:val="111111"/>
          <w:sz w:val="28"/>
          <w:sz w:val="28"/>
          <w:szCs w:val="28"/>
          <w:rtl w:val="true"/>
          <w:lang w:bidi="fa-IR"/>
        </w:rPr>
        <w:t>پس از آن‌که حکم فروختن خمر به غیر قصد اسکار و برای منافع حلال، روشن شد، نوبت این بحث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مسلمان می‌تواند خمر را به غیر مسلمان بفروشد؟</w:t>
      </w:r>
    </w:p>
    <w:p>
      <w:pPr>
        <w:pStyle w:val="BookText"/>
        <w:rPr/>
      </w:pPr>
      <w:r>
        <w:rPr>
          <w:rFonts w:ascii="IRNazanin" w:hAnsi="IRNazanin" w:eastAsia="IRNazanin"/>
          <w:color w:val="111111"/>
          <w:sz w:val="28"/>
          <w:sz w:val="28"/>
          <w:szCs w:val="28"/>
          <w:rtl w:val="true"/>
          <w:lang w:bidi="fa-IR"/>
        </w:rPr>
        <w:t>پیش از این، در مبحث مربوط به مردار، بحثی بود که فروش مردار به کسانی که خوردن آن را حلال می‌دانند، جایز است یا خیر؟ در آن بحث پس از ذکر چند روایت، بیان شد که فروختن مردار به کسی که آن را حلال می‌داند،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تذکّر نیز گذشت که با فرض پذیرش سند و دلالت، این روایات فقط در خصوص مردار استفاده می‌شوند و هرگز صحیح نیست که از آنها الغای خصوصیّت کنیم و با استناد به آنها، در باب خمر یا غیر خمر نیز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خمر به کسی که آن را حلال می‌شمارد، مانعی ندارد</w:t>
      </w:r>
      <w:r>
        <w:rPr>
          <w:rFonts w:eastAsia="IRNazanin" w:cs="IRNazanin"/>
          <w:color w:val="111111"/>
          <w:sz w:val="28"/>
          <w:szCs w:val="28"/>
          <w:rtl w:val="true"/>
          <w:lang w:bidi="fa-IR"/>
        </w:rPr>
        <w:t>.</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لیکن اینک، روایت دیگری را بررسی می‌کنیم که در آن سخن از فروش متنجّس به خمر، به یهود و نصاری است</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یَعقُوبَ بنِ یَزیدَ عَنِ الحَسَنِ بنِ المُبارَکِ عَن زَکَریا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قَطرَةِ خَمرٍ أو نَبیذٍ مُسکِرٍ قَطَرَت فی قِدرٍ فیهِ لَحمٌ کَثیرٌ وَ مَرَقٌ کَثیرٌ،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یُهَراقُ المَرَقُ أو یُطعِمُهُ أهلَ الذِّمَّةِ أوِ الکَلبَ، وَ اللَّحمَ اغسِلهُ وَ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قَطَرَ فیهِ الدَّمُ،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تأکُلُهُ النّارُ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فَخَمرٌ أو نَبیذٌ قَطَرَ فی عَجینٍ أو 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أبیعُهُ مِنَ الیَهُودِ</w:t>
      </w:r>
    </w:p>
    <w:p>
      <w:pPr>
        <w:pStyle w:val="BookText"/>
        <w:rPr/>
      </w:pPr>
      <w:r>
        <w:rPr>
          <w:rFonts w:ascii="Amiri" w:hAnsi="Amiri" w:eastAsia="Amiri" w:cs="Amiri"/>
          <w:color w:val="111111"/>
          <w:sz w:val="28"/>
          <w:sz w:val="28"/>
          <w:szCs w:val="28"/>
          <w:rtl w:val="true"/>
          <w:lang w:bidi="ar-SA"/>
        </w:rPr>
        <w:t>وَالنَّصارَی وَ أُبَیِّنُ لَهُم؟ فإنَّهُم یَستَحِلُّونَ 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968"/>
      </w:r>
      <w:r>
        <w:rPr>
          <w:rFonts w:ascii="IRNazanin" w:hAnsi="IRNazanin" w:eastAsia="IRNazanin"/>
          <w:color w:val="111111"/>
          <w:sz w:val="28"/>
          <w:sz w:val="28"/>
          <w:szCs w:val="28"/>
          <w:rtl w:val="true"/>
          <w:lang w:bidi="fa-IR"/>
        </w:rPr>
        <w:t>زکریّا بن آدم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سؤال کردم که اگر در دیگی که در آن مقدار زیادی آب و گوشت است، یک قطره خمر یا نبیذ مسکر افتاد، چه باید کرد؟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 باید دور بریزید و یا آن را به اهل ذمّه و یا به سگی بدهید، سپس گوشت را بشویید و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قطره خون در آن بیفتد چطور؟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قطره خون در این مرق بیفتد، اشکالی ندارد، چون ان شاء اللّه آتش خون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سؤال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خمر یا نبیذ در مقداری خمیر افتاده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خمیری که برای خوردن استفاده شود، مثل خمیر 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می‌توانم آن را به یهود و نصرانی‌ها بفروشم و جریان را به آنها بگویم؟ آنان، شرب آن را حلال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چون یهودی و نصرانی، خوردن این مرق یا عجینی که با خمر یا نبیذ مخلوط شده است را جایز و حلال می‌دانند، بیعش به ایشان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در 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بحث دربارۀ بیع متنجّس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بررسی خواهد شد؛ ولی با توجّه به این‌که ذیل روایت مربوط به خمر است، مناسب است که در این‌جا نیز آن را بررسی کنیم تا ببینیم که آیا می‌توان از آن، جواز فروش خمر به یهودی و نصرانی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شرب خمر را حلال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استنباط کرد؟</w:t>
      </w:r>
    </w:p>
    <w:p>
      <w:pPr>
        <w:pStyle w:val="BookText"/>
        <w:rPr/>
      </w:pPr>
      <w:r>
        <w:rPr>
          <w:rFonts w:ascii="IRNazanin" w:hAnsi="IRNazanin" w:eastAsia="IRNazanin"/>
          <w:color w:val="111111"/>
          <w:sz w:val="28"/>
          <w:sz w:val="28"/>
          <w:szCs w:val="28"/>
          <w:rtl w:val="true"/>
          <w:lang w:bidi="fa-IR"/>
        </w:rPr>
        <w:t xml:space="preserve">در این روایت مشاهده می‌شود که امام علیه السلام پس از آن که فروش خمیر متنجّس به خمر را به خریدار یهودی و نصرانی اجازه فرمودند، این گونه دلیل می‌آورند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یستحلّون شربه؛ اینها شرب خمر را حلال می‌دانند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 اخیر مطرح شد که فروش خمر، بین خود یهود و نصرانی‌ها قطعاً مانعی ندارد؛ یعنی فقها تصریح دارند که اگر یک یهودی به یهودی دیگر، خمری فروخت و پولی را دریافت کرد و سپس شخص مسلمانی کالایی را به آن یهودی</w:t>
      </w:r>
    </w:p>
    <w:p>
      <w:pPr>
        <w:pStyle w:val="BookText"/>
        <w:rPr/>
      </w:pPr>
      <w:r>
        <w:rPr>
          <w:rFonts w:ascii="IRNazanin" w:hAnsi="IRNazanin" w:eastAsia="IRNazanin"/>
          <w:color w:val="111111"/>
          <w:sz w:val="28"/>
          <w:sz w:val="28"/>
          <w:szCs w:val="28"/>
          <w:rtl w:val="true"/>
          <w:lang w:bidi="fa-IR"/>
        </w:rPr>
        <w:t>فروخت و در برابر آن، همان پولی را گرفت که آن یهودی در مقابل خمر گرفته است، این معامله صحیح است و دریافت این پول توسّط آن مسلمان،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دیدگاه، روایات معارضی نیز وجود داشت، نظیر روایت نبوی صلی الله علیه و آله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رَسُولُ اللّه صلی الله علیه و آله الخَمرَ وَ عاصِرَها وَ مُعتَصِرَها وَ بائِعَها وَ مُشتَریها</w:t>
      </w:r>
      <w:r>
        <w:rPr>
          <w:rFonts w:eastAsia="Amiri" w:cs="Amiri" w:ascii="Amiri" w:hAnsi="Amiri"/>
          <w:color w:val="111111"/>
          <w:sz w:val="28"/>
          <w:szCs w:val="28"/>
          <w:rtl w:val="true"/>
          <w:lang w:bidi="ar-SA"/>
        </w:rPr>
        <w:t>.</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پس از بررسی این روایات، گفته شد که حتّی اگر اطلاق سخن پیامبر صلی الله علیه و آله شامل بایع و مشتری غیر مسلمان هم باشد، این روایات توسّط روایات دیگر تقیید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در مورد روایت زکریّا بن آدم، سؤال این است که آیا از عبارت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فإنّهم یستحلّون 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استنباط کرد که امام علیه السلام این عبارت را به منزلۀ تعلیل فرموده‌اند؟ آیا نتیجۀ استنباط این نیست که مسلمان بتواند خمر را به یهودی و نصرانی بفروشد؟</w:t>
      </w:r>
    </w:p>
    <w:p>
      <w:pPr>
        <w:pStyle w:val="BookText"/>
        <w:rPr/>
      </w:pPr>
      <w:r>
        <w:rPr>
          <w:rFonts w:ascii="IRNazanin" w:hAnsi="IRNazanin" w:eastAsia="IRNazanin"/>
          <w:color w:val="111111"/>
          <w:sz w:val="28"/>
          <w:sz w:val="28"/>
          <w:szCs w:val="28"/>
          <w:rtl w:val="true"/>
          <w:lang w:bidi="fa-IR"/>
        </w:rPr>
        <w:t>فتاوای فقها بر خلاف این است؛ یعنی هرچند این روایت و این تعلیل وجود دارد، لیکن فقها فتوا داده‌اند که همان‌گونه که فروش خمر به مسلمان دیگر جایز نیست، فروش آن به غیر مسلمان هم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علّت این فتوا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نخست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فقها این روایت را دیده‌اند و از این روایت و تعلیل وارد در آن، اعراض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این روایت و تعلیل موجود در آن، قابلیت استناد برای فتوا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اصلاً امام علیه السلام با عبارت </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فإنّهم یستحلّون 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تعلیل نبوده‌اند؛ بلکه در مقام بیان یکی از غایات فروش این خمیر متنجّس بوده‌اند؛ یعنی مقصود حضرت علیه السلام این است که اگر این خمیر متنجّس را به اهل ذمّه فروختید، چون</w:t>
      </w:r>
    </w:p>
    <w:p>
      <w:pPr>
        <w:pStyle w:val="BookText"/>
        <w:rPr/>
      </w:pPr>
      <w:r>
        <w:rPr>
          <w:rFonts w:ascii="IRNazanin" w:hAnsi="IRNazanin" w:eastAsia="IRNazanin"/>
          <w:color w:val="111111"/>
          <w:sz w:val="28"/>
          <w:sz w:val="28"/>
          <w:szCs w:val="28"/>
          <w:rtl w:val="true"/>
          <w:lang w:bidi="fa-IR"/>
        </w:rPr>
        <w:t>آنها خوردنش را حلال می‌دانند و استفاده می‌کنند، پس این متنجّس دارای منفعتی است که مصحّح بیع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 عبارت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فإنّهم یستحلّون 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تعلیل نیست و نمی‌توان از آن الغای خصوصیت کرد و در ابواب دیگر به آن استناد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این مسئله، یکی از مسائل مورد ابتلای مسلمانان خارج از کشور است؛ زیرا در کشورهای غیر اسلامی، مسلمانی که در یک فروشگاه مواد غذایی کار می‌کند و مشروبات الکلی نیز در آن فروشگاه به فروش می‌رسد، سؤالش این است که آیا من می‌توانم به کافر، مشروب بفروشم یا خیر؟</w:t>
      </w:r>
    </w:p>
    <w:p>
      <w:pPr>
        <w:pStyle w:val="BookText"/>
        <w:rPr/>
      </w:pPr>
      <w:r>
        <w:rPr>
          <w:rFonts w:ascii="IRNazanin" w:hAnsi="IRNazanin" w:eastAsia="IRNazanin"/>
          <w:color w:val="111111"/>
          <w:sz w:val="28"/>
          <w:sz w:val="28"/>
          <w:szCs w:val="28"/>
          <w:rtl w:val="true"/>
          <w:lang w:bidi="fa-IR"/>
        </w:rPr>
        <w:t>برای پاسخ به این پرسش باید در نظر داشت که اگر مشهور فقها در مقام بحث و فتوا از این روایت اعراض نکرده باشند،</w:t>
      </w:r>
      <w:r>
        <w:rPr>
          <w:rStyle w:val="FootnoteAnchor"/>
          <w:rtl w:val="true"/>
        </w:rPr>
        <w:footnoteReference w:id="970"/>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فإنّهم یستحلّون 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اوّلی در تعلیل دارد و بنا بر این تعلیل، می‌توان نتیجه گرفت که مؤمن و مسلمان می‌تواند خمر را به کسی بفروشد که آن را حلال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فقها روایت را دیده و اعراض کرده باشند، نمی‌توان به آن استناد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پیش‌تر هم گفته شد</w:t>
      </w:r>
      <w:r>
        <w:rPr>
          <w:rStyle w:val="FootnoteAnchor"/>
          <w:rtl w:val="true"/>
        </w:rPr>
        <w:footnoteReference w:id="971"/>
      </w:r>
      <w:r>
        <w:rPr>
          <w:rFonts w:ascii="IRNazanin" w:hAnsi="IRNazanin" w:eastAsia="IRNazanin"/>
          <w:color w:val="111111"/>
          <w:sz w:val="28"/>
          <w:sz w:val="28"/>
          <w:szCs w:val="28"/>
          <w:rtl w:val="true"/>
          <w:lang w:bidi="fa-IR"/>
        </w:rPr>
        <w:t>که چون حکم، بر خلاف قاعده است، باید بر مورد متیقّن بسنده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مورد خرید و فروش شیء نجسی که قابل خوردن و آشامیدن است، فتوا این است که بیعش جایز نیست، مگر بیع مردار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بیع مردار به قصد این که از آن کود بسازند، یا به قصد این که برای طعام حیوانات استفاده کنند، قطعاً مانعی ندارد؛ امّا در مورد بیع مردار به قصد این که مشتری از آن برای خوردن استفاده کند، چند روایت متعارض وجود داشت که برخی از آنها از این بیع، نهی می‌کردند و برخی بر جواز آن دلالت داشتند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هر حال، بر فرض که در آن بحث، روایات جواز را ترجیح دهیم، از آن‌جا که</w:t>
      </w:r>
      <w:bookmarkStart w:id="1152" w:name="pg13785_135418"/>
    </w:p>
    <w:p>
      <w:pPr>
        <w:pStyle w:val="BookText"/>
        <w:rPr/>
      </w:pPr>
      <w:bookmarkEnd w:id="1152"/>
      <w:r>
        <w:rPr>
          <w:rFonts w:ascii="IRNazanin" w:hAnsi="IRNazanin" w:eastAsia="IRNazanin"/>
          <w:color w:val="111111"/>
          <w:sz w:val="28"/>
          <w:sz w:val="28"/>
          <w:szCs w:val="28"/>
          <w:rtl w:val="true"/>
          <w:lang w:bidi="fa-IR"/>
        </w:rPr>
        <w:t>این جواز بر خلاف قاعده است، باید به مورد آن بسنده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نمی‌توان از آن حکم در این‌جا که بحث دربارۀ خمر است، استفاده کرد</w:t>
      </w:r>
      <w:r>
        <w:rPr>
          <w:rFonts w:eastAsia="IRNazanin" w:cs="IRNazanin"/>
          <w:color w:val="111111"/>
          <w:sz w:val="28"/>
          <w:szCs w:val="28"/>
          <w:rtl w:val="true"/>
          <w:lang w:bidi="fa-IR"/>
        </w:rPr>
        <w:t>.</w:t>
      </w:r>
    </w:p>
    <w:p>
      <w:pPr>
        <w:pStyle w:val="Heading4"/>
        <w:numPr>
          <w:ilvl w:val="3"/>
          <w:numId w:val="1"/>
        </w:numPr>
        <w:rPr/>
      </w:pPr>
      <w:bookmarkStart w:id="1153" w:name="__RefHeading___Toc2531581_1468164448"/>
      <w:bookmarkStart w:id="1154" w:name="_Toc446"/>
      <w:bookmarkEnd w:id="1153"/>
      <w:r>
        <w:rPr>
          <w:rtl w:val="true"/>
        </w:rPr>
        <w:t>گفتار هشتم</w:t>
      </w:r>
      <w:r>
        <w:rPr>
          <w:rtl w:val="true"/>
        </w:rPr>
        <w:t xml:space="preserve">: </w:t>
      </w:r>
      <w:r>
        <w:rPr>
          <w:rtl w:val="true"/>
        </w:rPr>
        <w:t>فروش مُسکر جامد</w:t>
      </w:r>
      <w:bookmarkEnd w:id="1154"/>
    </w:p>
    <w:p>
      <w:pPr>
        <w:pStyle w:val="Heading5"/>
        <w:numPr>
          <w:ilvl w:val="4"/>
          <w:numId w:val="1"/>
        </w:numPr>
        <w:rPr/>
      </w:pPr>
      <w:bookmarkStart w:id="1155" w:name="__RefHeading___Toc2531583_1468164448"/>
      <w:bookmarkStart w:id="1156" w:name="_Toc447"/>
      <w:bookmarkEnd w:id="1155"/>
      <w:r>
        <w:rPr>
          <w:rtl w:val="true"/>
        </w:rPr>
        <w:t>اشارة</w:t>
      </w:r>
      <w:bookmarkEnd w:id="1156"/>
    </w:p>
    <w:p>
      <w:pPr>
        <w:pStyle w:val="BookText"/>
        <w:rPr/>
      </w:pPr>
      <w:r>
        <w:rPr>
          <w:rFonts w:ascii="IRNazanin" w:hAnsi="IRNazanin" w:eastAsia="IRNazanin"/>
          <w:color w:val="111111"/>
          <w:sz w:val="28"/>
          <w:sz w:val="28"/>
          <w:szCs w:val="28"/>
          <w:rtl w:val="true"/>
          <w:lang w:bidi="fa-IR"/>
        </w:rPr>
        <w:t>آخرین مطلب از این فصل، دربارۀ بیع مسکر جامد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رحمه الله در این‌جا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تکسّب به آن حرام است، هر مسکری است که مایع باشد</w:t>
      </w:r>
      <w:r>
        <w:rPr>
          <w:rFonts w:eastAsia="IRNazanin" w:cs="IRNazanin"/>
          <w:color w:val="111111"/>
          <w:sz w:val="28"/>
          <w:szCs w:val="28"/>
          <w:rtl w:val="true"/>
          <w:lang w:bidi="fa-IR"/>
        </w:rPr>
        <w:t>.</w:t>
      </w:r>
      <w:r>
        <w:rPr>
          <w:rStyle w:val="FootnoteAnchor"/>
          <w:rtl w:val="true"/>
        </w:rPr>
        <w:footnoteReference w:id="972"/>
      </w:r>
      <w:r>
        <w:rPr>
          <w:rFonts w:ascii="IRNazanin" w:hAnsi="IRNazanin" w:eastAsia="IRNazanin"/>
          <w:color w:val="111111"/>
          <w:sz w:val="28"/>
          <w:sz w:val="28"/>
          <w:szCs w:val="28"/>
          <w:rtl w:val="true"/>
          <w:lang w:bidi="fa-IR"/>
        </w:rPr>
        <w:t xml:space="preserve">آیا مقصود ایشان این است که تکسّب به مسکر جامد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تریاک و حشیش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w:t>
      </w:r>
    </w:p>
    <w:p>
      <w:p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نوع از انواع مکاسب حرام، چیزهایی است که کسب درآمد از آنها به خاطر نجاستشان، حرام است</w:t>
      </w:r>
      <w:r>
        <w:rPr>
          <w:rStyle w:val="FootnoteAnchor"/>
          <w:rtl w:val="true"/>
        </w:rPr>
        <w:footnoteReference w:id="973"/>
      </w:r>
      <w:r>
        <w:rPr>
          <w:rFonts w:ascii="IRNazanin" w:hAnsi="IRNazanin" w:eastAsia="IRNazanin"/>
          <w:color w:val="111111"/>
          <w:sz w:val="28"/>
          <w:sz w:val="28"/>
          <w:szCs w:val="28"/>
          <w:rtl w:val="true"/>
          <w:lang w:bidi="fa-IR"/>
        </w:rPr>
        <w:t xml:space="preserve">، </w:t>
      </w:r>
      <w:r>
        <w:rPr>
          <w:rStyle w:val="FootnoteAnchor"/>
          <w:rtl w:val="true"/>
        </w:rPr>
        <w:footnoteReference w:id="974"/>
      </w:r>
      <w:r>
        <w:rPr>
          <w:rFonts w:ascii="IRNazanin" w:hAnsi="IRNazanin" w:eastAsia="IRNazanin"/>
          <w:color w:val="111111"/>
          <w:sz w:val="28"/>
          <w:sz w:val="28"/>
          <w:szCs w:val="28"/>
          <w:rtl w:val="true"/>
          <w:lang w:bidi="fa-IR"/>
        </w:rPr>
        <w:t>و در میان مسکرات، تنها مسکری که نجس است، مسکر مایع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مسکر جامد عنوان نجاست را ندارد و بدین جهت، از عنوان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مناسبت با عنوان بحث است و اگر بحث دربارۀ نجاسات نبود، قطعاً شیخ رحمه الله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تکسّب به هر مسکری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وجه این که شیخ رحمه الله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این‌جا آورده است، روشن شد</w:t>
      </w:r>
      <w:r>
        <w:rPr>
          <w:rFonts w:eastAsia="IRNazanin" w:cs="IRNazanin"/>
          <w:color w:val="111111"/>
          <w:sz w:val="28"/>
          <w:szCs w:val="28"/>
          <w:rtl w:val="true"/>
          <w:lang w:bidi="fa-IR"/>
        </w:rPr>
        <w:t>.</w:t>
      </w:r>
    </w:p>
    <w:p>
      <w:pPr>
        <w:pStyle w:val="Heading5"/>
        <w:numPr>
          <w:ilvl w:val="4"/>
          <w:numId w:val="1"/>
        </w:numPr>
        <w:rPr/>
      </w:pPr>
      <w:bookmarkStart w:id="1157" w:name="__RefHeading___Toc2531585_1468164448"/>
      <w:bookmarkStart w:id="1158" w:name="_Toc448"/>
      <w:bookmarkEnd w:id="1157"/>
      <w:r>
        <w:rPr>
          <w:rtl w:val="true"/>
        </w:rPr>
        <w:t>بند نخست</w:t>
      </w:r>
      <w:r>
        <w:rPr>
          <w:rtl w:val="true"/>
        </w:rPr>
        <w:t xml:space="preserve">: </w:t>
      </w:r>
      <w:r>
        <w:rPr>
          <w:rtl w:val="true"/>
        </w:rPr>
        <w:t>تنقیح صورت مسئله</w:t>
      </w:r>
      <w:bookmarkEnd w:id="11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دانستیم که فارق اصلی بین مسکر مایع و جامد، این است که مسکر مایع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 نجاست دارد؛ امّا مسکر جامع، عنوان نجاست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مسئلۀ تکسّب به مسکر جامد،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مایحرم لإجل 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است؛ ولی بحث در</w:t>
      </w:r>
      <w:bookmarkStart w:id="1159" w:name="pg13785_135419"/>
    </w:p>
    <w:p>
      <w:pPr>
        <w:pStyle w:val="BookText"/>
        <w:rPr/>
      </w:pPr>
      <w:bookmarkEnd w:id="1159"/>
      <w:r>
        <w:rPr>
          <w:rFonts w:ascii="IRNazanin" w:hAnsi="IRNazanin" w:eastAsia="IRNazanin"/>
          <w:color w:val="111111"/>
          <w:sz w:val="28"/>
          <w:sz w:val="28"/>
          <w:szCs w:val="28"/>
          <w:rtl w:val="true"/>
          <w:lang w:bidi="fa-IR"/>
        </w:rPr>
        <w:t xml:space="preserve">این است که آیا می‌توان از ادلّه استنباط کرد که تکسّب به مسکر جامد هم به عنوان مسکر بودنش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تکسّب به 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مباحث پیشین، اثبات شد که اگر خمر به قصد اسکار فروخته شود، حرام است؛ لیکن اگر کسی خمر را بفروشد به قصد این که مشتری از آن برای ساخت سرکه یا دارو و مصارف صنعتی استفاده کند،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مسکر جامد نیز اگر به قصد منفعت حلال خرید و فروش شود، جایز است؛ ولی در این‌جا بحث دربارۀ ادلّۀ حرمت تکسّب به مسکر جامد به قصد اسکار است؛ یعنی اگر مسکر جامد، به قصد اسکار خرید و فروش شود، دلیلی بر حرمت این تکسّب داریم یا 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ممکن است حرمت تکسّب به مسکر جامد از طریق دلیل دیگری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مسئلۀ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نظر حدود دو هزار پزشک در مورد ضررهای دخانیات و مواد مخدّر، در اختیار برخی از فقها قرار گرفته است که فقها نیز به فراخور موضوع، به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این مطلب خارج از موضوع بحث فعلی است؛ چرا که در این‌جا سخن دربارۀ اثبات حرمت تکسّب به مسکر جامد نیست؛ بلکه سخن دربارۀ این است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دلیل برای حرمت باشد یا نه</w:t>
      </w:r>
      <w:r>
        <w:rPr>
          <w:rFonts w:eastAsia="IRNazanin" w:cs="IRNazanin"/>
          <w:color w:val="111111"/>
          <w:sz w:val="28"/>
          <w:szCs w:val="28"/>
          <w:rtl w:val="true"/>
          <w:lang w:bidi="fa-IR"/>
        </w:rPr>
        <w:t>.</w:t>
      </w:r>
    </w:p>
    <w:p>
      <w:pPr>
        <w:pStyle w:val="Heading5"/>
        <w:numPr>
          <w:ilvl w:val="4"/>
          <w:numId w:val="1"/>
        </w:numPr>
        <w:rPr/>
      </w:pPr>
      <w:bookmarkStart w:id="1160" w:name="__RefHeading___Toc2531587_1468164448"/>
      <w:bookmarkStart w:id="1161" w:name="_Toc449"/>
      <w:bookmarkEnd w:id="1160"/>
      <w:r>
        <w:rPr>
          <w:rtl w:val="true"/>
        </w:rPr>
        <w:t>بند دوم</w:t>
      </w:r>
      <w:r>
        <w:rPr>
          <w:rtl w:val="true"/>
        </w:rPr>
        <w:t xml:space="preserve">: </w:t>
      </w:r>
      <w:r>
        <w:rPr>
          <w:rtl w:val="true"/>
        </w:rPr>
        <w:t>بررسی ادلّه</w:t>
      </w:r>
      <w:bookmarkEnd w:id="1161"/>
    </w:p>
    <w:p>
      <w:pPr>
        <w:pStyle w:val="Heading6"/>
        <w:numPr>
          <w:ilvl w:val="5"/>
          <w:numId w:val="1"/>
        </w:numPr>
        <w:rPr/>
      </w:pPr>
      <w:bookmarkStart w:id="1162" w:name="__RefHeading___Toc2531589_1468164448"/>
      <w:bookmarkStart w:id="1163" w:name="_Toc450"/>
      <w:bookmarkEnd w:id="1162"/>
      <w:r>
        <w:rPr>
          <w:rtl w:val="true"/>
        </w:rPr>
        <w:t>اشارة</w:t>
      </w:r>
      <w:bookmarkEnd w:id="1163"/>
    </w:p>
    <w:p>
      <w:pPr>
        <w:pStyle w:val="BookText"/>
        <w:rPr/>
      </w:pPr>
      <w:r>
        <w:rPr>
          <w:rFonts w:ascii="IRNazanin" w:hAnsi="IRNazanin" w:eastAsia="IRNazanin"/>
          <w:color w:val="111111"/>
          <w:sz w:val="28"/>
          <w:sz w:val="28"/>
          <w:szCs w:val="28"/>
          <w:rtl w:val="true"/>
          <w:lang w:bidi="fa-IR"/>
        </w:rPr>
        <w:t>برای حرمت و بطلان تکسّب به مسکر جامد، چند وجه ذکر شده است</w:t>
      </w:r>
      <w:r>
        <w:rPr>
          <w:rFonts w:eastAsia="IRNazanin" w:cs="IRNazanin"/>
          <w:color w:val="111111"/>
          <w:sz w:val="28"/>
          <w:szCs w:val="28"/>
          <w:rtl w:val="true"/>
          <w:lang w:bidi="fa-IR"/>
        </w:rPr>
        <w:t>:</w:t>
      </w:r>
    </w:p>
    <w:p>
      <w:pPr>
        <w:pStyle w:val="Heading6"/>
        <w:numPr>
          <w:ilvl w:val="5"/>
          <w:numId w:val="1"/>
        </w:numPr>
        <w:rPr/>
      </w:pPr>
      <w:bookmarkStart w:id="1164" w:name="__RefHeading___Toc2531591_1468164448"/>
      <w:bookmarkStart w:id="1165" w:name="_Toc451"/>
      <w:bookmarkEnd w:id="1164"/>
      <w:r>
        <w:rPr>
          <w:rtl w:val="true"/>
        </w:rPr>
        <w:t>الف</w:t>
      </w:r>
      <w:r>
        <w:rPr>
          <w:rtl w:val="true"/>
        </w:rPr>
        <w:t xml:space="preserve">) </w:t>
      </w:r>
      <w:r>
        <w:rPr>
          <w:rtl w:val="true"/>
        </w:rPr>
        <w:t>مراجعه به لغت</w:t>
      </w:r>
      <w:bookmarkEnd w:id="1165"/>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مصباح المنیر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اسم لکلّ مُسکِرٍ خامَرَ العقل؛</w:t>
      </w:r>
      <w:r>
        <w:rPr>
          <w:rStyle w:val="FootnoteAnchor"/>
          <w:rtl w:val="true"/>
        </w:rPr>
        <w:footnoteReference w:id="975"/>
      </w:r>
      <w:r>
        <w:rPr>
          <w:rFonts w:ascii="IRNazanin" w:hAnsi="IRNazanin" w:eastAsia="IRNazanin"/>
          <w:color w:val="111111"/>
          <w:sz w:val="28"/>
          <w:sz w:val="28"/>
          <w:szCs w:val="28"/>
          <w:rtl w:val="true"/>
          <w:lang w:bidi="fa-IR"/>
        </w:rPr>
        <w:t>خمر اسم هر مسکری است که عقل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شامل جوامد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در مفردات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عند بعض الناس اسمٌ لِکلّ مُسکِر؛</w:t>
      </w:r>
      <w:r>
        <w:rPr>
          <w:rStyle w:val="FootnoteAnchor"/>
          <w:rtl w:val="true"/>
        </w:rPr>
        <w:footnoteReference w:id="976"/>
      </w:r>
      <w:r>
        <w:rPr>
          <w:rFonts w:ascii="IRNazanin" w:hAnsi="IRNazanin" w:eastAsia="IRNazanin"/>
          <w:color w:val="111111"/>
          <w:sz w:val="28"/>
          <w:sz w:val="28"/>
          <w:szCs w:val="28"/>
          <w:rtl w:val="true"/>
          <w:lang w:bidi="fa-IR"/>
        </w:rPr>
        <w:t>برخی گفته‌اند</w:t>
      </w:r>
    </w:p>
    <w:p>
      <w:pPr>
        <w:pStyle w:val="BookText"/>
        <w:rPr/>
      </w:pPr>
      <w:r>
        <w:rPr>
          <w:rFonts w:ascii="IRNazanin" w:hAnsi="IRNazanin" w:eastAsia="IRNazanin"/>
          <w:color w:val="111111"/>
          <w:sz w:val="28"/>
          <w:sz w:val="28"/>
          <w:szCs w:val="28"/>
          <w:rtl w:val="true"/>
          <w:lang w:bidi="fa-IR"/>
        </w:rPr>
        <w:t>که لفظ خمر اسم برای هر مسکری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دیگر نیز شبیه همین معنا ذکر شده است</w:t>
      </w:r>
      <w:r>
        <w:rPr>
          <w:rFonts w:eastAsia="IRNazanin" w:cs="IRNazanin"/>
          <w:color w:val="111111"/>
          <w:sz w:val="28"/>
          <w:szCs w:val="28"/>
          <w:rtl w:val="true"/>
          <w:lang w:bidi="fa-IR"/>
        </w:rPr>
        <w:t>.</w:t>
      </w:r>
      <w:r>
        <w:rPr>
          <w:rStyle w:val="FootnoteAnchor"/>
          <w:rtl w:val="true"/>
        </w:rPr>
        <w:footnoteReference w:id="977"/>
      </w:r>
      <w:r>
        <w:rPr>
          <w:rFonts w:ascii="IRNazanin" w:hAnsi="IRNazanin" w:eastAsia="IRNazanin"/>
          <w:color w:val="111111"/>
          <w:sz w:val="28"/>
          <w:sz w:val="28"/>
          <w:szCs w:val="28"/>
          <w:rtl w:val="true"/>
          <w:lang w:bidi="fa-IR"/>
        </w:rPr>
        <w:t xml:space="preserve">بنا بر این، از نظر لغویان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هر گونه مسکر می‌شود، خواه مایع باشد یا 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دلیل اشکالاتی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لغوی به خودی خود برای ما حجّت نیست؛ یعنی اگر همۀ لغویان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إسمٌ لِکلّ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اگر تصریح کنند که این لفظ شامل جوامد هم می‌شود، قول آنان برای ما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از قول لغوی اطمینان به معنای لفظ حاصل شود می‌توان آن را از این جهت معتبر دانست، و نیز اگر از قول لغوی، ظن حاصل شود، از جهت حجّیت ظن در موضوعات می‌توانیم آن را معتبر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فرض کنیم که قول لغوی حجّت است، ما علم داریم که عرف به جوامد، خمر نمی‌گویند و در میان مردم که مخاطب خطاب‌های شرعی هستند، هیچ کس به مثل تریاک و حشیش، خمر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کتب لغت در می‌یابیم سخن کسانی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لکلّ 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ناظر به محدودۀ مایعات است؛ یعنی سخن ایشان برای رفع ابهامی است که شاید در ذهن بعضی باشد 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آن شرابی است که از انگور می‌سازند و شامل شراب خرما یا کشمش،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سخن ایشان دربارۀ مایعات است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مؤیّد این مطلب آن است که مؤلّف تاج العروس، پس از اشاره به اختلاف نظر در مورد معنای عامّ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خاصّ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انگور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معنای عام و تعریف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المُسکِر مِن عَصیر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می‌پذیرد</w:t>
      </w:r>
      <w:r>
        <w:rPr>
          <w:rFonts w:eastAsia="IRNazanin" w:cs="IRNazanin"/>
          <w:color w:val="111111"/>
          <w:sz w:val="28"/>
          <w:szCs w:val="28"/>
          <w:rtl w:val="true"/>
          <w:lang w:bidi="fa-IR"/>
        </w:rPr>
        <w:t>.</w:t>
      </w:r>
      <w:r>
        <w:rPr>
          <w:rStyle w:val="FootnoteAnchor"/>
          <w:rtl w:val="true"/>
        </w:rPr>
        <w:footnoteReference w:id="978"/>
      </w:r>
      <w:r>
        <w:rPr>
          <w:rFonts w:ascii="IRNazanin" w:hAnsi="IRNazanin" w:eastAsia="IRNazanin"/>
          <w:color w:val="111111"/>
          <w:sz w:val="28"/>
          <w:sz w:val="28"/>
          <w:szCs w:val="28"/>
          <w:rtl w:val="true"/>
          <w:lang w:bidi="fa-IR"/>
        </w:rPr>
        <w:t>محقّق خوئی قدس سره نیز در این باره</w:t>
      </w:r>
      <w:bookmarkStart w:id="1166" w:name="pg13785_135421"/>
    </w:p>
    <w:p>
      <w:pPr>
        <w:pStyle w:val="BookText"/>
        <w:rPr/>
      </w:pPr>
      <w:bookmarkEnd w:id="1166"/>
      <w:r>
        <w:rPr>
          <w:rFonts w:ascii="Amiri" w:hAnsi="Amiri" w:eastAsia="Amiri" w:cs="Amiri"/>
          <w:color w:val="111111"/>
          <w:sz w:val="28"/>
          <w:sz w:val="28"/>
          <w:szCs w:val="28"/>
          <w:rtl w:val="true"/>
          <w:lang w:bidi="ar-SA"/>
        </w:rPr>
        <w:t>می‌نویسد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المُسکِر الجامد فخارجٌ عن محلّ النزاع و محلُّ الخلاف</w:t>
      </w:r>
      <w:r>
        <w:rPr>
          <w:rFonts w:eastAsia="Amiri" w:cs="Amiri" w:ascii="Amiri" w:hAnsi="Amiri"/>
          <w:color w:val="111111"/>
          <w:sz w:val="28"/>
          <w:szCs w:val="28"/>
          <w:rtl w:val="true"/>
          <w:lang w:bidi="ar-SA"/>
        </w:rPr>
        <w:t>».</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بنا بر این، دلیل نخست مردود است</w:t>
      </w:r>
      <w:r>
        <w:rPr>
          <w:rFonts w:eastAsia="IRNazanin" w:cs="IRNazanin"/>
          <w:color w:val="111111"/>
          <w:sz w:val="28"/>
          <w:szCs w:val="28"/>
          <w:rtl w:val="true"/>
          <w:lang w:bidi="fa-IR"/>
        </w:rPr>
        <w:t>.</w:t>
      </w:r>
    </w:p>
    <w:p>
      <w:pPr>
        <w:pStyle w:val="Heading6"/>
        <w:numPr>
          <w:ilvl w:val="5"/>
          <w:numId w:val="1"/>
        </w:numPr>
        <w:rPr/>
      </w:pPr>
      <w:bookmarkStart w:id="1167" w:name="__RefHeading___Toc2531593_1468164448"/>
      <w:bookmarkStart w:id="1168" w:name="_Toc452"/>
      <w:bookmarkEnd w:id="1167"/>
      <w:r>
        <w:rPr>
          <w:rtl w:val="true"/>
        </w:rPr>
        <w:t>ب</w:t>
      </w:r>
      <w:r>
        <w:rPr>
          <w:rtl w:val="true"/>
        </w:rPr>
        <w:t xml:space="preserve">) </w:t>
      </w:r>
      <w:r>
        <w:rPr>
          <w:rtl w:val="true"/>
        </w:rPr>
        <w:t>روایات</w:t>
      </w:r>
      <w:bookmarkEnd w:id="1168"/>
    </w:p>
    <w:p>
      <w:pPr>
        <w:pStyle w:val="BookText"/>
        <w:rPr/>
      </w:pPr>
      <w:r>
        <w:rPr>
          <w:rFonts w:ascii="IRNazanin" w:hAnsi="IRNazanin" w:eastAsia="IRNazanin"/>
          <w:color w:val="111111"/>
          <w:sz w:val="28"/>
          <w:sz w:val="28"/>
          <w:szCs w:val="28"/>
          <w:rtl w:val="true"/>
          <w:lang w:bidi="fa-IR"/>
        </w:rPr>
        <w:t>دلیل دوم، تنزیلات یا تعمیماتی است که در روایات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در روایت آمده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کُلّ مُسکِرٍ خمر</w:t>
      </w:r>
      <w:r>
        <w:rPr>
          <w:rFonts w:eastAsia="Amiri" w:cs="Amiri" w:ascii="Amiri" w:hAnsi="Amiri"/>
          <w:color w:val="111111"/>
          <w:sz w:val="28"/>
          <w:szCs w:val="28"/>
          <w:rtl w:val="true"/>
          <w:lang w:bidi="ar-SA"/>
        </w:rPr>
        <w:t xml:space="preserve">». </w:t>
      </w:r>
      <w:r>
        <w:rPr>
          <w:rStyle w:val="FootnoteAnchor"/>
          <w:rtl w:val="true"/>
        </w:rPr>
        <w:footnoteReference w:id="980"/>
      </w:r>
      <w:r>
        <w:rPr>
          <w:rFonts w:ascii="IRNazanin" w:hAnsi="IRNazanin" w:eastAsia="IRNazanin"/>
          <w:color w:val="111111"/>
          <w:sz w:val="28"/>
          <w:sz w:val="28"/>
          <w:szCs w:val="28"/>
          <w:rtl w:val="true"/>
          <w:lang w:bidi="fa-IR"/>
        </w:rPr>
        <w:t>یا روایت دیگر از پیامبر اکرم صلی الله علیه و آله که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کُلّ مُسکِرٍ حرام</w:t>
      </w:r>
      <w:r>
        <w:rPr>
          <w:rFonts w:eastAsia="Amiri" w:cs="Amiri" w:ascii="Amiri" w:hAnsi="Amiri"/>
          <w:color w:val="111111"/>
          <w:sz w:val="28"/>
          <w:szCs w:val="28"/>
          <w:rtl w:val="true"/>
          <w:lang w:bidi="ar-SA"/>
        </w:rPr>
        <w:t xml:space="preserve">». </w:t>
      </w:r>
      <w:r>
        <w:rPr>
          <w:rStyle w:val="FootnoteAnchor"/>
          <w:rtl w:val="true"/>
        </w:rPr>
        <w:footnoteReference w:id="981"/>
      </w:r>
      <w:r>
        <w:rPr>
          <w:rFonts w:ascii="IRNazanin" w:hAnsi="IRNazanin" w:eastAsia="IRNazanin"/>
          <w:color w:val="111111"/>
          <w:sz w:val="28"/>
          <w:sz w:val="28"/>
          <w:szCs w:val="28"/>
          <w:rtl w:val="true"/>
          <w:lang w:bidi="fa-IR"/>
        </w:rPr>
        <w:t>یا در صحیحۀ فضیل بن یسار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إبتدأنی أبو عبدِاللّه علیه السلام یوماً مِن غَیرِ أن أسألَه،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مُسکِرٍ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أصلحک اللّه، کلُّه؟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الجرعةُ منه حرامٌ؛</w:t>
      </w:r>
      <w:r>
        <w:rPr>
          <w:rStyle w:val="FootnoteAnchor"/>
          <w:rtl w:val="true"/>
        </w:rPr>
        <w:footnoteReference w:id="982"/>
      </w:r>
      <w:r>
        <w:rPr>
          <w:rFonts w:ascii="IRNazanin" w:hAnsi="IRNazanin" w:eastAsia="IRNazanin"/>
          <w:color w:val="111111"/>
          <w:sz w:val="28"/>
          <w:sz w:val="28"/>
          <w:szCs w:val="28"/>
          <w:rtl w:val="true"/>
          <w:lang w:bidi="fa-IR"/>
        </w:rPr>
        <w:t>فضیل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صادق علیه السلام بدون این که من سؤالی کنم با من شروع به سخن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فرموده است که هر مسکری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عرض کردم که همۀ مسکرات را می‌فرمایید؟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یک جرعه از آن هم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بیانگر تنزیل در معنا هستند؛ یعنی حتّی اگر در لغت نیز به هر مسکری خمر گفته نشود، امّا این روایات، معنای خمر را تنزیل و تعمیم و به هر مسکری عنوان خمر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نمی‌تواند در معنا تصرّف کند؛ یعنی اگر چیزی از نظر عرفی و لغوی خمر نباشد، شارع نمی‌تواند معنای لغت را توسعه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نمی‌خواهد در حقیقت خمر تصرّف کند؛ زیرا حقیقت خارجی خمر، قابلیت تصرّف ندارد؛ بلکه شارع بر آن است که حکم را سرایت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مُسکِرٍ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حکمی که خمر دارد، شامل همۀ مسکرات دیگر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احکامی که برای خمر 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شرب، حرمت</w:t>
      </w:r>
    </w:p>
    <w:p>
      <w:pPr>
        <w:pStyle w:val="BookText"/>
        <w:rPr/>
      </w:pPr>
      <w:r>
        <w:rPr>
          <w:rFonts w:ascii="IRNazanin" w:hAnsi="IRNazanin" w:eastAsia="IRNazanin"/>
          <w:color w:val="111111"/>
          <w:sz w:val="28"/>
          <w:sz w:val="28"/>
          <w:szCs w:val="28"/>
          <w:rtl w:val="true"/>
          <w:lang w:bidi="fa-IR"/>
        </w:rPr>
        <w:t>تکلیفی و وضعی بیع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همۀ مسکرات دیگر نیز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مسکرات جامد نیز مشمول احکام خمر،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به نظر می‌رسد این استدلال، صحیح نیست؛ زیرا دو اشکال به آن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شارع مقدّس می‌تواند در همه یا برخی از احکام، چیزی را به منزلۀ چیز دیگری قرار دهد، ثبوتاً امکان دارد؛ امّا آیا ما می‌توانیم همیشه و از هر تنزیلی، عمومیت را استفاده کنیم؟</w:t>
      </w:r>
    </w:p>
    <w:p>
      <w:pPr>
        <w:pStyle w:val="BookText"/>
        <w:rPr/>
      </w:pPr>
      <w:r>
        <w:rPr>
          <w:rFonts w:ascii="IRNazanin" w:hAnsi="IRNazanin" w:eastAsia="IRNazanin"/>
          <w:color w:val="111111"/>
          <w:sz w:val="28"/>
          <w:sz w:val="28"/>
          <w:szCs w:val="28"/>
          <w:rtl w:val="true"/>
          <w:lang w:bidi="fa-IR"/>
        </w:rPr>
        <w:t>مثلاً فقها با استدلال به بیان نبوی که فرموده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الطواف بالبیت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نماز مشروط به طهارت است، طواف هم مشروط به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غیر از این شرطیّت طهارت، احکام دیگر نماز نیز برای طواف ثابت می‌شود؟</w:t>
      </w:r>
    </w:p>
    <w:p>
      <w:pPr>
        <w:pStyle w:val="BookText"/>
        <w:rPr/>
      </w:pPr>
      <w:r>
        <w:rPr>
          <w:rFonts w:ascii="IRNazanin" w:hAnsi="IRNazanin" w:eastAsia="IRNazanin"/>
          <w:color w:val="111111"/>
          <w:sz w:val="28"/>
          <w:sz w:val="28"/>
          <w:szCs w:val="28"/>
          <w:rtl w:val="true"/>
          <w:lang w:bidi="fa-IR"/>
        </w:rPr>
        <w:t>در مورد قبله از امام صادق علیه السلام روایت شده است که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أساسُ البَیتِ مِنَ الأرضِ السّابِعَةِ السُّفلَی، إلَی الأرضِ السّابِعَةِ العُلیا؛</w:t>
      </w:r>
      <w:r>
        <w:rPr>
          <w:rStyle w:val="FootnoteAnchor"/>
          <w:rtl w:val="true"/>
        </w:rPr>
        <w:footnoteReference w:id="984"/>
      </w:r>
      <w:r>
        <w:rPr>
          <w:rFonts w:ascii="IRNazanin" w:hAnsi="IRNazanin" w:eastAsia="IRNazanin"/>
          <w:color w:val="111111"/>
          <w:sz w:val="28"/>
          <w:sz w:val="28"/>
          <w:szCs w:val="28"/>
          <w:rtl w:val="true"/>
          <w:lang w:bidi="fa-IR"/>
        </w:rPr>
        <w:t>پایۀ خانۀ خدا از طبقۀ هفتم زیرزمین تا طبقۀ هفتم آسمان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تُخوم الارض إلی عنان السماء، از اعماق زمین تا اوج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کعبه را دارد؛ یعنی اگر کسی به عمق زمین برود و یا در ارتفاعات بسیار بالا قرار بگیرد، باید برای نماز محاذی کعبه بایستد</w:t>
      </w:r>
      <w:r>
        <w:rPr>
          <w:rFonts w:eastAsia="IRNazanin" w:cs="IRNazanin"/>
          <w:color w:val="111111"/>
          <w:sz w:val="28"/>
          <w:szCs w:val="28"/>
          <w:rtl w:val="true"/>
          <w:lang w:bidi="fa-IR"/>
        </w:rPr>
        <w:t>.</w:t>
      </w:r>
      <w:r>
        <w:rPr>
          <w:rStyle w:val="FootnoteAnchor"/>
          <w:rtl w:val="true"/>
        </w:rPr>
        <w:footnoteReference w:id="985"/>
      </w:r>
      <w:r>
        <w:rPr>
          <w:rFonts w:ascii="IRNazanin" w:hAnsi="IRNazanin" w:eastAsia="IRNazanin"/>
          <w:color w:val="111111"/>
          <w:sz w:val="28"/>
          <w:sz w:val="28"/>
          <w:szCs w:val="28"/>
          <w:rtl w:val="true"/>
          <w:lang w:bidi="fa-IR"/>
        </w:rPr>
        <w:t xml:space="preserve">حال آیا می‌توان با استناد به عبارت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الطواف بالبیت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بگیریم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نماز محاذی کعبه در ارتفاعات بالا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در ارتفاعات نیز صحیح است؟</w:t>
      </w:r>
    </w:p>
    <w:p>
      <w:pPr>
        <w:pStyle w:val="BookText"/>
        <w:rPr/>
      </w:pPr>
      <w:r>
        <w:rPr>
          <w:rFonts w:ascii="IRNazanin" w:hAnsi="IRNazanin" w:eastAsia="IRNazanin"/>
          <w:color w:val="111111"/>
          <w:sz w:val="28"/>
          <w:sz w:val="28"/>
          <w:szCs w:val="28"/>
          <w:rtl w:val="true"/>
          <w:lang w:bidi="fa-IR"/>
        </w:rPr>
        <w:t>در مباحث گذشته بیان شد که گاه تنزیل‌ها، افادۀ عموم دارند و این افادۀ عموم چه بسا مبتنی بر قرائنی باشد</w:t>
      </w:r>
      <w:r>
        <w:rPr>
          <w:rFonts w:eastAsia="IRNazanin" w:cs="IRNazanin"/>
          <w:color w:val="111111"/>
          <w:sz w:val="28"/>
          <w:szCs w:val="28"/>
          <w:rtl w:val="true"/>
          <w:lang w:bidi="fa-IR"/>
        </w:rPr>
        <w:t>.</w:t>
      </w:r>
      <w:r>
        <w:rPr>
          <w:rStyle w:val="FootnoteAnchor"/>
          <w:rtl w:val="true"/>
        </w:rPr>
        <w:footnoteReference w:id="986"/>
      </w:r>
      <w:r>
        <w:rPr>
          <w:rFonts w:ascii="IRNazanin" w:hAnsi="IRNazanin" w:eastAsia="IRNazanin"/>
          <w:color w:val="111111"/>
          <w:sz w:val="28"/>
          <w:sz w:val="28"/>
          <w:szCs w:val="28"/>
          <w:rtl w:val="true"/>
          <w:lang w:bidi="fa-IR"/>
        </w:rPr>
        <w:t xml:space="preserve">شهید ثانی رحمه الله در مورد روایت </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الطواف بالبیت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توجّه به برخی از دلایل و قرائن، بر این باور است که این روایت مفید عموم تنزیل است، مگر مواردی که با دلیل، خارج شده‌اند</w:t>
      </w:r>
      <w:r>
        <w:rPr>
          <w:rFonts w:eastAsia="IRNazanin" w:cs="IRNazanin"/>
          <w:color w:val="111111"/>
          <w:sz w:val="28"/>
          <w:szCs w:val="28"/>
          <w:rtl w:val="true"/>
          <w:lang w:bidi="fa-IR"/>
        </w:rPr>
        <w:t>.</w:t>
      </w:r>
      <w:r>
        <w:rPr>
          <w:rStyle w:val="FootnoteAnchor"/>
          <w:rtl w:val="true"/>
        </w:rPr>
        <w:footnoteReference w:id="987"/>
      </w:r>
      <w:r>
        <w:rPr>
          <w:rFonts w:ascii="IRNazanin" w:hAnsi="IRNazanin" w:eastAsia="IRNazanin"/>
          <w:color w:val="111111"/>
          <w:sz w:val="28"/>
          <w:sz w:val="28"/>
          <w:szCs w:val="28"/>
          <w:rtl w:val="true"/>
          <w:lang w:bidi="fa-IR"/>
        </w:rPr>
        <w:t>این عبارت نشان می‌دهد که از نظر ایشان این روایت، یک بیان عام است که تخصیص آن با دلایل دیگر امکان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سؤال این است که اگر در افادۀ عموم شک کنیم، تکلیف چیست؟ در تنزیل شارع، چگونه می‌توان فهمید که آیا عموم تنزیل، اراده شده است، یا این که ارادۀ شارع، تنزیل در جهتی خاص است؟</w:t>
      </w:r>
    </w:p>
    <w:p>
      <w:pPr>
        <w:pStyle w:val="BookText"/>
        <w:rPr/>
      </w:pPr>
      <w:r>
        <w:rPr>
          <w:rFonts w:ascii="IRNazanin" w:hAnsi="IRNazanin" w:eastAsia="IRNazanin"/>
          <w:color w:val="111111"/>
          <w:sz w:val="28"/>
          <w:sz w:val="28"/>
          <w:szCs w:val="28"/>
          <w:rtl w:val="true"/>
          <w:lang w:bidi="fa-IR"/>
        </w:rPr>
        <w:t>صحیح این است که نمی‌توان به ظهور استناد کرد و گفت که این عبارت ظهور در عموم دارد؛ بلکه تعمیم آن نیازمند دلیل و قرینه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قرینه‌ای برای عموم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الطواف بالبیت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نباشد و ما شک کنیم، باید آن را حمل بر مورد متیقّن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شرطیت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مُسکِرٍ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فرض این است که قرینۀ بر عموم تنزیل، نداریم و به خاطر همین، شک می‌کنیم که آیا مسکرات دیگر، در همۀ احکام مانند خمر هستند یا در برخی از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در این‌جا باید به مقدار متیقّن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حرمت شرب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کنیم؛ یعنی همان گونه که شرب خمر حرام است، شرب هر مُسکر دیگری نیز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اشکال نخست را نپذیرد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 این است که متکلّم در مقام بیان تنزیل از همۀ جهات باشد، می‌توان گفت که حتّی با فرض پذیرش عموم تنزیل نیز استدلال به روایت، اشکال دیگری دارد و آن این‌که شمول روایت بر مسکرات جامد، ثابت نیست؛ زیرا در خود این روایات، قرائنی وجود دارد که نشان می‌دهد منظور از مُسکر، مسکر مایع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صحیحۀ فضیل بن یسار، امام علیه السلام می‌فرماید </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الجرعةُ منه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جامدات به کار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می‌توان فهمید که منظور امام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همۀ مسکرات مایع است</w:t>
      </w:r>
      <w:r>
        <w:rPr>
          <w:rFonts w:eastAsia="IRNazanin" w:cs="IRNazanin"/>
          <w:color w:val="111111"/>
          <w:sz w:val="28"/>
          <w:szCs w:val="28"/>
          <w:rtl w:val="true"/>
          <w:lang w:bidi="fa-IR"/>
        </w:rPr>
        <w:t>.</w:t>
      </w:r>
      <w:bookmarkStart w:id="1169" w:name="pg13785_135424"/>
    </w:p>
    <w:p>
      <w:pPr>
        <w:pStyle w:val="BookText"/>
        <w:rPr/>
      </w:pPr>
      <w:bookmarkEnd w:id="1169"/>
      <w:r>
        <w:rPr>
          <w:rFonts w:ascii="IRNazanin" w:hAnsi="IRNazanin" w:eastAsia="IRNazanin"/>
          <w:color w:val="111111"/>
          <w:sz w:val="28"/>
          <w:sz w:val="28"/>
          <w:szCs w:val="28"/>
          <w:rtl w:val="true"/>
          <w:lang w:bidi="fa-IR"/>
        </w:rPr>
        <w:t>قرینۀ دیگر این‌که همین فضیل بن یسار، روایت دیگری در همین باب از امام صادق علیه السلام نقل می‌کند که حضرت علیه السلام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حَرَّمَ اللّه الخمرَ بعینها و حَرَّمَ رسولُ اللّه صلی الله علیه و آله المُسکِرَ مِن کلّ شراب؛</w:t>
      </w:r>
      <w:r>
        <w:rPr>
          <w:rStyle w:val="FootnoteAnchor"/>
          <w:rtl w:val="true"/>
        </w:rPr>
        <w:footnoteReference w:id="988"/>
      </w:r>
      <w:r>
        <w:rPr>
          <w:rFonts w:ascii="IRNazanin" w:hAnsi="IRNazanin" w:eastAsia="IRNazanin"/>
          <w:color w:val="111111"/>
          <w:sz w:val="28"/>
          <w:sz w:val="28"/>
          <w:szCs w:val="28"/>
          <w:rtl w:val="true"/>
          <w:lang w:bidi="fa-IR"/>
        </w:rPr>
        <w:t>خداوند خمر را بعینها تحریم فرمود و پیامبر صلی الله علیه و آله همۀ نوشیدنی‌های مست‌کننده را</w:t>
      </w:r>
      <w:r>
        <w:rPr>
          <w:rFonts w:eastAsia="IRNazanin" w:cs="IRNazanin"/>
          <w:color w:val="111111"/>
          <w:sz w:val="28"/>
          <w:szCs w:val="28"/>
          <w:rtl w:val="true"/>
          <w:lang w:bidi="fa-IR"/>
        </w:rPr>
        <w:t>».</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 xml:space="preserve">در این روایت نیز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دلالت بر مایعات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اشکال شود که در باب دخان،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جامدات استفاده می‌شود و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التتون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التتون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اصطلاحی عرفی است و شرب از نظر لغت، مربوط به مایعات است</w:t>
      </w:r>
      <w:r>
        <w:rPr>
          <w:rFonts w:eastAsia="IRNazanin" w:cs="IRNazanin"/>
          <w:color w:val="111111"/>
          <w:sz w:val="28"/>
          <w:szCs w:val="28"/>
          <w:rtl w:val="true"/>
          <w:lang w:bidi="fa-IR"/>
        </w:rPr>
        <w:t>.</w:t>
      </w:r>
    </w:p>
    <w:p>
      <w:pPr>
        <w:pStyle w:val="Heading6"/>
        <w:numPr>
          <w:ilvl w:val="5"/>
          <w:numId w:val="1"/>
        </w:numPr>
        <w:rPr/>
      </w:pPr>
      <w:bookmarkStart w:id="1170" w:name="__RefHeading___Toc2531595_1468164448"/>
      <w:bookmarkStart w:id="1171" w:name="_Toc453"/>
      <w:bookmarkEnd w:id="1170"/>
      <w:r>
        <w:rPr>
          <w:rtl w:val="true"/>
        </w:rPr>
        <w:t>ج</w:t>
      </w:r>
      <w:r>
        <w:rPr>
          <w:rtl w:val="true"/>
        </w:rPr>
        <w:t xml:space="preserve">) </w:t>
      </w:r>
      <w:r>
        <w:rPr>
          <w:rtl w:val="true"/>
        </w:rPr>
        <w:t>دلیل سوم</w:t>
      </w:r>
      <w:bookmarkEnd w:id="1171"/>
    </w:p>
    <w:p>
      <w:pPr>
        <w:pStyle w:val="BookText"/>
        <w:rPr/>
      </w:pPr>
      <w:r>
        <w:rPr>
          <w:rFonts w:ascii="IRNazanin" w:hAnsi="IRNazanin" w:eastAsia="IRNazanin"/>
          <w:color w:val="111111"/>
          <w:sz w:val="28"/>
          <w:sz w:val="28"/>
          <w:szCs w:val="28"/>
          <w:rtl w:val="true"/>
          <w:lang w:bidi="fa-IR"/>
        </w:rPr>
        <w:t>دلیل دیگر، روایاتی نظیر صحیحۀ علی بن یقطین است که می‌فرماید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فما کان عاقبته عاقبة الخمر، فهو خمر</w:t>
      </w:r>
      <w:r>
        <w:rPr>
          <w:rFonts w:eastAsia="IRNazanin" w:cs="IRNazanin"/>
          <w:color w:val="111111"/>
          <w:sz w:val="28"/>
          <w:szCs w:val="28"/>
          <w:rtl w:val="true"/>
          <w:lang w:bidi="fa-IR"/>
        </w:rPr>
        <w:t>»</w:t>
      </w:r>
      <w:r>
        <w:rPr>
          <w:rStyle w:val="FootnoteAnchor"/>
          <w:rtl w:val="true"/>
        </w:rPr>
        <w:footnoteReference w:id="990"/>
      </w:r>
      <w:r>
        <w:rPr>
          <w:rFonts w:ascii="IRNazanin" w:hAnsi="IRNazanin" w:eastAsia="IRNazanin"/>
          <w:color w:val="111111"/>
          <w:sz w:val="28"/>
          <w:sz w:val="28"/>
          <w:szCs w:val="28"/>
          <w:rtl w:val="true"/>
          <w:lang w:bidi="fa-IR"/>
        </w:rPr>
        <w:t>و یا روایتی که می‌فرماید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فما فَعَلَ فِعل الخمر، فهو خمر</w:t>
      </w:r>
      <w:r>
        <w:rPr>
          <w:rFonts w:eastAsia="Amiri" w:cs="Amiri" w:ascii="Amiri" w:hAnsi="Amiri"/>
          <w:color w:val="111111"/>
          <w:sz w:val="28"/>
          <w:szCs w:val="28"/>
          <w:rtl w:val="true"/>
          <w:lang w:bidi="ar-SA"/>
        </w:rPr>
        <w:t>».</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بر این دلیل نیز همان اشکالی که در مورد دلیل نخست بیان شد، وارد است؛ یعنی ما نمی‌توانیم از این روایات، تنزیل در همۀ آثار را استفاده کنیم و آن را به دایرۀ جامدات نیز گسترش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نقد، آن است که هیچ فقیهی قائل به نجاست مسکر جامد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معلوم می‌شود که عموم تنزیل شامل نجاست نمی‌گردد، مگر این‌که گفته شود که این روایات، عمومیت دارند؛ لیکن عمومیت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مطلب نمی‌تواند مؤیّد نقد باشد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سخن دربارۀ خمر و نیز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پایان رسید و اکنون نوبت به گفتگو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bookmarkStart w:id="1172" w:name="pg13785_135426"/>
    </w:p>
    <w:p>
      <w:pPr>
        <w:pStyle w:val="Heading2"/>
        <w:numPr>
          <w:ilvl w:val="1"/>
          <w:numId w:val="1"/>
        </w:numPr>
        <w:rPr/>
      </w:pPr>
      <w:bookmarkStart w:id="1173" w:name="__RefHeading___Toc2531597_1468164448"/>
      <w:bookmarkStart w:id="1174" w:name="_Toc454"/>
      <w:bookmarkEnd w:id="1172"/>
      <w:bookmarkEnd w:id="1173"/>
      <w:r>
        <w:rPr>
          <w:rtl w:val="true"/>
        </w:rPr>
        <w:t>فهرست مطالب</w:t>
      </w:r>
      <w:bookmarkEnd w:id="1174"/>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بحث</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عنوان کتاب</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عام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بند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بند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سند 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سندی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مرسل بودن 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نشدن در جوامع روایی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تصحیح سند 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شهرت عملی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وثوق صدوری 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بند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مضمون 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مربوط به متن 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اضطراب در متن 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فتوا ندادن فقها به برخی از بخش‌های 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نبودن تقسیم موجود در 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بین فقرات 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تنها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اعانۀ بر 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برگزیده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بند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حکم شرعی مستفاد از روایت 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سیّد یزدی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حلال و حرام نسبت به حکم تکلیفی و وضعی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برگزیده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فقه الرضا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بند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سند کتاب</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 کتاب</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کتاب</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فقهایی که به این کتاب اعتماد کرده‌اند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کتاب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اوّل و نقد آن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سوم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برگزیده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بند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دلالت روایت فقه الرّضا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دعائم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سند 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روایات کتاب</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مخالف مذهب امامیّه در کتاب</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بند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دلالت 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برگزیده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عوالی اللئالی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سند 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روایت و عدم وجود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زیاده و اصل عدم نقیصه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محقّق خویی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بند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عملی جابر ضعف سند 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بند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برگزیده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برآیند بررسی روایات و اصل اوّلی در معاملات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بند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بررسی روایات عام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بند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اوّلی در معاملات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مکاسب</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وجود کسب واجب و مستحب</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بند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مکاسب مستحب</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بند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مکاسب واجب</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مکاسب در کلام فقها</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بند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شیخ سلّار</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بند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شهید اوّل</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بند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علاّمۀ حلّی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بند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دیدگاه شهید ثانی و مقدّس اردبیلی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بند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محقّق حلّی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یا غیری بودن حکم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تفاوت نفسی و غیری بودن حکم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اکتساب محض</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حرمت در بحث مکاسب محرّمه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مقدّماتی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بند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کسب‌های محرّم</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بند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فرض‌های قابل تصوّر در مورد متعلّق حرمت</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فقها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شیخ 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بند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محقّق نائینی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دیدگاه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اعتبار لولایی توسّط امام خمینی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دیدگاه محقّق نائینی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بند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محقّق ایروانی</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دیدگاه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دیدگاه محقّق ایروانی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محقّق خویی نسبت به دیدگاه محقّق ایروانی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بند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امام خمینی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بند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محقّق خویی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برگزیده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حرمت وضعی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اکتساب با اعیان نجس</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معاملۀ اعیان نجس</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تکلیفی معاملۀ اعیان نجس</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بند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ادلّۀ لفظی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فقه الرضا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دعائم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پنجم سورۀ مدّثر</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خوردن و آشامیدن نجاست</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بند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اجماع</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بند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شهرت در مسئله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بند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گیری و دیدگاه برگزیده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اخذ ثمن در مقابل فروش اعیان نجس</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بند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امام خمینی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یکم</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بند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دیدگاه امام خمینی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وضعی معاملۀ اعیان نجس</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معاملۀ بول</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معاملۀ بول حیوان حرام گوشت</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بند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شیخ 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بند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محقّق نائینی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محقّق حلّی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بند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صاحب جواهر</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بند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محقّق خویی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اعتبار مالیّت در بیع</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مالیّت داشتن بول حیوان حرام گوشت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بودن نزد متعاملین کافی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بطلان معاملۀ سفهی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بند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محقّق ایروانی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بند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برگزیده</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معاملۀ بول حیوان حلال گوشت</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بند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شرب بول حیوان حلال گوشت</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قائلین به جواز شرب ابوال طاهر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دلیل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حلّیت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مطلق</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مقیّد</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نتیجه‌گیری از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قائلین به عدم جواز شرب ابوال طاهر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بررسی ادلّۀ شرب ابوال طاهر</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بند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معاملۀ بول حیوان حلال گوشت</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صحّت یا بطلان معاملۀ بول طاهر</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ابوال طاهر و داروها</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دیدگاه محقّق ایروانی و محقّق خویی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بول با گوشت و چربی حیوانات درنده</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معاملۀ عذره</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فقها</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شیخ طوسی در الخلاف</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شیخ طوسی در 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شیخ طوسی در المبسوط</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علاّمۀ حلّی</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صاحب جواهر</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علمای اهل‌سنّت</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نتیجۀ بررسی اقوال فقها</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معاملۀ عذرۀ حیوانات حلال گوشت</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معاملۀ عذرۀ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چکیدۀ دیدگاه‌ها</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معاملۀ عذرۀ حیوانات حرام گوشت</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بند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مانعه</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عذره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سحت</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بند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مجوّزه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بند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جامع بین منع و جواز</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بند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جمع میان روایات مجوّزه و مانعه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 نقد وجه جمع</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 نقد شاهد جمع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اشکال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محقّق سبزواری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علّامۀ 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امام خمینی</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محقّق مامقانی</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برگزیده</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معاملۀ خون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ادلّۀ حرمت بیع خون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بند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آیۀ سوم سورۀ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بند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به آیات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بند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مرفوعۀ ابویحیی واسطی</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محقّق ایروانی</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محقّق مامقانی</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معاملۀ منی</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صورت‌های گوناگون معاملۀ منی</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بند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معاملۀ منی در خارج رحم</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بند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معاملۀ منی در داخل رحم</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بند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معاملۀ عسیب الفحل</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معاملۀ عسیب الفحل از نظر قواعد</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جهالت و غرری بودن معامله</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قدرت بر تسلیم</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معاملۀ عسیب الفحل از نظر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تلقیح مصنوعی</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بند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تکلیفی اقسام مختلف تلقیح مصنوعی</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مقدّمه‌ای دربارۀ اصل اوّلی</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ادلّۀ اثبات اصل احتیاط</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نتیجه‌گیری و دیدگاه برگزیده</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تلقیح مصنوعی</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تلقیح مصنوعی</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ادلّۀ حرمت صورت دوم</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موجود در برخی از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پاسخ به اشکالات</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نتیجۀ بررسی ادلّۀ حرمت</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ادلّۀ جواز صورت دوم</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برگزیده</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تلقیح مصنوعی</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چهارم تلقیح مصنوعی</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پنجمِ تلقیح مصنوعی</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ششم تلقیح مصنوعی</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اشاره‌ای به بحث مقاصد الشریعة</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بند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نسب فرزند متولّد شده از تلقیح مصنوعی</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نسب</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فرزند در شکل‌های مختلف تلقیح مصنوعی</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محقّق خویی</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دیدگاه محقّق خویی</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وجود مادر دوم</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معاملۀ مردار</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انتفاع از مردار و اجزای آن</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بند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حرمت انتفاع از مردار</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سوم سورۀ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بررسی روایات حرمت</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بند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جواز انتفاع از مردار</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نخست</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 استدلال</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انتفاع</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کلمات امام خمینی</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هفتم</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بند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میان روایات مانعه و مجوّزه</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نخست</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دوم</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سوم</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پنجم</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ششم</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بند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اجماع در مسئله</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فقیهانی که ادّعای اجماع کرده‌اند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در مسئله</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بند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برگزیده</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نکته‌ای دربارۀ شهرت فتوایی</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معاملۀ مردار</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بند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حرمت معاملۀ مردار</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مالیّت مردار</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مردار</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عام</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خاص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بند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روایات مربوط به معاملۀ مردار</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مانعه</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مجوّزه</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سندی</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دلالی</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میان روایات مانعه و مجوّزه</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محقّق خویی</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امام خمینی</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دیدگاه امام خمینی</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برگزیده</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بند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جواز انتفاع، با صحّت بیع ملازمه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بند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میتۀ مختلط با مذکّی</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مردار مختلط با مذکّی به قصد مجموع</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فقها</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احتمالات و فروض</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مقتضای قواعد</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نتیجۀ بررسی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میتۀ مختلط به مذکّی به قصد مذکّی</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شیخ 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محقّق خویی</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امام خمینی</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نکتۀ باقیمانده</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بند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مرداری که خون جهنده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نکتۀ پایانی</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معاملۀ سگ و خوک</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معاملۀ سگ</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بند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فقها</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علاّمۀ حلّی</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بند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حرمت معاملۀ سگ</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نکته دربارۀ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امام خمینی</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نقد دیدگاه امام خمینی</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معاملۀ خوک</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بند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معاملۀ خوک</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فقها</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دستۀ اوّل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دستۀ دوم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دستۀ سوم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میان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چند نکته</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بند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خوک</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بند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اجزای خوک</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فقها</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برگزیده</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درآمد به وسیلۀ خمر</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گفتار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بند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خمر در لغت و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در لغت</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انصراف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معنای متعارف</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بند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تکسّب</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حرمت تکسّب به خمر</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بند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آیات</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نخست</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نخست؛ تمسّک به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المتعلّق یدلّ علی العموم</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دوم؛ تمسّک به اطلاق اجتناب رجس</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استدلال امام خمینی</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دوم</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بند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نخست</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نتیجۀ بررسی آیات و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بند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نظر فقهای شیعه و عامّه</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خمر برای غیر اسکار</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بند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بند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قرینۀ نخست</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قرینۀ دوم</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بند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ضابطۀ صلاح و فساد</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بند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نقد دلیل چهارم و دلالت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خمر به قصد درمان و اضطرار</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بند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خمر به قصد درمان</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اقوال علمای شیعه</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اقوال علمای عامّه</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بند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به خمر</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آیات</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مربوط به درمان با شرب خمر</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قول به عدم جواز شرب خمر در صورت اضطرار</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قول به جواز شرب خمر در صورت اضطرار</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نخست</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تعارض ادلّه</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راه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سند</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دلالی</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بحث اضطرار</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روایت جمیل بن درّاج</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بند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سند</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دلالت</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محقّق خوئی</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دیدگاه محقّق خوئی</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بند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توجیهات شیخ 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نخست</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دوم</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بند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روایت، بر جواز تکسّب به قصد سرکه‌سازی</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دیدگاه محقّق ایروانی</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بیان ارشاد الطالب</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بند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روایت جمیل با روایات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نخست</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معاملۀ خمر میان دو غیرمسلمان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بند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دالّ بر اطلاق</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بند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دالّ بر تفصیل</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بند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جمع میان ادلّه</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سوم</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خمر به غیرمسلمان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گفتار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مُسکر جامد</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بند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صورت مسئله</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بند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ادلّه</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لغت</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المراسم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المبسوط فی فقه الامامیه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إرشاد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دراسات فی المکاسب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الاُصول المعلومة الّتی لا نحتاج فیها إلی 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کثیر الفوائد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لم یسمح الدّهر بمثله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فوائد الرّضویة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مبسوط کثیر الفوائد، معتمد عند الاصحاب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روضات الجنّات فی احوال العلماء و السّادات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کتاب لم یصنَّف مثله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تأسیس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تفصیل الشریعة فی شرح تحریر الوسیلة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المکاسب المحرّمه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الشیعة، کتاب الطهاره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توجه شود که بین این مطلب و مسئلۀ نقل اجلّاء که در رجال یکی از طرق اثبات وثاقت است، فرق وجوددارد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تفصیل الشریعة فی شرح تحریر الوسیلة، المکاسب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آینده در بحث تلقیح مصنوعی و نیز در بحث روایات جواز بیع مردار، این مبنا را پذیرفته و آن را یکی از راه‌های قبول روایت می‌شمارند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تأیید این سخن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بخواهیم مرسلات صدوق را نپذیریم، باید بیش از یک سوم از روایات صدوق را کنار بگذاریم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رسالة المحکم والمتشابه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فلا ندری ماذا یرید هذا القائل من هذه الآثار، أهی غموض الروایة و اضطرابها أم تکرار جملها و الفاظها أم کثرة ضمائرها و تعقیدها؟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استاد معظم در مباحث خارج فقه در بحث بیع به صورت مبسوط در این باره بحث نموده‌اند و ثابت کرده‌اند که اصل و قاعدۀ اوّلی در نقل روایات، نقل به لفظ است و بسیاری از روایات منقول به لفظ می‌باشند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واعلم أنّ الرّوایة متعارضة فقراتها فی ضابطی الحلّ و الحرمة فضابط الحلّ أن یکون الشیء فیه جهة من جهات الصّلاح و ذکر فی ضابط الحرمة أن یکون الشیء فیه وجه من وجوه الفساد ففی ذی الجهتین الصّلاح و الفساد إمّا مطلقاً أو بقید الشّیوع یقع التزاحم فإمّا أن یرجّح ضابط الحلّ و یحکم بالحلّ بما یستفاد من قسم الصّنائع من تقدیم إقتضاء جهة الصّلاح فی ذی الجهتین أو یحصل الإجمال بتزاحم الفقرتین و یرجع إلی عمومات أدلّة التّجارة وأصالة الحلّ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دراسات فی المکاسب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التجارات والبیوع والمکاسب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خاتمة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 و حیاض الفضلاء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حسن صدر، آشنایی با چند نسخۀ خطی، فصل 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توقّف فیه کثیرون کما هو المستفاد من کلام الفاضل الهندی فی کشف اللثام، حیث یعبّر عن روایاته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 الرضا علیه السلام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عن الرضا علیه السلام، من غیر أن یعتمد علیها أو یرکن الیها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المستفاد من الحرّ العاملی ذلک أیضاً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إعلم أن هذا الکتاب فی سنده تأمل، و أکثر رواته مجاهیل، حالهم غیر معلوم، و هو</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خاتمة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المغنی و الشرح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کشّاف القناع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فقه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المجموع شرح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السنن الکبری و ذیله الجوهر النقی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نکت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إیضاح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استاد معظّم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قاعدۀ تسامح در ادلّۀ سنن را نپذیرفته و آن را اثبات کنندۀ استحباب نمی‌دانند؛ بلکه ایشان معتقدند که روایات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عنوان مهمترین دلیل بر قاعدۀ تسامح ذکر شده‌اند، فقط بر ثواب تفضّلی خداوند دلالت دارند؛ یعنی هر گاه خبر ضعیفی بر استحباب فلان عمل دلالت کند و ثوابی را برای آن ذکر نماید، اگر مکلّف آن عمل را به امید آن ثواب انجام دهد، خداوند متعال ثواب مذکور را به او عنایت خواهد کرد؛ بدون این‌که استحباب آن عمل ثابت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شاید استناد به این قاعده در این‌جا از باب اقناع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درس آیت اللّه محمّدجواد فاضل لنکرانی، سلسله درس‌هایی از قواعد فقه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قاعدۀ تسامح در ادلّۀ 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اعوجاج است و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یقیم بأوده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روزنه‌ای را پر و مشکلی را حل نمی‌کند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المراسم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قواعد الإحکام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طبع 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قوانین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استاد معظّم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این‌که مراد از اکراد چیست، چند احتمال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قوی‌ترین احتمال این است که اکرادطایفه‌ای مخصوص در زمان روایت بوده‌اند که در مکانی خاص زندگی می‌کردند و در انجام معامله، بد حساب بودند و در حال حاضر، وجود خارجی ندارند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الإحکام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اللمعة الدمشقیة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مجمع الفائدة و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تهذیب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المکاسب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گویا مقصود استاد معظّم این است که حرمت ناشی از ادلّۀ تحریم با حرمت ناشی از اعانت بر اثم فرق دارد و ما در این‌جا می‌خواهیم حرمت ناشی از ادلّۀ تحریم را برای معامله ثابت کنیم، نه حرمت ناشی از اعانت بر اثم را؛ زیرا ممکن است یک معامله از جهت ادلّۀ حرام نباشد، ولی از جهت اعانت بر اثم حرام باشد و یا برعکس</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مُحَمَّدُ بْنُ عَلِیِّ بْنِ الْحُسَیْنِ بِإِسْنَادِهِ عَنْ شُعَیْبِ بْنِ وَاقِدٍ عَنِ الْحُسَیْنِ بْنِ زَیْدٍ عَنِ الصَّادِقِ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حَدِیثِ‌الْمَنَاهِی أَنَّ رَسُولَ اللّهِ نَهَی أَنْ یُشْتَرَی الْخَمْرُ وَ أَنْ یُسْقَی الْخَمْرُ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الْخَمْرَ وَغَارِسَهَا وَعَاصِرَهَا وَ شَارِبَهَا وَسَاقِیَهَا وَبَائِعَهَا وَمُشْتَرِیَهَا وَآکِلَ ثَمَنِهَا وَحَامِلَهَا وَالْمَحْمُولَةَ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ارشاد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المکاسب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الفقه علی 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مطلب بر طبق نظریّۀ مشهور دربارۀ عدم حجّیت اجماع مدرکی است، امّا استاد معظّم در بحث‌های اصولی خود، حجّیت اجماع مدرکی را پذیرفته‌اند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قبلاً مطرح نمودیم که آیا این تعبیر، در مقام تعلیل است یا خیر؟ آیا می‌توان از این بخش، قاعده‌ای رااستخراج نمود یا خیر؟</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خمینی، المکاسب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روایت دعائم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البیع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حسینعلی منتظری، دراسات فی المکاسب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المکاسب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استاد معظّم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جعفریّات، تالیف محمّد بن محمّد بن اشعث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این کتاب روایاتی را از امام جعفرصادق علیه السلام نقل کرده است، از این رو این کتاب به جعفریّات، معروف شده است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استاد معظّم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نوعی قلم اطلاق می‌شود که در گذشته از آن جهت شرطبندی و بخت‌آزمایی استفاده‌می‌کردند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فخرالدین الطریحی،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النهایة فی مجرّد الفقه و الفتاوی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المبسوط فی فقه الإمامیة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منتهی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المراسم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مجرّد الفقه و الفتاوی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الشهرة العملیّة، بمعنی استناد الشهرة إلی خبر فی مقام الإفتاء، و بهذه الشهرة‌ینجبر ضعف سند الروایة عند المشهور، و فی قبالها إعراض المشهور الموجب لوهن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کانت صحیحة أو موثّقة من حیث السند علی المشهور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لکن التحقیق عدم کون عمل المشهور جابراً علی تقدیر کون الخبر ضعیف السند فی نفسه، و لا إعراضهم موهناً علی تقدیر کون الخبر صحیحاً أو موثّقاً فی نفسه، بل المیزان فی حجیة الخبر تمامیة سنده فی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تهذیب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المکاسب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فضل اللّه راوندی،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استاد معظّم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احتمال وجود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معلوم خوانده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پیامبراکرم، امر به فروش خمر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مکاسب 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احتمال را رد می‌کند و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فعل به صورت مجهول خوانده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 خوانده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توصیف که در جمع به پیامبر اکرم صلی الله علیه و آله پیشنهاد شد که با توجّه به حرام بودن شرب خمر، این راویه به غیر مسلمان فروخته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 خوانده شود، با این توصیف که اصحاب پیامبر صلی الله علیه و آله اکرم بدون اطلاع ایشان تصمیم گرفتند که این ظرف خمر را بفروشند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المکاسب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اصول الإستنباط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النهایة فی مجرّد الفقه و الفتاوی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السرائر الحاوی لتحریر الفتاوی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مباحث کتاب البیع در مواردی مانند شرایط عوضین، استاد معظّم معتقدند که شارع نمی‌تواند در این گونه‌موضوعات خارجی، تصرّف کند و چیزی را که عرف، مال می‌داند، از مالیّت خارج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اساساً تقسیم مال به مال شرعی و مال عرفی را انکار نموده‌اند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المکاسب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السرائر الحاوی لتحریر الفتاوی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الدروس الشرعیّة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هدایة المحدّثین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النهایة فی مجرّد الفقه والفتاوی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المکاسب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المکاسب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استاد معظّم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می‌رسد که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اشتباه در برخی نسخ کتاب المکاسب وارد شده است؛ زیرا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 وقتی در ادامه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کلّ حیوان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این عبارت عام بوده و حیوانات حلال گوشت و حرام گوشت را در بر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آوردن قید نجس برای عذره صحیح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فقها میان عذره نجس و عذرۀ طاهر در حرمت و بطلان بیع، تفاوتی قائل نشده‌اند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این، معلوم می‌شود که این قید در برخی نسخ کتاب المکاسب به صورت اشتباه وارد شده است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النهایة فی مجرّد الفقه و الفتاوی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المبسوط فی فقه الإمامیة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رجیع، یعنی چیزی که از شیء خارج می‌شود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الفقه علی 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استاد معظّم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مثال، این عبارت شیخ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وبیع العذرة والأبوال کلّها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اطلاق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المکاسب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المبسوط فی فقه الامامیة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المکاسب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الإحکام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المکاسب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برخی از نسخه‌ها علی بن سکن آمده است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المکاسب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المکاسب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سَأَلْتُ الْبَاقِرَ علیه السلام قُلْتُ جُعِلْتُ فِدَاکَ یَأْتِی عَنْکُمُ الْخَبَرَانِ أَوِ الْحَدِیثَانِ الْمُتَعَارِضَانِ فَبِأَیِّهِمَا آخُذُ؟ 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یَازُرَارَةُ خُذْ بِمَا اشْتَهَرَ بَیْنَ أَصْحَابِکَ وَدَعِ الشَّاذَّ النَّادِرَ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غایة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ملاذ الأخیار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حاشیة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انصاف آن است که نمی‌توان به چنین مطلبی ملتزم شد و نمی‌توان بین مالیّت و موضوعات محرّمه فرق‌گذاشت؛ زیرا هر دو تابع تحقّق موضوع‌اند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یک چیز در یک بلد، مالیّت دارد و در بلد دیگر ندارد و یا در نزد مقامین، مالیّت دارد و در نزد دیگران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وسیله‌ای در یک بلد آلت قمار باشد و در بلد دیگر نباشد، در هر کجا حکم تابع همان جا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عرف در آلت قمار، اشخاص را در نظر نمی‌گیرد، برخلاف مالیّت؛ فتدبّر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تفصیل الشریعة فی شرح تحریر الوسیلة، المکاسب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الفقه علی 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ملاذ الأخیار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 عُمَرَ بْنِ حَنْظَلَةَ قَالَ سَأَلْتُ أَبَا عَبْدِ اللّهِ علیه السلام عَنْ رَجُلَیْنِ مِنْ أَصْحَابِنَا بَیْنَهُمَا مُنَازَعَةٌ فِی دَیْنٍ أَوْ مِیرَاثٍ فَتَحَاکَمَا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یُنْظَرُ إِلَی مَا کَانَ مِنْ رِوَایَاتِهِمَا عَنَّا فِی ذَلِکَ الَّذِی حَکَمَا بِهِ الْمُجْمَعُ عَلَیْهِ عِنْدَ أَصْحَابِکَ فَیُؤْخَذُ بِهِ مِنْ حُکْمِنَا وَ یُتْرَکُ الشَّاذُّ الَّذِی لَیْسَ بِمَشْهُورٍ عِنْدَ أَصْحَابِکَ فَإِنَّ الْمُجْمَعَ عَلَیْهِ لَارَیْبَ فِیهِ 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کَانَ الْخَبَرَانِ عَنْکُمْ مَشْهُورَیْنِ قَدْ رَوَاهُمَا الثِّقَاتُ عَنْکُمْ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فَمَا وَافَقَ حُکْمُهُ حُکْمَ الْکِتَابِ وَالسُّنَّةِ وَخَالَفَ الْعَامَّةَ فَیُؤْخَذُ بِهِ وَیُتْرَکُ مَا خَالَفَ حُکْمُهُ حُکْمَ الْکِتَابِ وَ السُّنَّةِ وَوَافَقَ الْعَامَّ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أنوار الهدایة فی التعلیقة علی 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تفصیل الشریعة فی شرح تحریر الوسیلة، المکاسب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المکاسب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غایة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سَأَلَ رَجُلٌ أَبَا عَبْدِاللّهِ علیه السلام وَأَنَا حَاضِرٌ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رَجُلٌ أَبِیعُ الْعَذِرَةَ فَمَا تَقُولُ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 بَیْعُهَا وَثَمَنُهَا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لاَبَأْسَ بِبَیْعِ الْعَذِرَةِ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تفصیل الشریعة فی شرح تحریر الوسیلة، المکاسب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استاد معظّم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جاهلیت، خون مسفوح، یعنی خونی که از گوسفند و حیوانات ذبح شده بیرون می‌ریزدرا می‌فروختند و عرب جاهلی نیز آن را پس از پختن، می‌خورد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غایة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العَسْبُ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ضِرَابُ الفَحْل و طَرْقُه أَو مَاؤُه ای الفَحْل أو إِعْطَاءُ الکِرَاءِ عَلَی الضِّرَابِ، و هو أَیضاً اسمٌ للکِرَاء الّذی یُؤْخَذُ علی ضَرْب الفَحْل، و الفِعْلُ منهما کَضَرَب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عَسَب الفحلُ الناقَةَ یَعْسِبها عَسْباً، إِذَا طَرَقها، و عَسَب فحْلَه یَعْسِبه إِذا أَکْرَاه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مبانی تکملة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ذیل مسئلۀ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المبسوط فی فقه الإمامیة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الإمام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الفقه علی المذاهب الأربعه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المبسوط فی فقه الإمامیة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الفقه علی 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ولکنّ الأستاذ آیة اللّه البروجردی قدس سره کان ینکر تعریف الإجارة بتملیک المنفعة و کان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البیع و الإجارة کلیهما إضافتان متعلقتان بالأعیان، فکما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بعتک هذه الدار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آجرتک هذه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الأمر أنّ مفهوم الإجارة عند العقلاء تقتضی استحقاق المستأجر للإنتفاع بالعین مع بقائها مدّة الإنتفاع بها، و الإنتفاع من کلّ شیء بحسب ما یترقّب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دراسات فی المکاسب المحرّمه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طریقة الإحتیاط تقتضی ألّا یتهجّم علی استباحة الفروج إلّابیقین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الروضة البهیة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ومراعاة للاحتیاط فی الفروج المبنیة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لوجوب الاحتیاط فی الفروج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وجوب الإحتیاط فی الفروج، لانّ حلّ الفروج أمر توقیفی فیتوقّف علی النّص و بدونه ینتفی لأصالة عدم الحلّ و لا تکفی فی الخروج عدم القطع بالمحرّم لانّه مبنی علی کمال الإحتیاط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مفتاح الکرامة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وجوب الاحتیاط فی الفروج</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الإحتیاط فی الفروج 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الإحتیاط الفروج‌هو المطلوب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وینبغی مراعاة الاحتیاط فی مواضع الإشتباه حفظاً لحرمة الفروج</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نقل کتاب 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فلیتحرّ و لیسأل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ولی در نقل کتاب من لایحضره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وارد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فلیحتط و لیسأل</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مؤمن قمی، کلمات سدیدة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طوسی،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طوسی،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ابن غضائری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مباحث خارج اصول در بحث حجّیت خبر واحد، تمام مراسیل صدوق در کتاب من لا یحضره الفقیه، معتبردانسته شد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الحبل المتین فی أحکام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الحاشیة علی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تفصیل الشریعة فی شرح تحریر الوسیلة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مؤمن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سخنی دربارۀ تلقیح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مجلّۀ فقه اهل 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قبلاً گذشت که ظاهراً همۀ مراسیل صدوق قدس سره در کتاب من لا یحضره الفقیه حجّت است</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مصادر الفقه الاسلامی و منابعه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جای خود نسبت به تفسیر علی بن ابراهیم تحقیق نموده‌ایم</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استاد معظّم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علم درایه، روایت مرفوعه در دو معنا استعمال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نخست این است که از وسطیا انتهای سلسلۀ سند روایت، یک یا چند نفر حذف شده باشند و تصریح به رفع نیز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وقتی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علی بن ابراهیم عن ابیه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 بن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 إلی أبی عبداللّه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سند بین ابراهیم بن هاشم تا امام علیه السلام حذف و به مرفوع بودن نیز تصریح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دوم مرفوعه هم این است که راوی مستقیماً از امام علیه السلام حدیثی را نقل کند، در حالی که بین راوی و امام علیه السلام چند نفر واسطه است و به رفع نیز تصریح نشده باشد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التبیان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أحکام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استاد معظّم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قتل نفس این است که اگر نطفه خارج شده از مرد در رحم همسرش قرار می‌گرفت، امکان تولّد انسانی وجود داشت و به سبب زنا، این امکان از بین رفته است</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بحث‌های خارج فقه در کتاب الحج، استاد معظّم از این نظر عدول نموده‌اند و در نتیجه محمّد بن سنان را موثّق دانسته‌اند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استاد معظّم در بحث‌های خارج اصول، اساس بحث دربارۀ علّت و حکمت و فرق میان آنها را برای استنباط فقهی، ناکارآمد دانسته و محور را در فرق میان حیثیت تقییدیه و حیثیت تعلیلیه قرار داده است</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سَأَلْتُ أَبَا جَعْفَرٍ علیه السلام عَنِ امْرَأَةٍ شَرِبَتْ دَوَاءً عَمْداً وَ هِیَ حَامِلٌ وَ لَمْ یَعْلَمْ بِذَلِکَ زَوْجُهَا فَأَلْقَتْ وَلَدَهَا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لَهُ عَظْمٌ وَ قَدْ نَبَتَ عَلَیْهِ اللَّحْمُ عَلَیْهَا دِیَةٌ تُسَلِّمُهَا إِلَی أَبِیهِ وَ إِنْ کَانَ حِینَ طَرَحَتْهُ عَلَقَةً أَوْ مُضْغَةً فَإِنَّ</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استاد معظّم در مباحث مختلف فقهی، استفاده از مقاصد الشریعة را در روند اجتهاد و استباط ناکافی می‌دانند</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مقابل دیدگاه مشهور، برخی از قدمای از فقها مانند شیخ صدوق ویونس بن عبد الرحمن قدس سرهما با توجّه به برخی روایات این باب، معتقد بوده‌اند که ولد الزنا از پدر و مادر خود، ارث می‌برد</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حسن بجنوردی، القواعد الفقهیة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صراة 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منتهی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التنقیح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التبیان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منتهی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المکاسب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علی بن أبی المغیرة الزبیدی الکوفی ثقة هو وأبوه روی عن أبی جعفروأبی عبداللّه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احتمال که واو عاطفه باشد بعید نیست</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ملاذ الاخیار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المکاسب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این روایت یک قاعدۀ فقهیه‌ای را می‌توان استفاده نمود و آن این‌که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میّتٍ لا یُنتفع به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ملاّ صالح مازندرانی، شرح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المکاسب المحرّمه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بن جعفر برادر امام کاظم 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عریض که محلّی است در اطراف مدینه، مدفون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که‌مرقد ایشان چند سال پیش توسّط وهابی‌ها تخریب شد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الامام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المکاسب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المکاسب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دراسات فی المکاسب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محقّق داماد، کتاب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المکاسب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ارشاد الطالب الی التعلیق علی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تفصیل الشریعة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 فی شرح منتخب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کیمخت به معنای پوست نمک مالی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غراء چیزی است که از اطراف پوست حیوان گرفته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الأخیار فی فهم تهذیب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معلّی بن محمّد بن عبداللّه الواسطیّ عن قاسم الصیقل،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کتبت الی‌الرّضا علیه السلام، أنّی أعمل أغماد السیوف</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دراسات فی المکاسب المحرّمه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در جای خود، دربارۀ محمد بن عیسی بن عبید، تحقیق نمودیم و ایشان را مورد اعتماد می‌دانیم</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ذخیرة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ملاذ الأخیار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ینابیع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المکاسب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قاسم الصیقل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کتبتُ إلی الرضا علیه السلام، أنّی أعمل أغماد السیوف</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دراسات فی المکاسب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دراسات فی المکاسب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الأنوار اللوامع فی شرح مفاتیح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ارشاد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غنائم الایام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الکلام فی ثوبة الجدید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ملاذ الاخیار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مصابیح الظلام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المکاسب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مستمسک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 ائمه علیهم السلام به گونه‌ای بوده است که هرگاه می‌خواستند می‌دانستند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اردوا أن یعلموا علموا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لیکن گاهی از این توانایی استفاده نمی‌کردند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می‌پرسیدند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فلانی کجاست؟ حتّی در بعضی از روایات دارد که امام صادق علیه السلام دنبال غلام خود می‌گشتند که ببینند او کجاست؛ چراکه ائمه علیهم السلام در بیشتر مواقع بر اساس روند طبیعی زندگی رفتار می‌کردند و فقط در مواردی که استفاده از علم غیب لازم بوده از آن استفاده می‌نمودند</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المکاسب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ذخیرة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المکاسب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آن وصفی که معتمد بر موصوف نباشد؛ یعنی موصوف آن در کلام نیامده باشد</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النهایة فی مجرّد الفقه و الفتاوی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مصابیح الظلام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قواعد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استاد معظّم در مباحث خارج اصول، حجّیت اجماع مدرکی را پذیرفته‌اند</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المکاسب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النهایة فی مجرّد الفقه والفتاوی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المراسم العلویة فی أحکام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الفقاهه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ایضاح 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تفصیل الشریعة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ملاذ الاخیار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تفصیل الشریعة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ایصال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سنن أبی‌داود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إرشاد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اطلاق مقامی آن است که وقتی از امام سؤال می‌شود، اجزای نماز را نام ببرید، ایشان اسمی از سوره نبرند و باتوجّه به اطلاق کلام ایشان، نتیجه که سوره جزء نماز نیست؛ زیرا امام در مقام بیان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مقامی با اطلاق لفظی متفاوت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اطلاق لفظی، لفظ اطلاق دارد، ولی در اطلاق مقامی این‌گونه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از آن‌جا که معصوم علیه السلام در مقام بیان بوده ولی دربارۀ مطلب مورد نظر چیزی نگفته است، به حکم دست می‌یابیم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لازم به ذکر است که هر دو نوع اطلاق، حجّیت دارند</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محقّق خویی روایت صیقل را به‌خاطر سند آن قبول نکرده‌اند؛ ولی امام خمینی سند آن را قبول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نیزدر گذشته آن را پذیرفته و به اشکال سندی پاسخ دادیم</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المکاسب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ملاذ الأخیار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حسین حلّی، دلیل 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الکلام فی ثوبه الجدید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المکاسب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فالجواز مطلقاً للمنافع المحلّله لا یخلو عن قوة</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المکاسب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فالجواز مطلقاً للمنافع المحلّله لا یخلو عن قوة</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النهایة فی مجرّد الفقه والفتاوی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الوسیلة إلی نیل الفضیلة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 اساس این سخن، معلوم می‌شود که تذکیه و عدم تذکیه در حقیقت گوشت اثر می‌گذارد، هرچند ما این اثر را درک نکنیم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گاهی روشنفکرها مسخره می‌کنند که فرق میان گفتن بسم اللّه و نگفتن آن و یا فرق میان عقد نکاح و زنا چیست، در حالی که واقعیت آنها فرقی ندارد؟ ما می‌گوییم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امور در این دنیا از ما پنهان است و ما از واقعیت‌ها خبر نداریم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ارتباطی که مرد و زن به صورت غیر شرعی پیدا می‌کنند، علاوه بر عقوبت اخروی و دنیوی، آثار وضعی بر آن مترتّب است که شاید ما از آنها بی‌اطلاع باشیم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این مسائل صرفا اعتباری نیستند، بلکه تأثیراتی دارند که ما نمی‌فهمیم</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شرائع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السرائر الحاوی لتحریر الفتاوی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المکاسب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المکاسب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المکاسب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النهایة فی مجرّد الفقه والفتاوی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الوسیلة إلی نیل الفضیلة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استاد معظّم در رسالۀ قاعدۀ الزام این نظر را که از نوآوری‌های مهمّ فقهی ایشان است، اختیار و آن را اثبات نموده‌اند</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المکاسب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باید فرض را در این‌جا مطرح کنیم تا اشکال 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با قطع نظر از مردار بودن و اختلاط نیز پیش می‌آید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جاری نشود</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المکاسب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تحریر الوسیلة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سلوق قریه‌ای در یمن بوده است که در آن‌جا سگ‌ها را برای شکار تربیت می‌کردند</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النهایة فی مجرّد الفقه والفتاوی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منتهی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استاد معظّم در مباحث خارج اصول، اجماع مدرکی را معتبر می‌دانند</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ارشاد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تفصیل الشریعة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دراسات فی المکاسب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المکاسب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المکاسب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المکاسب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المکاسب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روایات آمده است که از امام علیه السلام سؤال می‌کنند که چطور شارع، شکاری را که سگ می‌گیرد، حلال می‌داند، امّا اگر گرگ یا یک حیوان دیگری چیزی را شکار کرد، برای انسان حلال نیست؟ امام صادق علیه السلام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این‌که وقتی سگ شکار می‌کند برای خودش این کار را انجام نمی‌دهد؛ بلکه برای صاحبش شکار می‌کند؛ ولی حیوانات دیگر برای خودشان شکار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باید دقّت شود که چقدر عنوان در حکم شرعی دخالت دارد</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نه ذاتیِ به معنای فلسفی؛ بلکه ذاتی به معنای عنوانی که این نوع سگ را حقیقتاً از سگ‌های دیگر جدامی‌کند و به عنوان فصل این جنس به شمار می‌رود</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المکاسب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المکاسب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منتهی المطلب فی تحقیق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المکاسب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النهایة فی مجرّد الفقه والفتاوی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منتهی المطلب فی تحقیق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المکاسب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المکاسب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اشکالی که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بین مطلق و مقیّد تنافی باشد تا آنها بر یک‌دیگر حمل شوند</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المکاسب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النهایة فی مجرّد الفقه والفتاوی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السرائر الحاوی لتحریر الفتاوی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شرایع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قواعد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المکاسب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بحث از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می‌کنیم؛ زیرا در بند دوم از همین گفتار خواهد آمدکه برخلاف نظر برخی فقها، به نظر می‌رسد که ظاهر ادلّه دلالت دارد بر حرمت هر گونه عوض، حتّی اگر هبه معوّضه باشد</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راغب، 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قرآن کریم نیز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 جمع خمار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همین معنا استعمال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لْیَضْرِبْنَ بِخُمُرِهِنَّ عَلی جُیُوبِهِنَّ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الأطعمة والأشربة،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اشربۀ محرّمه</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روایت کلبی معروف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الأطعمة والأشربة نیامده است؛ بلکه در کتاب الطهارة، باب دوم از ابواب ماء المضاف، آمده است</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العَکر، بفتحَتَین، دردیّ الزیت و دردیّ النبیذ ونحوه مما خثر ورسب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طریحی، مجمع‌البحرین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شه شه کلمة استقذار و استقباح و منه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 شه تلک الخمرة المنتنة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جوهری، 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2020</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أنقَعتُ الدَّواءَ وَغَیرَه إنقاعاً تَرَکتُه فِی الماءِ حَتَّی انتَقَعَ وَ هوَ نَقیعٌ فَعیلٌ بِمَعنَی مَفعولٍ وَ یُطلَقُ النَّقیعُ عَلَی الشَّرابِ المُتَّخَذِ مِن ذلِک فَیُقالُ نقیعُ التَّمرِ و الزَّبیبِ وَ غَیرِه إذا تُرِک فِی الماءِ حَتَّی یَنتَقِعَ مِن غَیرِ طَبخٍ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فیومی، 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البِتعُ والبِتَعُ، مثال قِمعٍ وقِمَعٍ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نبیذُ العسلِ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والمِزرُ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الأشربة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أبو عبید أنّ ابنَ عمر قد فسَّر الأنبِذَةَ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البِتعُ نبیذُ العسلِ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نبیذُ الشعیرِ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والمِزرُ من الذُرَةِ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والسَکرُ من 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الخَمرُ من العنب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مطالعۀ روایاتی از این دست،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باب الفقّاع</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المکاسب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الخلل فی الصلاة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وممّا ذکرنا یظهر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فساد الإستدلال بقوله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وَالرُّجزَ فاهجُرً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مضافاً إلی أنّ وروده فی أوائل الإسلام، لکونه جزءاً من السورة التی نزلت اوّلاً أو ثانیاً علی الإختلاف قرینة علی عدم کون المراد بالرجز هو النجس،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هکذا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الرُّجْزَ فَاهْجُرْ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الحمل علی أنّ المراد بالرجز هی النجاسة و النجس فی غایة</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المکاسب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احتمالاً این جریان در آغاز اسلام و اوایل تشریع حرمت خمر رخ داده است و اهداکننده، هنوز از حکم‌حرمت، مطلع نبوده است</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کسی که عصیر و فشردۀ انگور را از کسی که آن را فشرده است، می‌گیرد</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دو احتمال در مورد معنای ساقی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نخست کسی است که درخت انگور را آب می‌دهد که درآینده از میوه‌اش برای خمر استفاده کند، و معنای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ظاهراً همین معنا مورد نظر روایت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کسی است که خمر را برای پذیرایی در پیاله می‌ریزد</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حلّی در خاتمۀ کتاب خلاصه، فائدۀ سوم،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الشیخ الصدوق محمّد بن یعقوب الکلینی فی کتابه الکافی فی أخبار کثیرة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عیسی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والمراد بقولی عدّة من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و علی بن موسی الکمندانی و داود بن کورة و أحمد بن إدریس و علی بن إبراهیم بن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وکلّما ذکرته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بن خالد البرقی، 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و علی بن محمّد بن عبد اللّه بن أذینة و أحمد بن عبد اللّه بن أمیّة و علی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کلّما ذکرته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سهل بن زیاد، 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بن علّان و محمّد بن أبی عبد اللّه و محمّد بن الحسن و محمّد بن عقیل الکلینی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الحسین بن علوان الکلبی، مولاهم کوفی عامّی و أخوه الحسن یکنّی أبا محمّد ثقة رَویا عن أبی عبداللّه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للحسن کتاب، و الحسن أخصّ بنا و 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الحسین عن الأعمش و هشام بن 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للحسین کتاب تختلف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نجاشی، رجال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کتب رجال، قاسم بن سلیمان توثیق نشده است، فقط در فهرست گفته شده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فهرست‌شیخ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قواعد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 نظر ابوحنیفه اگر مسلمانی خمری در اختیار دارد، می‌تواند یک ذمّی را وکیل کند که به ذمّی دیگربفروشد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جای خود خواهد آمد که مطابق ادلّه، اگر ذمّی به ذمّی دیگر خمر فروخت مانعی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این، اگر یک مسیحی پولی را به مسلمانی هبه کند، حتّی اگر مسلمان یقین داشته باشد که این پول در مقابل خمری است که آن مسیحی به یک غیر مسلمان دیگر فروخته، می‌تواند این پول را بگیرد؛ زیرا طبق مذهب خودشان این معامله صحیح و حلال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را در بحث از قاعدۀ التزام به صورت مفصّل بررسی نموده‌ایم</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جزیری، الفقه علی 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انصراف، پایه و اساس محکمی ندارد؛ زیرا یک وجه استظهاری است، نه برهانی</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الأطعمة والأشربة، أبواب الأشربة المحرّمة،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سند این حدیث، بر فرض که دربارء ابن بکیر ابهامی باشد، در مورد جمیل بن درّاج هیچ ایرادی نیست</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طوسی دربارۀ معنای این جمله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نباید آن قدر سرکه در خمر ریخته شود که دیگران گمان کنند این خمر، سرکه است، در حالی که چنین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متن روایت به قرینه می‌فهمیم که سلطان، خریدار را حبس کرده است، نه بایع را</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علیه السلام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تحوّل عن اسم الخمر فلا بأس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اگر ماهیت خمر عوض شود، اشکالی ندارد</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خمینی، استفتائات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خوئی، 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روایات، در بند دوم بررسی خواهد شد</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بحث خمر و مسکرات در چهار باب فقه مطرح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الطهارة که در مورد نجاست یا طهارت‌مسکرات بحث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معاملات، که آیا خرید و فروش خمر جایز است یا خیر؟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اطعمه و اشربه، که بحث از حلال و حرام خوراکی‌ها و نوشیدنی‌هاست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حدود که بحث در مورد حدّ شرب خمر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بحث می‌شود که اگر کسی از راه غیر متعارف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تزریق در بدن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 شد، آیا بر او حد جاری می‌شود یا خیر؟</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انصاری در ابتدای بحث شروط عوضین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یشترط فی کلٍّ منهما کونه متموَّلاً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قداحترزوا بهذا الشرط عمّا لا یُنتفع به منفعة مقصودة للعقلاء، محلَّلة فی الشرع؛ لأنّ الأوّل لیس بمالٍ عرفاً کالخنافس و الدیدان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الثانی لیس بمالٍ شرعاً کالخمر و الخنزیر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فأمّا إن وَجد المضطرّ بولاً و خمراً، یشرب البولَ دون الخمر، لأنّ البول لا یُسکر و لا حدّ فی شربه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لم یجد إلّاخمراً، فالمنصوص لأصحابنا أنّه لا سبیل لأحدٍ إلی شُربها، سواء کان مضطراً إلی الأکل و الشرب أو التداوی، وبه قال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بعضهم إن کان الضرورة العطش حلّ له شربها لیدفع العطش عن نفسه، وقال بعضهم یحلّ للمضطر إلی الطعام والشراب ویحلّ تداوی العین به دون الشراب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فی کلّ شیء تقیة إلّافی الخمر و الدّماء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عبدالحسین لاری، مجموعه 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روایاتی برای این مدّعا آمده است</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وإذا خاف الإنسان علی نفسه من العطش، جاز أن یتناول شیئاً من الخمر بقدر ما یمسک رمقه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یجوز أن‌یتداوی بشیء من الأدویة، وفیها شیء من المسکر، وله عنه مندوحة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إضطرّ إلی ذلک، جاز أن یتداوی به للعین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یجوز له أن یشربه علی 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شرایع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للشرایع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الفقه علی 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پاورقی‌های بحث قبل</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الفقه علی 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علی بن حسین که مشهور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سند این روایت را در عیون أخبارالرضا علیه السلام، این گونه بیان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عَبدُ الواحِدِ بنُ مُحَمَّدِ بنِ عُبدوسٍ النَّیسابوری العَطّارُ رَضی اللّه عَنه بِنَیسابورَ فی شَعبانَ سَنَةَ اثنَتَینِ وَ خَمسینَ وَ ثَلاثِمِائَةٍ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مُحَمَّدِ بنِ قُتَیبَةَ النَّیسابوری عَنِ الفَضلِ بنِ شاذانَ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المأمونُ عَلیَّ بنَ موسَی الرِّضا علیه السلام أن یَکتُبَ لَه مَحضَ الإسلامِ عَلَی سَبیلِ الإیجاز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علاّمۀ حلّی در مورد علی بن أبی‌حمزه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أحد عمد الواقفة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الطوسی فی عدّة مواضع إنّه واقفی و قال أبو الحسن علی بن الحسن بن فضّال علی بن أبی حمزة کذّاب واقفی متّهم ملعون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صاحب جواهر وقتی این روایت را نقل می‌کند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فإنّها لا یزیده إلّاعطشاً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در وسائل‌الشیعة با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یزیده إلّاشرّاً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امّا پس از ذکر روایت،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وَ روی لا تَزیدُه إلّاعَطَشاً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لفحوی ما سمعته ممّا دلّ علی حرمة التداوی بها مع الإنحصار من الإجماع المحکی والنصوص، ضرورة کونه‌أحد أفراد الضرورة، ولاختصاص مورد الرخصة للمضطر فی الآیات الکریمة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قاعدۀ لا 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تنبیه پنجم</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عبارت جواهر، پس از بیان دلیل نخست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مضافاً إلی خصوص ما تقدّم فی خبر المفضّل، و خَبرَی محمّد بن عبد اللّه و محمّد بن عذافر من التصریح بجواز تناول الخمر للمضطر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عبارت ممکن است این گونه گمان شود که در این‌جا سه روایت وجود دارد، ولی در واقع یک روایت است که از چند طریق روایت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 سند مفضّل بن عمر قرار دارد و در سند دیگر محمّد بن عبداللّه است و در سند دیگر عبداللّه بن عذافر</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در ابتدای جلد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خوئی،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در فلاح السائل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روایتی را از کتاب أمالی صدوق نقل کرده است که در سند این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 بن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مورد سلسلۀ راویان حدیث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رواةُ الحدیثِ ثقاتٌ بالاتّفاق</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گاهی نام یک راوی بین چند نفر مشترک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تشخیص و تمییز او، هم باید ببینیم که از چه کسی نقل می‌کند و هم ببینیم چه کسی از او نقل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گفته‌اند آن محمّد بن عبداللّه که عمرو بن عثمان از او نقل می‌کند، محمّد بن عبداللّه بن مهران است که نجاشی او را غالی، کذّاب، فاسد المذهب و الحدیث دانسته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خوئی،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ابن غضائری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حَدَّثَنا مُحَمَّدُ بنُ الحَسَنِ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الصَّفّارُ عَن مُحَمَّدِ بنِ الحُسَینِ بنِ أبی الخَطّابِ عَن‌مُحَمَّدِ بنِ إسماعیلَ بنِ بَزیعٍ عَن مُحَمَّدِ بنِ عُذافِرٍ عَن بَعضِ رِجالِه عَن أبی جَعفَرٍ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المشیخة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المشیخه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المکاسب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محاضرات فی الفقه الجعفری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والمراد به، إمّا أخذ الخمر مجّاناً ثمّ تخلیلها، أو أخذها و تخلیلها لصاحبها ثمّ أخذ الخل وفاء عن الدراهم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تفصیل الشریعة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المکاسب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حاشیة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تبریزی، ارشاد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چنان‌که ملاحظه می‌شود، فقه الحدیث روایت نیاز به دقّت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مهم‌ترین منبع برای فقیه است ونکات بسیار دقیقی در آنها وجود دارد که گاهی ممکن است از یک تعبیر، صدها فرع فقهی استفاده شود</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المکاسب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محاضرات فی الفقه الجعفری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فإنّ لزوم الإجتناب یعمّ بیعها وشراءها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علی المشهور المعروف، بل حکی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إجماع أصحابنا علی أنّ الکفّار مکلّفون بالفروع کما هم مکلّفون‌بالاُصول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محسن حکیم، مستمسک 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أنّ الکفّار مکلّفون بالفروع؟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یکونوا مکلّفین بالفروع، و اللّه العالم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صراط النجاة، المحشّی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ص؟؟؟؟</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نسخه‌های قدیم کتاب کافی و برخی نسخه‌های وسائل، به جای أبی نجران، ابن أبی عمیر آمده است</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کافی، به جای محمّد بن مسکان محمّد بن سنان آمده است</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منصور، مردّد بین چند نفر است و در این‌جا مراد، منصور بن حازم است که موثّق و روایتش معتبر است</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پیش از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باب خنزیر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دلایل این مطلب بیان شده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صفحات بعد نیز نمونه‌هایی از این دست روایات را مرور خواهیم کرد</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اعراض مشهور در جایی است که روایتی مورد بحث و بررسی مشهور فقها واقع شده است، امّا ایشان بر طبق‌آن فتوا نداده‌اند</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السابعة، یحرم التکسّب بالخمر و کل مسکر مائع والفقّاع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النوع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الاکتساب بالأعیان النجسة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در مباحث پیش بیان شد که نجاست به خودی خود، مانع بیع نیست؛ بلکه اگر منفعت حلالی بر آن مترتّب باشد، بیعش صحیح است</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الفاظ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ما أسکرَ من عَصیرِ کلِّ شَیءِ لأنَّ المَدارَ علی السُّکر و غَیبوبة العَقل، و هو الذی اختاره الجَماهیر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والعُمومُ، أی کونها عَصیرَ کلِّ شَیءٍ یَحصُلُ به السُّکرُ أصَحّ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بعضی از فقها بر این باورند که این حکم مربوط به تمام مساجد است؛ یعنی هر مسجدی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تخوم الأرض إلی‌عنان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مسجد دارد، حال آن‌که این تعبیر فقط راجع به کعبه در مسجد الحرام است</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محمّدجواد فاضل، پژوهشی فقهی دربارۀ طواف از طبقۀ اوّل مسجد الحرام</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کتاب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بابی وجود دارد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تفویض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محتوای آن این است که پیامبر اکرم صلی الله علیه و آله در تشریع واجب و حرام، اختیاراتی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نیز از آن جمله است</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image" Target="media/image2.jpeg"/><Relationship Id="rId559" Type="http://schemas.openxmlformats.org/officeDocument/2006/relationships/image" Target="media/image2.jpeg"/><Relationship Id="rId560" Type="http://schemas.openxmlformats.org/officeDocument/2006/relationships/footer" Target="footer553.xml"/><Relationship Id="rId561" Type="http://schemas.openxmlformats.org/officeDocument/2006/relationships/footnotes" Target="footnotes.xml"/><Relationship Id="rId562" Type="http://schemas.openxmlformats.org/officeDocument/2006/relationships/numbering" Target="numbering.xml"/><Relationship Id="rId563" Type="http://schemas.openxmlformats.org/officeDocument/2006/relationships/fontTable" Target="fontTable.xml"/><Relationship Id="rId564" Type="http://schemas.openxmlformats.org/officeDocument/2006/relationships/settings" Target="settings.xml"/><Relationship Id="rId5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565</Pages>
  <Words>98123</Words>
  <Characters>380146</Characters>
  <CharactersWithSpaces>475165</CharactersWithSpaces>
  <Paragraphs>3104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2026-08-28T10:29:24Z</dcterms:created>
  <dc:creator>ghaemiyeh.com</dc:creator>
  <dc:description/>
  <dc:language>en-US</dc:language>
  <cp:lastModifiedBy/>
  <dcterms:modified xsi:type="dcterms:W3CDTF">2026-08-28T13:59:40Z</dcterms:modified>
  <cp:revision>1</cp:revision>
  <dc:subject/>
  <dc:title>مکاسب محرمه درس های خارج فقه حضرت آیه الله حاج شیخ محمدجواد فاضل لنکرانی دام ظله جلد 1</dc:title>
</cp:coreProperties>
</file>

<file path=docProps/custom.xml><?xml version="1.0" encoding="utf-8"?>
<Properties xmlns="http://schemas.openxmlformats.org/officeDocument/2006/custom-properties" xmlns:vt="http://schemas.openxmlformats.org/officeDocument/2006/docPropsVTypes"/>
</file>