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المکونات الإعلامیة و أثرها فی أبعاد الخطاب دراسة لسانیة فی عهد الإمام علی علیه السلام لمالک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7027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40702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07031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7407033_105122903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407035_1051229030">
            <w:r>
              <w:rPr>
                <w:webHidden/>
                <w:rStyle w:val="IndexLink"/>
                <w:rtl w:val="true"/>
              </w:rPr>
              <w:t>المبحث الأول المكونات التركيبية</w:t>
            </w:r>
            <w:r>
              <w:rPr>
                <w:rStyle w:val="IndexLink"/>
                <w:rtl w:val="true"/>
              </w:rPr>
              <w:tab/>
            </w:r>
            <w:r>
              <w:rPr>
                <w:rStyle w:val="IndexLink"/>
              </w:rPr>
              <w:t>16</w:t>
            </w:r>
          </w:hyperlink>
        </w:p>
        <w:p>
          <w:pPr>
            <w:pStyle w:val="Contents2"/>
            <w:tabs>
              <w:tab w:val="clear" w:pos="8743"/>
              <w:tab w:val="right" w:pos="9026" w:leader="dot"/>
            </w:tabs>
            <w:rPr/>
          </w:pPr>
          <w:hyperlink w:anchor="__RefHeading___Toc7407037_1051229030">
            <w:r>
              <w:rPr>
                <w:webHidden/>
                <w:rStyle w:val="IndexLink"/>
                <w:rtl w:val="true"/>
              </w:rPr>
              <w:t>اولاً</w:t>
            </w:r>
            <w:r>
              <w:rPr>
                <w:rStyle w:val="IndexLink"/>
                <w:rtl w:val="true"/>
              </w:rPr>
              <w:t xml:space="preserve">: </w:t>
            </w:r>
            <w:r>
              <w:rPr>
                <w:rStyle w:val="IndexLink"/>
                <w:rtl w:val="true"/>
              </w:rPr>
              <w:t>الأفعال الإعلانية</w:t>
            </w:r>
            <w:r>
              <w:rPr>
                <w:rStyle w:val="IndexLink"/>
                <w:rtl w:val="true"/>
              </w:rPr>
              <w:t>.</w:t>
              <w:tab/>
            </w:r>
            <w:r>
              <w:rPr>
                <w:rStyle w:val="IndexLink"/>
              </w:rPr>
              <w:t>18</w:t>
            </w:r>
          </w:hyperlink>
        </w:p>
        <w:p>
          <w:pPr>
            <w:pStyle w:val="Contents2"/>
            <w:tabs>
              <w:tab w:val="clear" w:pos="8743"/>
              <w:tab w:val="right" w:pos="9026" w:leader="dot"/>
            </w:tabs>
            <w:rPr/>
          </w:pPr>
          <w:hyperlink w:anchor="__RefHeading___Toc7407039_1051229030">
            <w:r>
              <w:rPr>
                <w:webHidden/>
                <w:rStyle w:val="IndexLink"/>
                <w:rtl w:val="true"/>
              </w:rPr>
              <w:t>ثانيًا</w:t>
            </w:r>
            <w:r>
              <w:rPr>
                <w:rStyle w:val="IndexLink"/>
                <w:rtl w:val="true"/>
              </w:rPr>
              <w:t xml:space="preserve">: </w:t>
            </w:r>
            <w:r>
              <w:rPr>
                <w:rStyle w:val="IndexLink"/>
                <w:rtl w:val="true"/>
              </w:rPr>
              <w:t>التراكيب السطحية</w:t>
            </w:r>
            <w:r>
              <w:rPr>
                <w:rStyle w:val="IndexLink"/>
                <w:rtl w:val="true"/>
              </w:rPr>
              <w:t>.</w:t>
              <w:tab/>
            </w:r>
            <w:r>
              <w:rPr>
                <w:rStyle w:val="IndexLink"/>
              </w:rPr>
              <w:t>21</w:t>
            </w:r>
          </w:hyperlink>
        </w:p>
        <w:p>
          <w:pPr>
            <w:pStyle w:val="Contents2"/>
            <w:tabs>
              <w:tab w:val="clear" w:pos="8743"/>
              <w:tab w:val="right" w:pos="9026" w:leader="dot"/>
            </w:tabs>
            <w:rPr/>
          </w:pPr>
          <w:hyperlink w:anchor="__RefHeading___Toc7407041_1051229030">
            <w:r>
              <w:rPr>
                <w:webHidden/>
                <w:rStyle w:val="IndexLink"/>
                <w:rtl w:val="true"/>
              </w:rPr>
              <w:t>ثالثا</w:t>
            </w:r>
            <w:r>
              <w:rPr>
                <w:rStyle w:val="IndexLink"/>
                <w:rtl w:val="true"/>
              </w:rPr>
              <w:t xml:space="preserve">: </w:t>
            </w:r>
            <w:r>
              <w:rPr>
                <w:rStyle w:val="IndexLink"/>
                <w:rtl w:val="true"/>
              </w:rPr>
              <w:t>التراكيب العميقة</w:t>
            </w:r>
            <w:r>
              <w:rPr>
                <w:rStyle w:val="IndexLink"/>
                <w:rtl w:val="true"/>
              </w:rPr>
              <w:tab/>
            </w:r>
            <w:r>
              <w:rPr>
                <w:rStyle w:val="IndexLink"/>
              </w:rPr>
              <w:t>34</w:t>
            </w:r>
          </w:hyperlink>
        </w:p>
        <w:p>
          <w:pPr>
            <w:pStyle w:val="Contents2"/>
            <w:tabs>
              <w:tab w:val="clear" w:pos="8743"/>
              <w:tab w:val="right" w:pos="9026" w:leader="dot"/>
            </w:tabs>
            <w:rPr/>
          </w:pPr>
          <w:hyperlink w:anchor="__RefHeading___Toc7407043_1051229030">
            <w:r>
              <w:rPr>
                <w:webHidden/>
                <w:rStyle w:val="IndexLink"/>
                <w:rtl w:val="true"/>
              </w:rPr>
              <w:t>رابعًا</w:t>
            </w:r>
            <w:r>
              <w:rPr>
                <w:rStyle w:val="IndexLink"/>
                <w:rtl w:val="true"/>
              </w:rPr>
              <w:t xml:space="preserve">: </w:t>
            </w:r>
            <w:r>
              <w:rPr>
                <w:rStyle w:val="IndexLink"/>
                <w:rtl w:val="true"/>
              </w:rPr>
              <w:t>أبنية المطابقة</w:t>
            </w:r>
            <w:r>
              <w:rPr>
                <w:rStyle w:val="IndexLink"/>
                <w:rtl w:val="true"/>
              </w:rPr>
              <w:tab/>
            </w:r>
            <w:r>
              <w:rPr>
                <w:rStyle w:val="IndexLink"/>
              </w:rPr>
              <w:t>40</w:t>
            </w:r>
          </w:hyperlink>
        </w:p>
        <w:p>
          <w:pPr>
            <w:pStyle w:val="Contents2"/>
            <w:tabs>
              <w:tab w:val="clear" w:pos="8743"/>
              <w:tab w:val="right" w:pos="9026" w:leader="dot"/>
            </w:tabs>
            <w:rPr/>
          </w:pPr>
          <w:hyperlink w:anchor="__RefHeading___Toc7407045_1051229030">
            <w:r>
              <w:rPr>
                <w:webHidden/>
                <w:rStyle w:val="IndexLink"/>
                <w:rtl w:val="true"/>
              </w:rPr>
              <w:t>المبحث الثاني المكونات التصورية</w:t>
            </w:r>
            <w:r>
              <w:rPr>
                <w:rStyle w:val="IndexLink"/>
                <w:rtl w:val="true"/>
              </w:rPr>
              <w:tab/>
            </w:r>
            <w:r>
              <w:rPr>
                <w:rStyle w:val="IndexLink"/>
              </w:rPr>
              <w:t>44</w:t>
            </w:r>
          </w:hyperlink>
        </w:p>
        <w:p>
          <w:pPr>
            <w:pStyle w:val="Contents2"/>
            <w:tabs>
              <w:tab w:val="clear" w:pos="8743"/>
              <w:tab w:val="right" w:pos="9026" w:leader="dot"/>
            </w:tabs>
            <w:rPr/>
          </w:pPr>
          <w:hyperlink w:anchor="__RefHeading___Toc7407047_1051229030">
            <w:r>
              <w:rPr>
                <w:webHidden/>
                <w:rStyle w:val="IndexLink"/>
                <w:rtl w:val="true"/>
              </w:rPr>
              <w:t>أولاً</w:t>
            </w:r>
            <w:r>
              <w:rPr>
                <w:rStyle w:val="IndexLink"/>
                <w:rtl w:val="true"/>
              </w:rPr>
              <w:t xml:space="preserve">: </w:t>
            </w:r>
            <w:r>
              <w:rPr>
                <w:rStyle w:val="IndexLink"/>
                <w:rtl w:val="true"/>
              </w:rPr>
              <w:t>المجاز</w:t>
            </w:r>
            <w:r>
              <w:rPr>
                <w:rStyle w:val="IndexLink"/>
                <w:rtl w:val="true"/>
              </w:rPr>
              <w:t>.</w:t>
              <w:tab/>
            </w:r>
            <w:r>
              <w:rPr>
                <w:rStyle w:val="IndexLink"/>
              </w:rPr>
              <w:t>46</w:t>
            </w:r>
          </w:hyperlink>
        </w:p>
        <w:p>
          <w:pPr>
            <w:pStyle w:val="Contents2"/>
            <w:tabs>
              <w:tab w:val="clear" w:pos="8743"/>
              <w:tab w:val="right" w:pos="9026" w:leader="dot"/>
            </w:tabs>
            <w:rPr/>
          </w:pPr>
          <w:hyperlink w:anchor="__RefHeading___Toc7407049_1051229030">
            <w:r>
              <w:rPr>
                <w:webHidden/>
                <w:rStyle w:val="IndexLink"/>
                <w:rtl w:val="true"/>
              </w:rPr>
              <w:t>ثانيًا</w:t>
            </w:r>
            <w:r>
              <w:rPr>
                <w:rStyle w:val="IndexLink"/>
                <w:rtl w:val="true"/>
              </w:rPr>
              <w:t xml:space="preserve">: </w:t>
            </w:r>
            <w:r>
              <w:rPr>
                <w:rStyle w:val="IndexLink"/>
                <w:rtl w:val="true"/>
              </w:rPr>
              <w:t>الكناية</w:t>
            </w:r>
            <w:r>
              <w:rPr>
                <w:rStyle w:val="IndexLink"/>
                <w:rtl w:val="true"/>
              </w:rPr>
              <w:t>.</w:t>
              <w:tab/>
            </w:r>
            <w:r>
              <w:rPr>
                <w:rStyle w:val="IndexLink"/>
              </w:rPr>
              <w:t>53</w:t>
            </w:r>
          </w:hyperlink>
        </w:p>
        <w:p>
          <w:pPr>
            <w:pStyle w:val="Contents2"/>
            <w:tabs>
              <w:tab w:val="clear" w:pos="8743"/>
              <w:tab w:val="right" w:pos="9026" w:leader="dot"/>
            </w:tabs>
            <w:rPr/>
          </w:pPr>
          <w:hyperlink w:anchor="__RefHeading___Toc7407051_1051229030">
            <w:r>
              <w:rPr>
                <w:webHidden/>
                <w:rStyle w:val="IndexLink"/>
                <w:rtl w:val="true"/>
              </w:rPr>
              <w:t>ثالثا</w:t>
            </w:r>
            <w:r>
              <w:rPr>
                <w:rStyle w:val="IndexLink"/>
                <w:rtl w:val="true"/>
              </w:rPr>
              <w:t xml:space="preserve">: </w:t>
            </w:r>
            <w:r>
              <w:rPr>
                <w:rStyle w:val="IndexLink"/>
                <w:rtl w:val="true"/>
              </w:rPr>
              <w:t>التعريض</w:t>
            </w:r>
            <w:r>
              <w:rPr>
                <w:rStyle w:val="IndexLink"/>
                <w:rtl w:val="true"/>
              </w:rPr>
              <w:t>:</w:t>
              <w:tab/>
            </w:r>
            <w:r>
              <w:rPr>
                <w:rStyle w:val="IndexLink"/>
              </w:rPr>
              <w:t>54</w:t>
            </w:r>
          </w:hyperlink>
        </w:p>
        <w:p>
          <w:pPr>
            <w:pStyle w:val="Contents2"/>
            <w:tabs>
              <w:tab w:val="clear" w:pos="8743"/>
              <w:tab w:val="right" w:pos="9026" w:leader="dot"/>
            </w:tabs>
            <w:rPr/>
          </w:pPr>
          <w:hyperlink w:anchor="__RefHeading___Toc7407053_1051229030">
            <w:r>
              <w:rPr>
                <w:webHidden/>
                <w:rStyle w:val="IndexLink"/>
                <w:rtl w:val="true"/>
              </w:rPr>
              <w:t>رابعًا</w:t>
            </w:r>
            <w:r>
              <w:rPr>
                <w:rStyle w:val="IndexLink"/>
                <w:rtl w:val="true"/>
              </w:rPr>
              <w:t xml:space="preserve">: </w:t>
            </w:r>
            <w:r>
              <w:rPr>
                <w:rStyle w:val="IndexLink"/>
                <w:rtl w:val="true"/>
              </w:rPr>
              <w:t>التشبيه</w:t>
            </w:r>
            <w:r>
              <w:rPr>
                <w:rStyle w:val="IndexLink"/>
                <w:rtl w:val="true"/>
              </w:rPr>
              <w:t>.</w:t>
              <w:tab/>
            </w:r>
            <w:r>
              <w:rPr>
                <w:rStyle w:val="IndexLink"/>
              </w:rPr>
              <w:t>56</w:t>
            </w:r>
          </w:hyperlink>
        </w:p>
        <w:p>
          <w:pPr>
            <w:pStyle w:val="Contents2"/>
            <w:tabs>
              <w:tab w:val="clear" w:pos="8743"/>
              <w:tab w:val="right" w:pos="9026" w:leader="dot"/>
            </w:tabs>
            <w:rPr/>
          </w:pPr>
          <w:hyperlink w:anchor="__RefHeading___Toc7407055_1051229030">
            <w:r>
              <w:rPr>
                <w:webHidden/>
                <w:rStyle w:val="IndexLink"/>
                <w:rtl w:val="true"/>
              </w:rPr>
              <w:t>خامساً</w:t>
            </w:r>
            <w:r>
              <w:rPr>
                <w:rStyle w:val="IndexLink"/>
                <w:rtl w:val="true"/>
              </w:rPr>
              <w:t xml:space="preserve">: </w:t>
            </w:r>
            <w:r>
              <w:rPr>
                <w:rStyle w:val="IndexLink"/>
                <w:rtl w:val="true"/>
              </w:rPr>
              <w:t>البديع</w:t>
            </w:r>
            <w:r>
              <w:rPr>
                <w:rStyle w:val="IndexLink"/>
                <w:rtl w:val="true"/>
              </w:rPr>
              <w:t>.</w:t>
              <w:tab/>
            </w:r>
            <w:r>
              <w:rPr>
                <w:rStyle w:val="IndexLink"/>
              </w:rPr>
              <w:t>59</w:t>
            </w:r>
          </w:hyperlink>
        </w:p>
        <w:p>
          <w:pPr>
            <w:pStyle w:val="Contents2"/>
            <w:tabs>
              <w:tab w:val="clear" w:pos="8743"/>
              <w:tab w:val="right" w:pos="9026" w:leader="dot"/>
            </w:tabs>
            <w:rPr/>
          </w:pPr>
          <w:hyperlink w:anchor="__RefHeading___Toc7407057_1051229030">
            <w:r>
              <w:rPr>
                <w:webHidden/>
                <w:rStyle w:val="IndexLink"/>
                <w:rtl w:val="true"/>
              </w:rPr>
              <w:t>سادساً</w:t>
            </w:r>
            <w:r>
              <w:rPr>
                <w:rStyle w:val="IndexLink"/>
                <w:rtl w:val="true"/>
              </w:rPr>
              <w:t xml:space="preserve">: </w:t>
            </w:r>
            <w:r>
              <w:rPr>
                <w:rStyle w:val="IndexLink"/>
                <w:rtl w:val="true"/>
              </w:rPr>
              <w:t>الإيجاز</w:t>
            </w:r>
            <w:r>
              <w:rPr>
                <w:rStyle w:val="IndexLink"/>
                <w:rtl w:val="true"/>
              </w:rPr>
              <w:t>.</w:t>
              <w:tab/>
            </w:r>
            <w:r>
              <w:rPr>
                <w:rStyle w:val="IndexLink"/>
              </w:rPr>
              <w:t>69</w:t>
            </w:r>
          </w:hyperlink>
        </w:p>
        <w:p>
          <w:pPr>
            <w:pStyle w:val="Contents2"/>
            <w:tabs>
              <w:tab w:val="clear" w:pos="8743"/>
              <w:tab w:val="right" w:pos="9026" w:leader="dot"/>
            </w:tabs>
            <w:rPr/>
          </w:pPr>
          <w:hyperlink w:anchor="__RefHeading___Toc7407059_1051229030">
            <w:r>
              <w:rPr>
                <w:webHidden/>
                <w:rStyle w:val="IndexLink"/>
                <w:rtl w:val="true"/>
              </w:rPr>
              <w:t>سابعاً</w:t>
            </w:r>
            <w:r>
              <w:rPr>
                <w:rStyle w:val="IndexLink"/>
                <w:rtl w:val="true"/>
              </w:rPr>
              <w:t xml:space="preserve">: </w:t>
            </w:r>
            <w:r>
              <w:rPr>
                <w:rStyle w:val="IndexLink"/>
                <w:rtl w:val="true"/>
              </w:rPr>
              <w:t>الإطناب</w:t>
            </w:r>
            <w:r>
              <w:rPr>
                <w:rStyle w:val="IndexLink"/>
                <w:rtl w:val="true"/>
              </w:rPr>
              <w:t>.</w:t>
              <w:tab/>
            </w:r>
            <w:r>
              <w:rPr>
                <w:rStyle w:val="IndexLink"/>
              </w:rPr>
              <w:t>72</w:t>
            </w:r>
          </w:hyperlink>
        </w:p>
        <w:p>
          <w:pPr>
            <w:pStyle w:val="Contents2"/>
            <w:tabs>
              <w:tab w:val="clear" w:pos="8743"/>
              <w:tab w:val="right" w:pos="9026" w:leader="dot"/>
            </w:tabs>
            <w:rPr/>
          </w:pPr>
          <w:hyperlink w:anchor="__RefHeading___Toc7407061_1051229030">
            <w:r>
              <w:rPr>
                <w:webHidden/>
                <w:rStyle w:val="IndexLink"/>
                <w:rtl w:val="true"/>
              </w:rPr>
              <w:t>الخاتمة</w:t>
            </w:r>
            <w:r>
              <w:rPr>
                <w:rStyle w:val="IndexLink"/>
                <w:rtl w:val="true"/>
              </w:rPr>
              <w:t>:</w:t>
              <w:tab/>
            </w:r>
            <w:r>
              <w:rPr>
                <w:rStyle w:val="IndexLink"/>
              </w:rPr>
              <w:t>78</w:t>
            </w:r>
          </w:hyperlink>
        </w:p>
        <w:p>
          <w:pPr>
            <w:pStyle w:val="Contents2"/>
            <w:tabs>
              <w:tab w:val="clear" w:pos="8743"/>
              <w:tab w:val="right" w:pos="9026" w:leader="dot"/>
            </w:tabs>
            <w:rPr/>
          </w:pPr>
          <w:hyperlink w:anchor="__RefHeading___Toc7407063_1051229030">
            <w:r>
              <w:rPr>
                <w:webHidden/>
                <w:rStyle w:val="IndexLink"/>
                <w:rtl w:val="true"/>
              </w:rPr>
              <w:t>روافد البحث</w:t>
            </w:r>
            <w:r>
              <w:rPr>
                <w:rStyle w:val="IndexLink"/>
                <w:rtl w:val="true"/>
              </w:rPr>
              <w:tab/>
            </w:r>
            <w:r>
              <w:rPr>
                <w:rStyle w:val="IndexLink"/>
              </w:rPr>
              <w:t>80</w:t>
            </w:r>
          </w:hyperlink>
        </w:p>
        <w:p>
          <w:pPr>
            <w:pStyle w:val="Contents2"/>
            <w:tabs>
              <w:tab w:val="clear" w:pos="8743"/>
              <w:tab w:val="right" w:pos="9026" w:leader="dot"/>
            </w:tabs>
            <w:rPr/>
          </w:pPr>
          <w:hyperlink w:anchor="__RefHeading___Toc7407065_1051229030">
            <w:r>
              <w:rPr>
                <w:webHidden/>
                <w:rStyle w:val="IndexLink"/>
                <w:rtl w:val="true"/>
              </w:rPr>
              <w:t>المحتويات</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7_83328"/>
      <w:bookmarkStart w:id="1" w:name="pg8037_83328"/>
      <w:bookmarkEnd w:id="1"/>
    </w:p>
    <w:p>
      <w:pPr>
        <w:pStyle w:val="Heading2"/>
        <w:numPr>
          <w:ilvl w:val="1"/>
          <w:numId w:val="1"/>
        </w:numPr>
        <w:rPr/>
      </w:pPr>
      <w:bookmarkStart w:id="2" w:name="pg8037_83328"/>
      <w:bookmarkStart w:id="3" w:name="__RefHeading___Toc7407027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المكونات الإعلامية وأثرها في أبعاد الخطاب دراسة لسانية في عهد الإمام علي علیه السلام لمالك الأشتر رضي الله عنه</w:t>
      </w:r>
    </w:p>
    <w:p>
      <w:pPr>
        <w:pStyle w:val="BookText"/>
        <w:rPr/>
      </w:pPr>
      <w:r>
        <w:rPr>
          <w:rFonts w:ascii="IRNazanin" w:hAnsi="IRNazanin" w:eastAsia="IRNazanin"/>
          <w:color w:val="111111"/>
          <w:sz w:val="28"/>
          <w:sz w:val="28"/>
          <w:szCs w:val="28"/>
          <w:rtl w:val="true"/>
          <w:lang w:bidi="fa-IR"/>
        </w:rPr>
        <w:t>تأليف الدكتور حامد بد عبد الحسين، مدرس مساعد حسن حمید حنون، تقديم السيد نبيل الحسني الكربلائي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702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الت </w:t>
      </w:r>
      <w:r>
        <w:rPr>
          <w:rFonts w:eastAsia="Times New Roman" w:cs="Times New Roman" w:ascii="Times New Roman" w:hAnsi="Times New Roman"/>
          <w:color w:val="111111"/>
          <w:sz w:val="28"/>
          <w:szCs w:val="28"/>
          <w:lang w:val="en-US" w:bidi="en-US"/>
        </w:rPr>
        <w:t>ISBN 978-9933-582-15-9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9789933</w:t>
      </w:r>
      <w:r>
        <w:rPr>
          <w:rFonts w:eastAsia="Times New Roman" w:cs="Times New Roman" w:ascii="Times New Roman" w:hAnsi="Times New Roman"/>
          <w:color w:val="111111"/>
          <w:sz w:val="28"/>
          <w:szCs w:val="28"/>
          <w:lang w:val="en-US" w:bidi="en-US"/>
        </w:rPr>
        <w:t>II582159lly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BP38.08.L3 A2 2017 :LC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حامد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المكونات الإعلامية وأثرها في أبعاد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لسانية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حامد بد عبد الحسين، مدرس مساعد حسن حمید حنون، تقديم السيد نبيل الحسني 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وحدة علوم اللغة العربية؛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بيلوغرافية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حنون، حسن رحیم،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علوم اللغة العربية المكونات الإعلامية وأثرها في أبعاد الخطاب دراسة لسانية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بدر عبد الحسين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 حنون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8037_8333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407031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النصوص </w:t>
      </w:r>
    </w:p>
    <w:p>
      <w:pPr>
        <w:pStyle w:val="BookText"/>
        <w:rPr/>
      </w:pPr>
      <w:r>
        <w:rPr>
          <w:rFonts w:ascii="Amiri" w:hAnsi="Amiri" w:eastAsia="Amiri" w:cs="Amiri"/>
          <w:color w:val="111111"/>
          <w:sz w:val="28"/>
          <w:sz w:val="28"/>
          <w:szCs w:val="28"/>
          <w:rtl w:val="true"/>
          <w:lang w:bidi="ar-SA"/>
        </w:rPr>
        <w:t>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خصبة للعلوم الإنسانية التي هي أشرف العلوم ومدار بناء الإنسان وإصلاح متعلقاته الحياتية وذلك ضمن سلسلة بحثية علمية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p>
    <w:p>
      <w:pPr>
        <w:pStyle w:val="BookText"/>
        <w:rPr/>
      </w:pP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المكونات الإعلامية وأثرها في أبعاد الخطاب دراسة لسانية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فيه الباحثان إلى الجوانب الإعلامية التي تضمنها العهد الشريف التركيبية منها والصورية، التي تمثلت في الطابع الفني الذي امتاز بها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أجرهها، والحمد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037_8334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407033_1051229030"/>
      <w:bookmarkStart w:id="12" w:name="_Toc4"/>
      <w:bookmarkEnd w:id="11"/>
      <w:r>
        <w:rPr>
          <w:rtl w:val="true"/>
        </w:rPr>
        <w:t>مقدمة</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تعني 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التوقعِ الذي تحظى به أحداث الخطاب في مقابل عدم التوقع، أو المعلوم في مقابل المجهول، ومن المظاهر التي تسهم في ارتفاع مستوى الكفاءة الإعلامية في الخطاب لدى العلماء العرب القدامى هو اتساع المعنى، إذ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رشيق،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 الشاعر بيتا يتسع فيه التأويل فيأتي كلّ واحد بمعنى؛ وإنّما يقع ذلك لاحتمال اللفظ وقوته واتساع المعنى</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وسبب ارتفاع مستوى الكفاءة الإعلامية لهذه </w:t>
      </w:r>
    </w:p>
    <w:p>
      <w:pPr>
        <w:pStyle w:val="BookText"/>
        <w:rPr/>
      </w:pPr>
      <w:r>
        <w:rPr>
          <w:rFonts w:ascii="Amiri" w:hAnsi="Amiri" w:eastAsia="Amiri" w:cs="Amiri"/>
          <w:color w:val="111111"/>
          <w:sz w:val="28"/>
          <w:sz w:val="28"/>
          <w:szCs w:val="28"/>
          <w:rtl w:val="true"/>
          <w:lang w:bidi="ar-SA"/>
        </w:rPr>
        <w:t>النصّوص التي يتسع فيها المعنى هو كثرة الاحتمالات للمعنى واللفظ</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وللإعلامية مظهر آخر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الجرجاني، 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قد عرفت هذه الجملة، فهاهنا عبارة مختصرة وهي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بالمعنی المفهوم من ظاهرة اللفظ والذي تصل إليه بغير واسطة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تعقل من اللفظ معنی، ثم يفضي بك ذلك المعنى إلى معنی آخر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ويفهم من هذا القول إن للنصّ بنية ظاهرة والبحث فيه يخلق معنی آخر جديد بالاعتماد على قرائن وأساليب، ولذلك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الدين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معنى المعنى هو تعقد شبكة من العلاقات المتبادلة بين عدد من العناصر اللغويّة وغير اللغويّة، وإن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إدراكه يقتضي تآزر </w:t>
      </w:r>
    </w:p>
    <w:p>
      <w:pPr>
        <w:pStyle w:val="BookText"/>
        <w:rPr/>
      </w:pPr>
      <w:r>
        <w:rPr>
          <w:rFonts w:ascii="Amiri" w:hAnsi="Amiri" w:eastAsia="Amiri" w:cs="Amiri"/>
          <w:color w:val="111111"/>
          <w:sz w:val="28"/>
          <w:sz w:val="28"/>
          <w:szCs w:val="28"/>
          <w:rtl w:val="true"/>
          <w:lang w:bidi="ar-SA"/>
        </w:rPr>
        <w:t>الأدوار التي تؤديها هذه العناصر من أجل أن تلتقي جميعا في ذلك الموقع المركزي منها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معيار الإعلامية مهمّا جدًا في تحفيز التواصل بين النصّ والمتلقي، وجعله أكثر تشويقاً، ومن المحتمل أن يؤدي ضعف الإعلامية بوجه خاص إلى الارتباك وإلى الملل، بل إلى رفض النصّ في بعض الأحيان</w:t>
      </w:r>
      <w:r>
        <w:rPr>
          <w:rStyle w:val="FootnoteAnchor"/>
          <w:rtl w:val="true"/>
        </w:rPr>
        <w:footnoteReference w:id="5"/>
      </w:r>
      <w:r>
        <w:rPr>
          <w:rFonts w:ascii="IRNazanin" w:hAnsi="IRNazanin" w:eastAsia="IRNazanin"/>
          <w:color w:val="111111"/>
          <w:sz w:val="28"/>
          <w:sz w:val="28"/>
          <w:szCs w:val="28"/>
          <w:rtl w:val="true"/>
          <w:lang w:bidi="fa-IR"/>
        </w:rPr>
        <w:t xml:space="preserve">، لذا يعدّ مدى التوقع الذي تحظى به وقائع النصّ المعروض في مقابل عدم التوقع، أو المعلوم مقابل المجهول وسائل تبعد الملل عن القارئ وخاصة عندما يتلقى مستعملو النصّ نصًّا یرونه خارج المتوقع والمحتمل و خارج الاعتياد اللّغويّ عندهم، فكلما زاد عدد البدائل الممكنة في نصّ ما ارتفعت القيمة الإعلامية لاستعمال أيّ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
      </w:r>
      <w:r>
        <w:rPr>
          <w:rFonts w:ascii="Amiri" w:hAnsi="Amiri" w:eastAsia="Amiri" w:cs="Amiri"/>
          <w:color w:val="111111"/>
          <w:sz w:val="28"/>
          <w:sz w:val="28"/>
          <w:szCs w:val="28"/>
          <w:rtl w:val="true"/>
          <w:lang w:bidi="ar-SA"/>
        </w:rPr>
        <w:t>، لذا تعمل على الارتقاء بالنصّ إلى المستوى الذي تتفاعل فيه اللغة والعقل والمجتمع بصورة فعالة ومعبرة</w:t>
      </w:r>
      <w:r>
        <w:rPr>
          <w:rStyle w:val="FootnoteAnchor"/>
          <w:rtl w:val="true"/>
        </w:rPr>
        <w:footnoteReference w:id="7"/>
      </w:r>
      <w:r>
        <w:rPr>
          <w:rFonts w:ascii="IRNazanin" w:hAnsi="IRNazanin" w:eastAsia="IRNazanin"/>
          <w:color w:val="111111"/>
          <w:sz w:val="28"/>
          <w:sz w:val="28"/>
          <w:szCs w:val="28"/>
          <w:rtl w:val="true"/>
          <w:lang w:bidi="fa-IR"/>
        </w:rPr>
        <w:t>، وقسم البحث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المكونات التركيبية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الاعلانية، الأبنية السطحية للتراكيب، الأبنية العميقة للتراكيب، أبنية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المكونات التصويرية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المجاز، الاستعارة، البديع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 قائمة المصادر</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037_83351"/>
      <w:bookmarkStart w:id="14" w:name="pg8037_83351"/>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8037_83351"/>
      <w:bookmarkStart w:id="16" w:name="__RefHeading___Toc7407035_1051229030"/>
      <w:bookmarkStart w:id="17" w:name="_Toc5"/>
      <w:bookmarkEnd w:id="15"/>
      <w:bookmarkEnd w:id="16"/>
      <w:r>
        <w:rPr>
          <w:rtl w:val="true"/>
        </w:rPr>
        <w:t>المبحث الأول المكونات التركيبية</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37_83355"/>
      <w:bookmarkStart w:id="19" w:name="pg8037_83355"/>
      <w:bookmarkEnd w:id="19"/>
    </w:p>
    <w:p>
      <w:pPr>
        <w:pStyle w:val="BookText"/>
        <w:rPr/>
      </w:pPr>
      <w:bookmarkStart w:id="20" w:name="pg8037_83355"/>
      <w:bookmarkEnd w:id="20"/>
      <w:r>
        <w:rPr>
          <w:rFonts w:ascii="Amiri" w:hAnsi="Amiri" w:eastAsia="Amiri" w:cs="Amiri"/>
          <w:color w:val="111111"/>
          <w:sz w:val="28"/>
          <w:sz w:val="28"/>
          <w:szCs w:val="28"/>
          <w:rtl w:val="true"/>
          <w:lang w:bidi="ar-SA"/>
        </w:rPr>
        <w:t>تحتوي الإعلامية على مجموعة من الظواهر التركيبية التي تكشف عن المعاني المبتغاة من النص، لذلك تشكل هذه المكونات أحد الجوانب الأساسية لكفاءة النص اللغوي وتعبيراته عن مقاصد الخطاب</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7407037_1051229030"/>
      <w:bookmarkStart w:id="22" w:name="_Toc6"/>
      <w:bookmarkEnd w:id="21"/>
      <w:r>
        <w:rPr>
          <w:rtl w:val="true"/>
        </w:rPr>
        <w:t>اولاً</w:t>
      </w:r>
      <w:r>
        <w:rPr>
          <w:rtl w:val="true"/>
        </w:rPr>
        <w:t xml:space="preserve">: </w:t>
      </w:r>
      <w:r>
        <w:rPr>
          <w:rtl w:val="true"/>
        </w:rPr>
        <w:t>الأفعال الإعلانية</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هذه الأفعال احدی تقسیمات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لأفعال الكلام، فيطابق محتواها القوي للعالم الخارجي، فإذا أديت أنا فعل تعيينك 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للوفد أداءً ناجحًا فأنت رئيس الوفد، وإذا أديتُ فعل إعلان الحرب أداءً ناجحًا، فالحرب معلنة، فهي </w:t>
      </w:r>
    </w:p>
    <w:p>
      <w:pPr>
        <w:pStyle w:val="BookText"/>
        <w:rPr/>
      </w:pPr>
      <w:r>
        <w:rPr>
          <w:rFonts w:ascii="Amiri" w:hAnsi="Amiri" w:eastAsia="Amiri" w:cs="Amiri"/>
          <w:color w:val="111111"/>
          <w:sz w:val="28"/>
          <w:sz w:val="28"/>
          <w:szCs w:val="28"/>
          <w:rtl w:val="true"/>
          <w:lang w:bidi="ar-SA"/>
        </w:rPr>
        <w:t>تحدث تغيرًا في الوضع القائم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هذه الأفعال الإعلانية التداولية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علي أمير المؤمنین، مالك بن الحارث الاشتر في عهده إليه،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 وجهاد عدوها، واستصلاح أهلها، وعمارة بلادها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المتكلم الذي ينتج الخطاب ينجز نشاطًا خاصًا، أي ممارسة لغوية أو قصدًا أو هدفًا اجتماعيًا، فقد ينتج المتكلم خطابًا ليبلغ السامع معلومات معينة، وليحفز السامع على عمل فعل، أو ليشجعه على انجاز نشاط، أو ليقنع السامع، أو ليضع لديه أحاسيس جمالية معينة</w:t>
      </w:r>
      <w:r>
        <w:rPr>
          <w:rStyle w:val="FootnoteAnchor"/>
          <w:rtl w:val="true"/>
        </w:rPr>
        <w:footnoteReference w:id="9"/>
      </w:r>
      <w:r>
        <w:rPr>
          <w:rFonts w:ascii="Amiri" w:hAnsi="Amiri" w:eastAsia="Amiri" w:cs="Amiri"/>
          <w:color w:val="111111"/>
          <w:sz w:val="28"/>
          <w:sz w:val="28"/>
          <w:szCs w:val="28"/>
          <w:rtl w:val="true"/>
          <w:lang w:bidi="ar-SA"/>
        </w:rPr>
        <w:t xml:space="preserve">، ففي هذا الكلام المبارك </w:t>
      </w:r>
    </w:p>
    <w:p>
      <w:pPr>
        <w:pStyle w:val="BookText"/>
        <w:rPr/>
      </w:pPr>
      <w:r>
        <w:rPr>
          <w:rFonts w:ascii="Amiri" w:hAnsi="Amiri" w:eastAsia="Amiri" w:cs="Amiri"/>
          <w:color w:val="111111"/>
          <w:sz w:val="28"/>
          <w:sz w:val="28"/>
          <w:szCs w:val="28"/>
          <w:rtl w:val="true"/>
          <w:lang w:bidi="ar-SA"/>
        </w:rPr>
        <w:t xml:space="preserve">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الكثير من المؤثرات الإعلامية التي تشد ذهن المتلقي للخطاب،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الخطاب الذي استندت عليه الأوامر الأخرى فهو يكشف عن الأمور الأتية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الصحابي الجليل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مؤهل لقيادة مصر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 معرفة سابقة بقدراته الإدارية والعسكرية، وواثق من عدالته لأهل مصر فهو من أبرز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الأوامر وهذا العهد أصبح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شرعيا من خليفة المسلمين ليكون واليًا على مصر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الخطاب أمر من الخليفة ووصي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لكافة المسلمين أن يلتزموا بهذه الأوامر؛ لأن كلام الإمام المعصوم من بعد كلام الله والرسول وبذلك لا يختلف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bookmarkStart w:id="23" w:name="pg8037_83360"/>
    </w:p>
    <w:p>
      <w:pPr>
        <w:pStyle w:val="BookText"/>
        <w:rPr/>
      </w:pPr>
      <w:bookmarkEnd w:id="23"/>
      <w:r>
        <w:rPr>
          <w:rFonts w:ascii="IRNazanin" w:hAnsi="IRNazanin" w:eastAsia="IRNazanin"/>
          <w:color w:val="111111"/>
          <w:sz w:val="28"/>
          <w:sz w:val="28"/>
          <w:szCs w:val="28"/>
          <w:rtl w:val="true"/>
          <w:lang w:bidi="fa-IR"/>
        </w:rPr>
        <w:t>والحديث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بالاطار العام لكن بالمضامين اکثر توسعا</w:t>
      </w:r>
      <w:r>
        <w:rPr>
          <w:rFonts w:eastAsia="IRNazanin" w:cs="IRNazanin"/>
          <w:color w:val="111111"/>
          <w:sz w:val="28"/>
          <w:szCs w:val="28"/>
          <w:rtl w:val="true"/>
          <w:lang w:bidi="fa-IR"/>
        </w:rPr>
        <w:t>.</w:t>
      </w:r>
    </w:p>
    <w:p>
      <w:pPr>
        <w:pStyle w:val="Heading2"/>
        <w:numPr>
          <w:ilvl w:val="1"/>
          <w:numId w:val="1"/>
        </w:numPr>
        <w:rPr/>
      </w:pPr>
      <w:bookmarkStart w:id="24" w:name="__RefHeading___Toc7407039_1051229030"/>
      <w:bookmarkStart w:id="25" w:name="_Toc7"/>
      <w:bookmarkEnd w:id="24"/>
      <w:r>
        <w:rPr>
          <w:rtl w:val="true"/>
        </w:rPr>
        <w:t>ثانيًا</w:t>
      </w:r>
      <w:r>
        <w:rPr>
          <w:rtl w:val="true"/>
        </w:rPr>
        <w:t xml:space="preserve">: </w:t>
      </w:r>
      <w:r>
        <w:rPr>
          <w:rtl w:val="true"/>
        </w:rPr>
        <w:t>التراكيب السطحية</w:t>
      </w:r>
      <w:r>
        <w:rPr>
          <w:rtl w:val="true"/>
        </w:rPr>
        <w:t>.</w:t>
      </w:r>
      <w:bookmarkEnd w:id="25"/>
    </w:p>
    <w:p>
      <w:pPr>
        <w:pStyle w:val="BookText"/>
        <w:rPr/>
      </w:pPr>
      <w:r>
        <w:rPr>
          <w:rFonts w:ascii="IRNazanin" w:hAnsi="IRNazanin" w:eastAsia="IRNazanin"/>
          <w:color w:val="111111"/>
          <w:sz w:val="28"/>
          <w:sz w:val="28"/>
          <w:szCs w:val="28"/>
          <w:rtl w:val="true"/>
          <w:lang w:bidi="fa-IR"/>
        </w:rPr>
        <w:t>يتكون النص من تراکیب سطحية وأخرى عميقة، فالسطحية تتضمن مجموعة من الوسائل الظاهرة للمتلقي كالتكرار والحذف والتضاد والترادف والاشتراك والربط، فالتراكيب السطحية ذو طبيعة أفقية شكلية، يُعني بالتتابع والترابط الجُملي للنصّ، والإجراءات المستعملة في توافر الترابط بين عناصره الظاهرة، فهي تؤدِّي إلى الربط بين البنى النصّية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التكرار من التشكيلات الإعلامية المؤثرة في المتلقي، فقد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السلجاسي، ت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إعادة </w:t>
      </w:r>
    </w:p>
    <w:p>
      <w:pPr>
        <w:pStyle w:val="BookText"/>
        <w:rPr/>
      </w:pPr>
      <w:r>
        <w:rPr>
          <w:rFonts w:ascii="Amiri" w:hAnsi="Amiri" w:eastAsia="Amiri" w:cs="Amiri"/>
          <w:color w:val="111111"/>
          <w:sz w:val="28"/>
          <w:sz w:val="28"/>
          <w:szCs w:val="28"/>
          <w:rtl w:val="true"/>
          <w:lang w:bidi="ar-SA"/>
        </w:rPr>
        <w:t>اللفظ بالعدد، وعلى الإطلاق المتّحد المعنى كذلك مرتين فصاعدًا، خشية تناسي الأوّل، لطول العهد به في القول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وللمحدثين تعريفات للتكرار يمكن أن نلاحظ في ضوئها البعد الإعلامي منهم تمام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للتكرار أكثر من صورة فقد يكون تکرارة للفظ، وقد يكون تكراراً للمعنی، کما قد يكون التكرار لمطلع الجملة لأداء غرض أسلوبي ما والتكرار إنّما يكون للتذكير أو للتعرف الذي كان غرض الأدوات</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 بينما وصفه الأزهر الزناد بالإحالة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وتشمل الإحالة بالعودة على نوع آخر من الإحالة، يتمثّل في تكرار لفظ، أو عدد من الألفاظ في بداية كلّ جملة من جُمل النصّ، قصد التأكيد، </w:t>
      </w:r>
    </w:p>
    <w:p>
      <w:pPr>
        <w:pStyle w:val="BookText"/>
        <w:rPr/>
      </w:pPr>
      <w:r>
        <w:rPr>
          <w:rFonts w:ascii="Amiri" w:hAnsi="Amiri" w:eastAsia="Amiri" w:cs="Amiri"/>
          <w:color w:val="111111"/>
          <w:sz w:val="28"/>
          <w:sz w:val="28"/>
          <w:szCs w:val="28"/>
          <w:rtl w:val="true"/>
          <w:lang w:bidi="ar-SA"/>
        </w:rPr>
        <w:t>وهو إحالة تكراريّة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وللتكرار أنواع كثيرة عند المحدثين وسنكتفي بذكر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المحض أو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به تکرار الكلمة نفسها</w:t>
      </w:r>
      <w:r>
        <w:rPr>
          <w:rStyle w:val="FootnoteAnchor"/>
          <w:rtl w:val="true"/>
        </w:rPr>
        <w:footnoteReference w:id="14"/>
      </w:r>
      <w:r>
        <w:rPr>
          <w:rFonts w:ascii="Amiri" w:hAnsi="Amiri" w:eastAsia="Amiri" w:cs="Amiri"/>
          <w:color w:val="111111"/>
          <w:sz w:val="28"/>
          <w:sz w:val="28"/>
          <w:szCs w:val="28"/>
          <w:rtl w:val="true"/>
          <w:lang w:bidi="ar-SA"/>
        </w:rPr>
        <w:t xml:space="preserve">ونجد هذا النوع في اقوال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أن یکسر نفسه من الشهوات، ويزعها عند الجمحات، فإن النفس أمارة بالسوء، إلا ما رحم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 فإن الشّح بالنفس الإنصاف منها فيما أحبت أو كرهت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تنصبن نفسك لحرب الله فإنه لا يد لك بنقمته ولا غنىً بك من عفوه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إبانة هذه الأقوال المباركة عن تكرار اللفظ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بسياقات متنوعة ففي القول الأول إبانة عن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بأن يكفي نفسه عن الشهوات عند منازعة النفس له،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تسمح لها بالاسترسال في المحرمات، فإن الشح بالنفس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منها فيما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الرذائل،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على طريق الاستقامة والسداد،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تنصبن نفسك لحرب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الظلم للعباد والمعنى لا تنصبن نفسك بالحرب لعباده، و إدخال الأذى عليهم، فإنه لا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لك بدفعها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قد عبرت النفس عن معاني متنوعة </w:t>
      </w:r>
    </w:p>
    <w:p>
      <w:pPr>
        <w:pStyle w:val="BookText"/>
        <w:rPr/>
      </w:pPr>
      <w:r>
        <w:rPr>
          <w:rFonts w:ascii="Amiri" w:hAnsi="Amiri" w:eastAsia="Amiri" w:cs="Amiri"/>
          <w:color w:val="111111"/>
          <w:sz w:val="28"/>
          <w:sz w:val="28"/>
          <w:szCs w:val="28"/>
          <w:rtl w:val="true"/>
          <w:lang w:bidi="ar-SA"/>
        </w:rPr>
        <w:t>بداخلها مع السياقات، فهذه المركبات تعد ذا اعلامية عالية التأثير في المتلقي فيقف في كل مرة أمام تعبير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المترادف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تكرار المحتوى بوساطة تعبيرات مختلفة، ويعمد إليه المتكلم لخلق حركة بين عناصر الخطاب فلا تتكرر الأسماء بذات الصيغ ولكن بصيغ مماثلة نحویًا و مغايرة شكلاً، ویسمی أيضًا بالتكرار غير الصریح، أو التكرار بالمعنی، فهو دلالة عدة كلمات مختلفة، ومنفردة على المسمی الواحد، أو المعنى الواحد دلالة واحدة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w:t>
      </w:r>
    </w:p>
    <w:p>
      <w:pPr>
        <w:pStyle w:val="BookText"/>
        <w:rPr/>
      </w:pPr>
      <w:r>
        <w:rPr>
          <w:rFonts w:ascii="Amiri" w:hAnsi="Amiri" w:eastAsia="Amiri" w:cs="Amiri"/>
          <w:color w:val="111111"/>
          <w:sz w:val="28"/>
          <w:sz w:val="28"/>
          <w:szCs w:val="28"/>
          <w:rtl w:val="true"/>
          <w:lang w:bidi="ar-SA"/>
        </w:rPr>
        <w:t>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القول المبارك معاني سامية ذات البعد الإنساني الذي لايفرق بين الدين او العرق او اللون، فالإنسانية هي الرابط المشترك بين الناس،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يلي البدن،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 بمنتهى الرحمّة والمودّة،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إرأف بهم، و لا تكونن عليهم سبعا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بأكل اللحم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 و تتنمّر عليهم، فالثراء اللغوي الذي تضمنه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عنايته بالمتلقي لذا نجد كل الالفاظ المتنوعة اشتركت بدلالة واحدة وهي الرحمة والرفق وعدم ظلم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التضام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الارتباط المعتاد لكلمة في اللغة بكلمات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معينة في الجمل</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وهذا الارتباط يعتاد مستعمل اللّغة وقوعه في استعماله اليومي المستمر للغة، إذ يمكنه أن يتوقع ورود كلمة معينة في النصّ عبر ذكر كلمة أخرى فيه</w:t>
      </w:r>
      <w:r>
        <w:rPr>
          <w:rStyle w:val="FootnoteAnchor"/>
          <w:rtl w:val="true"/>
        </w:rPr>
        <w:footnoteReference w:id="17"/>
      </w:r>
      <w:r>
        <w:rPr>
          <w:rFonts w:ascii="Amiri" w:hAnsi="Amiri" w:eastAsia="Amiri" w:cs="Amiri"/>
          <w:color w:val="111111"/>
          <w:sz w:val="28"/>
          <w:sz w:val="28"/>
          <w:szCs w:val="28"/>
          <w:rtl w:val="true"/>
          <w:lang w:bidi="ar-SA"/>
        </w:rPr>
        <w:t xml:space="preserve">، وعرفه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الارتباط الاعتيادي لكلمة ما في لغة بكلمات أخرى معينة وهذه العلاقة الرابطة بين زوج من الألفاظ متعدّدة جدًّا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زوج من الكلمات بالفعل أو بالقوة نظرا لارتباطها بهذه العلاقة أو تلك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إذ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من الكلمات متصاحبة دوماً، بمعنى إذا ذكر أحدها يستدعي ذكر الآخر ومن ثم يظهران دوماً معا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ونكتفي ببعض علاقات التضام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التضادّ بأنواعه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الجمع بين كلمتين متضادّين تماما</w:t>
      </w:r>
      <w:r>
        <w:rPr>
          <w:rStyle w:val="FootnoteAnchor"/>
          <w:rtl w:val="true"/>
        </w:rPr>
        <w:footnoteReference w:id="21"/>
      </w:r>
      <w:r>
        <w:rPr>
          <w:rFonts w:ascii="Amiri" w:hAnsi="Amiri" w:eastAsia="Amiri" w:cs="Amiri"/>
          <w:color w:val="111111"/>
          <w:sz w:val="28"/>
          <w:sz w:val="28"/>
          <w:szCs w:val="28"/>
          <w:rtl w:val="true"/>
          <w:lang w:bidi="ar-SA"/>
        </w:rPr>
        <w:t xml:space="preserve">،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التضاد بين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المضطهدين و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النعمة ستسلب وسيسرع العقاب، وذِكرُ أحد المتضادين يدعونا إلى أن نستدعي ذِكر الآخر، فالضدّ أكثر حضورًا في البال عند ذكر ضدّه، فالتضاد الموجودُ يوسع للمتلقي زاوية النظر بين المُتضادات فالجمع بين وحدتين متقابلتين يمتاز بالتعبيرية والقدرة على الإيحاء وإثارة الانفعال وتمثيل التباين السطحي والعميق في الصورة والحدث، فإنّ استحضار المسمی و مقابله من أهم الوسائل اللغوية الأسلوبية لنقل الإحساس بالمعنىً والفكرة، </w:t>
      </w:r>
    </w:p>
    <w:p>
      <w:pPr>
        <w:pStyle w:val="BookText"/>
        <w:rPr/>
      </w:pPr>
      <w:r>
        <w:rPr>
          <w:rFonts w:ascii="Amiri" w:hAnsi="Amiri" w:eastAsia="Amiri" w:cs="Amiri"/>
          <w:color w:val="111111"/>
          <w:sz w:val="28"/>
          <w:sz w:val="28"/>
          <w:szCs w:val="28"/>
          <w:rtl w:val="true"/>
          <w:lang w:bidi="ar-SA"/>
        </w:rPr>
        <w:t>والموقف نقلاً صادقًا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الأجزاء بعضها مع 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التناسق بين هذه الألفاظ يشكل روعة جمالية تؤثر في المتلقي، فضلا عن سهولة فهم المتلقي لهذا القول ولم يحتجّ النصّ إلى سياقات أُخرى لفهمه وإدراك مغزاه لوضوح دلالة الألفاظ وعلاقتها المباشرة بالإنسان؛ لأنها جزءًا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بإنشاء علاقة نحوية سياقية بين معنيين باستعمال واسطة تتمثل في أداة رابطة تدل على تلك </w:t>
      </w:r>
    </w:p>
    <w:p>
      <w:pPr>
        <w:pStyle w:val="BookText"/>
        <w:rPr/>
      </w:pPr>
      <w:r>
        <w:rPr>
          <w:rFonts w:ascii="Amiri" w:hAnsi="Amiri" w:eastAsia="Amiri" w:cs="Amiri"/>
          <w:color w:val="111111"/>
          <w:sz w:val="28"/>
          <w:sz w:val="28"/>
          <w:szCs w:val="28"/>
          <w:rtl w:val="true"/>
          <w:lang w:bidi="ar-SA"/>
        </w:rPr>
        <w:t>العلاقة أو ضمير بارزٍ عائد، وتلجأ العربية إلى الربط إما لأمن اللبس في فهم الانفصال بين المعنيين، وإما لأمن اللبس في فهم الارتباط بين المعنيين، فالربط هو الحلقة الوسطى بين الارتباط والانفصال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وللربط أنواع كثيرة نذكر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الربط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معنى التالي إلى السابق، وقد أطلق عليه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الربط الجمعي</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فالربط بهذا المفهوم تطرق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أثناء حديثه عن العطف،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العطف في الكلام حتی یکون المعطوف والمعطوف عليه مجموعاً برابط يجعل من ضمهما أمراً مُمکِناً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وتمثله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بالمثل، وأعني، وكذلك، وفضلاً عن </w:t>
      </w:r>
    </w:p>
    <w:p>
      <w:pPr>
        <w:pStyle w:val="BookText"/>
        <w:rPr/>
      </w:pPr>
      <w:r>
        <w:rPr>
          <w:rFonts w:ascii="Amiri" w:hAnsi="Amiri" w:eastAsia="Amiri" w:cs="Amiri"/>
          <w:color w:val="111111"/>
          <w:sz w:val="28"/>
          <w:sz w:val="28"/>
          <w:szCs w:val="28"/>
          <w:rtl w:val="true"/>
          <w:lang w:bidi="ar-SA"/>
        </w:rPr>
        <w:t>ذلك وبالإضافة إلى ذلك ومثلاً ونحو</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التشريك،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معنى البديل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 أنصف النّاس من نفسك، و من خاصّة أهلك، ومن لك فيه هوی من رعیّتك، فإنك إلا تفعل تظلم ومن ظلم عباد الله كان الله خصمه دون عباده، ومن خاصمه الله أدحض حجته، وكان الله حربًا حتى ينزع أو يتوب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الاتصال بين هذه الجمل بسبب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تربط بينهما، فالعطف خلق توافقًا دلاليًا في المعنى، ثم أن الربط له دور رئيس في إفهام متلقيه عبر تشابك التسلسل الكلامي واللغوي، فيربط بين معاني الكلمات المتجاورة وكذلك الجمل </w:t>
      </w:r>
    </w:p>
    <w:p>
      <w:pPr>
        <w:pStyle w:val="BookText"/>
        <w:rPr/>
      </w:pPr>
      <w:r>
        <w:rPr>
          <w:rFonts w:ascii="Amiri" w:hAnsi="Amiri" w:eastAsia="Amiri" w:cs="Amiri"/>
          <w:color w:val="111111"/>
          <w:sz w:val="28"/>
          <w:sz w:val="28"/>
          <w:szCs w:val="28"/>
          <w:rtl w:val="true"/>
          <w:lang w:bidi="ar-SA"/>
        </w:rPr>
        <w:t>المتجاورة ويكون حسنًا ذلك الربط إذا كانت الكلمات متتاليات معطوفات متلاحمات تلاهمًا سليمًا، فالربط يحدد الأجزاء المراد تحليلها، من أجل أعادته بناء مكونات الخطاب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الربط الاستدراكي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تعقيب الكلام بنفي ما توهم منه ثبوته، أو إثبات ما يتوهم منه نفيه</w:t>
      </w:r>
      <w:r>
        <w:rPr>
          <w:rStyle w:val="FootnoteAnchor"/>
          <w:rtl w:val="true"/>
        </w:rPr>
        <w:footnoteReference w:id="29"/>
      </w:r>
      <w:r>
        <w:rPr>
          <w:rFonts w:ascii="IRNazanin" w:hAnsi="IRNazanin" w:eastAsia="IRNazanin"/>
          <w:color w:val="111111"/>
          <w:sz w:val="28"/>
          <w:sz w:val="28"/>
          <w:szCs w:val="28"/>
          <w:rtl w:val="true"/>
          <w:lang w:bidi="fa-IR"/>
        </w:rPr>
        <w:t xml:space="preserve">و يستعمل اللسانيون النصيون مصطلح وصل النقيض حيث تكون العلاقة بين الأشياء متنافرة أو متعارضة في عالم النصّ، ويتمثل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فالمعنى الأساسي لعلاقة الاستدراك هو عکس التوقع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والدماء وسفكها بغير حلها، فإنّه ليس </w:t>
      </w:r>
    </w:p>
    <w:p>
      <w:pPr>
        <w:pStyle w:val="BookText"/>
        <w:rPr/>
      </w:pPr>
      <w:r>
        <w:rPr>
          <w:rFonts w:ascii="IRNazanin" w:hAnsi="IRNazanin" w:eastAsia="IRNazanin"/>
          <w:color w:val="111111"/>
          <w:sz w:val="28"/>
          <w:sz w:val="28"/>
          <w:szCs w:val="28"/>
          <w:rtl w:val="true"/>
          <w:lang w:bidi="fa-IR"/>
        </w:rPr>
        <w:t xml:space="preserve">شيء أدني لنقمة، ولا أعظم لتبعيةٍ، ولا أحرى بزوال نعمةٍ، وانقطاع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مبتدئ بالحكم بين العبادِ، فيما تسافكوا من الدماء يوم القيامةِ، فلا تُقوِّینَّ سلطانك بسفك دمٍ حرامٍ، فإنّ 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في هذه الوصايا توافر أداة الربط بين الجملتين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أدت إلى الربط عن طريق ربط الجملتين ومخالفة معنى الجملة الثانية من الجملة الأولى كما في 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يضعفه ويوهنه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اضعاف سلطانك في حال مخالفة هذه الوصايا، ثم جاء الاستدراك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يزيله وينقله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فکشف الخطاب عن مكون إعلامي ذي دلالة وهو التوكيد على إزالة الحكم إذا سفكت دماء الناس، فبهذه الأدوات يترابط الخطاب بين الجمل ويرتبط ترتيبها بطبيعة النصّ من حيث شكله وموضوعه، </w:t>
      </w:r>
      <w:bookmarkStart w:id="26" w:name="pg8037_83385"/>
    </w:p>
    <w:p>
      <w:pPr>
        <w:pStyle w:val="BookText"/>
        <w:rPr/>
      </w:pPr>
      <w:bookmarkEnd w:id="26"/>
      <w:r>
        <w:rPr>
          <w:rFonts w:ascii="Amiri" w:hAnsi="Amiri" w:eastAsia="Amiri" w:cs="Amiri"/>
          <w:color w:val="111111"/>
          <w:sz w:val="28"/>
          <w:sz w:val="28"/>
          <w:szCs w:val="28"/>
          <w:rtl w:val="true"/>
          <w:lang w:bidi="ar-SA"/>
        </w:rPr>
        <w:t>فالعطف يجمع عددا من الجمل على مستوى في نسق متزامن</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7407041_1051229030"/>
      <w:bookmarkStart w:id="28" w:name="_Toc8"/>
      <w:bookmarkEnd w:id="27"/>
      <w:r>
        <w:rPr>
          <w:rtl w:val="true"/>
        </w:rPr>
        <w:t>ثالثا</w:t>
      </w:r>
      <w:r>
        <w:rPr>
          <w:rtl w:val="true"/>
        </w:rPr>
        <w:t xml:space="preserve">: </w:t>
      </w:r>
      <w:r>
        <w:rPr>
          <w:rtl w:val="true"/>
        </w:rPr>
        <w:t>التراكيب العميقة</w:t>
      </w:r>
      <w:bookmarkEnd w:id="28"/>
    </w:p>
    <w:p>
      <w:pPr>
        <w:pStyle w:val="BookText"/>
        <w:rPr/>
      </w:pPr>
      <w:r>
        <w:rPr>
          <w:rFonts w:ascii="Amiri" w:hAnsi="Amiri" w:eastAsia="Amiri" w:cs="Amiri"/>
          <w:color w:val="111111"/>
          <w:sz w:val="28"/>
          <w:sz w:val="28"/>
          <w:szCs w:val="28"/>
          <w:rtl w:val="true"/>
          <w:lang w:bidi="ar-SA"/>
        </w:rPr>
        <w:t>تراكيب 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العلاقة شديدة الصلة بالبنية العميقة؛ لأن التفصيل يحمل المرجعية الخلفية لما سبق إجماله</w:t>
      </w:r>
      <w:r>
        <w:rPr>
          <w:rStyle w:val="FootnoteAnchor"/>
          <w:rtl w:val="true"/>
        </w:rPr>
        <w:footnoteReference w:id="31"/>
      </w:r>
      <w:r>
        <w:rPr>
          <w:rFonts w:ascii="Amiri" w:hAnsi="Amiri" w:eastAsia="Amiri" w:cs="Amiri"/>
          <w:color w:val="111111"/>
          <w:sz w:val="28"/>
          <w:sz w:val="28"/>
          <w:szCs w:val="28"/>
          <w:rtl w:val="true"/>
          <w:lang w:bidi="ar-SA"/>
        </w:rPr>
        <w:t xml:space="preserve">،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با نقضت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فصل القول بالسُنّة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بها صدور هذه الأمة، واجتمعت عليها </w:t>
      </w:r>
    </w:p>
    <w:p>
      <w:pPr>
        <w:pStyle w:val="BookText"/>
        <w:rPr/>
      </w:pPr>
      <w:r>
        <w:rPr>
          <w:rFonts w:ascii="Amiri" w:hAnsi="Amiri" w:eastAsia="Amiri" w:cs="Amiri"/>
          <w:color w:val="111111"/>
          <w:sz w:val="28"/>
          <w:sz w:val="28"/>
          <w:szCs w:val="28"/>
          <w:rtl w:val="true"/>
          <w:lang w:bidi="ar-SA"/>
        </w:rPr>
        <w:t>الألفة، وصلحت عليها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فعلاقة الإجمال والتفصيل عملت على توضيح ماغمض من معانيه وتتأكد وظيفتها من تلاحم العناصر المتباعدة للنص وضمان ارتباطها ببعضها عن طريق استمرار دلالةٍ معينةٍ في الأجزاء اللاحقة منه وهذا كله مكون إعلامي مؤثر في توضيح الخطاب المتلقيه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تراكيب العموم والخصوص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النصوص ترد ألفاظ وقضايا عامة تنمو بتتابع النصّ وتتلاحم فيما بينها مما يعطي النصّ حيوية تجعله في حالة تفاعل وتأثير، فالخطاب قام بين لفظ عام وأخر خاص أو محدد وهذا يخلق نصًا دلاليًا</w:t>
      </w:r>
      <w:r>
        <w:rPr>
          <w:rStyle w:val="FootnoteAnchor"/>
          <w:rtl w:val="true"/>
        </w:rPr>
        <w:footnoteReference w:id="33"/>
      </w:r>
      <w:r>
        <w:rPr>
          <w:rFonts w:ascii="Amiri" w:hAnsi="Amiri" w:eastAsia="Amiri" w:cs="Amiri"/>
          <w:color w:val="111111"/>
          <w:sz w:val="28"/>
          <w:sz w:val="28"/>
          <w:szCs w:val="28"/>
          <w:rtl w:val="true"/>
          <w:lang w:bidi="ar-SA"/>
        </w:rPr>
        <w:t xml:space="preserve">، مع الكشف عن المضمون الرابط بين العلاقة، والثعالبي أطلق على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تضاف إليه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البؤسی والزمني، فإن في هذه الطبقة قانعًا ومعترًا، واحفظ الله ما استحفظك من حقه فيهم، واجعل لهم قسمًا من بيت مالك، وقسمًا من غلاتِ صوافي الإسلام في كل بلد، فإن للأقصى منهم مثل الذي للأدنى، و كل قد استرعت حقه؛ فلا يشغلنك عنهم بطرٌ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في هذه العهد المبارك ألفاظ تدل على العموم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مبهمة وعبارة عن ذات من يعقل، وتحتمل الخصوص والعموم، فتضمن هذا اللفظ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المساكين والمحتاجين وأهل البؤسی والزمنی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التراكيب الترتيبية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انتظام الجمل في النصّ دليل على تماسك الخطاب الذي خلقه النص، ثم الروابط المكونة لذلك النص تنسج الخيوط التي يتوصل بها الفكر لتنظيم عناصر عالم الخطاب</w:t>
      </w:r>
      <w:r>
        <w:rPr>
          <w:rStyle w:val="FootnoteAnchor"/>
          <w:rtl w:val="true"/>
        </w:rPr>
        <w:footnoteReference w:id="35"/>
      </w:r>
      <w:r>
        <w:rPr>
          <w:rFonts w:ascii="Amiri" w:hAnsi="Amiri" w:eastAsia="Amiri" w:cs="Amiri"/>
          <w:color w:val="111111"/>
          <w:sz w:val="28"/>
          <w:sz w:val="28"/>
          <w:szCs w:val="28"/>
          <w:rtl w:val="true"/>
          <w:lang w:bidi="ar-SA"/>
        </w:rPr>
        <w:t>، فالأدلة اللغوية في النصّ تؤدي إلى التعبير عن المفاهيم مثل الأشياء أو الأحداث وهذا يخلق ترابطًا بين العبارات المتتالية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الذمةش ومسلمةِ الناس، ومنها التجارة وأهل الصناعات ومنها الطبقة السفلى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ذوي الحاجة والمسكنة، وكل قد سمى الله له 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الترتيب في هذا القول المبارك وفقاً لرؤية صائبة من بيت الوحي والرسالة ومن ولي الله سبحانه ووصي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وخليفة المسلمين، إذاً هذه الرؤية شاملة لأصناف الدولة وطبقات المجتمع ففي كل طبقة يضع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 لها ويبين ما تحتاجه من مقومات النهوض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فالإعلامية كشفت لقارئ هذا الخطاب الترتيب والتصنيف الناتج عن حكمة وادراك واسع لإدارة الدولة والتشخيص الصحيح لمعالجة كل ضعف في طبقات المجتمع فإنّه خطابٌ شاملٌ يراعي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التراكيب الاستقصائية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تخلق هذه التراكيب إعلامية مبتغاها الوصول </w:t>
      </w:r>
    </w:p>
    <w:p>
      <w:pPr>
        <w:pStyle w:val="BookText"/>
        <w:rPr/>
      </w:pPr>
      <w:r>
        <w:rPr>
          <w:rFonts w:ascii="Amiri" w:hAnsi="Amiri" w:eastAsia="Amiri" w:cs="Amiri"/>
          <w:color w:val="111111"/>
          <w:sz w:val="28"/>
          <w:sz w:val="28"/>
          <w:szCs w:val="28"/>
          <w:rtl w:val="true"/>
          <w:lang w:bidi="ar-SA"/>
        </w:rPr>
        <w:t>إلى المعنى المنشود من الخطاب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المادح لا يدع شيئاً إلا وقد ذكره مبالغة أو احتراسًا من التقصير</w:t>
      </w:r>
      <w:r>
        <w:rPr>
          <w:rStyle w:val="FootnoteAnchor"/>
          <w:rtl w:val="true"/>
        </w:rPr>
        <w:footnoteReference w:id="37"/>
      </w:r>
      <w:r>
        <w:rPr>
          <w:rFonts w:ascii="IRNazanin" w:hAnsi="IRNazanin" w:eastAsia="IRNazanin"/>
          <w:color w:val="111111"/>
          <w:sz w:val="28"/>
          <w:sz w:val="28"/>
          <w:szCs w:val="28"/>
          <w:rtl w:val="true"/>
          <w:lang w:bidi="fa-IR"/>
        </w:rPr>
        <w:t>، فتؤدي هذه العلاقة إلى حصول معنی جديد في كل جملة حيث يمثل فصلًا تكوِّنه جملة مشاهد تتكامل لتعطي نسقًا للخطاب</w:t>
      </w:r>
      <w:r>
        <w:rPr>
          <w:rStyle w:val="FootnoteAnchor"/>
          <w:rtl w:val="true"/>
        </w:rPr>
        <w:footnoteReference w:id="38"/>
      </w:r>
      <w:r>
        <w:rPr>
          <w:rFonts w:ascii="IRNazanin" w:hAnsi="IRNazanin" w:eastAsia="IRNazanin"/>
          <w:color w:val="111111"/>
          <w:sz w:val="28"/>
          <w:sz w:val="28"/>
          <w:szCs w:val="28"/>
          <w:rtl w:val="true"/>
          <w:lang w:bidi="fa-IR"/>
        </w:rPr>
        <w:t xml:space="preserve">، وتتضمن بنیات متوازية سواء لمشارك واحد أم لأكثر من مشارك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فاعل الحدث في المتواليات الجملية في علاقة الإضافة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بإذن الله، حُصونُ الرعية، وزينُ الولاۃِ، وعزُّ الدينِ، وسبل الأَمن، وليس تقوم الرعية إلا بهم، ثم لا قيام للجنود إلا بما يُخرِجُ الله لهم من الخراج الذي يَقوَونَ به على جهاد عدوهم، ويعتمدون عليه </w:t>
      </w:r>
      <w:bookmarkStart w:id="29" w:name="pg8037_83397"/>
    </w:p>
    <w:p>
      <w:pPr>
        <w:pStyle w:val="BookText"/>
        <w:rPr/>
      </w:pPr>
      <w:bookmarkEnd w:id="29"/>
      <w:r>
        <w:rPr>
          <w:rFonts w:ascii="Amiri" w:hAnsi="Amiri" w:eastAsia="Amiri" w:cs="Amiri"/>
          <w:color w:val="111111"/>
          <w:sz w:val="28"/>
          <w:sz w:val="28"/>
          <w:szCs w:val="28"/>
          <w:rtl w:val="true"/>
          <w:lang w:bidi="ar-SA"/>
        </w:rPr>
        <w:t>فيما يصلحهم، ويكونُ من وراءٍ حاجتهم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الجنود ثم يستمر خطابه بذكر جمل المدح لهم فيجد المتلقي نفسه أمام تراکیب إعلامية عميقة المعنى في كل جملة حتى يصل الخطاب إلى المعنى الكلي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نستشف من هذا الخطاب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المؤسسة العسكرية إحدى أركان الدولة، إذ بها تحفظ الشعوب کرامتها واستقرارها </w:t>
      </w:r>
      <w:r>
        <w:rPr>
          <w:rFonts w:eastAsia="IRNazanin" w:cs="IRNazanin"/>
          <w:color w:val="111111"/>
          <w:sz w:val="28"/>
          <w:szCs w:val="28"/>
          <w:rtl w:val="true"/>
          <w:lang w:bidi="fa-IR"/>
        </w:rPr>
        <w:t>.</w:t>
      </w:r>
    </w:p>
    <w:p>
      <w:pPr>
        <w:pStyle w:val="Heading2"/>
        <w:numPr>
          <w:ilvl w:val="1"/>
          <w:numId w:val="1"/>
        </w:numPr>
        <w:rPr/>
      </w:pPr>
      <w:bookmarkStart w:id="30" w:name="__RefHeading___Toc7407043_1051229030"/>
      <w:bookmarkStart w:id="31" w:name="_Toc9"/>
      <w:bookmarkEnd w:id="30"/>
      <w:r>
        <w:rPr>
          <w:rtl w:val="true"/>
        </w:rPr>
        <w:t>رابعًا</w:t>
      </w:r>
      <w:r>
        <w:rPr>
          <w:rtl w:val="true"/>
        </w:rPr>
        <w:t xml:space="preserve">: </w:t>
      </w:r>
      <w:r>
        <w:rPr>
          <w:rtl w:val="true"/>
        </w:rPr>
        <w:t>أبنية المطابقة</w:t>
      </w:r>
      <w:bookmarkEnd w:id="3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للمطابقة تأثيرًا في تشكيل مكونات الإعلامية التي تتوزع بين أبنية الخطاب، وأجزائه المتصلة بروابط تساعد على خلق معانٍ جديدة في كل مراحل الخطاب، فالمطابقة، مجموعة من العناصر اللغوية التي تؤدي وظائف متاثلة أو متشابهة، أو تدل على معان نحوية، كالإعراب، والعدد من إفراد وتثنية </w:t>
      </w:r>
    </w:p>
    <w:p>
      <w:pPr>
        <w:pStyle w:val="BookText"/>
        <w:rPr/>
      </w:pPr>
      <w:r>
        <w:rPr>
          <w:rFonts w:ascii="IRNazanin" w:hAnsi="IRNazanin" w:eastAsia="IRNazanin"/>
          <w:color w:val="111111"/>
          <w:sz w:val="28"/>
          <w:sz w:val="28"/>
          <w:szCs w:val="28"/>
          <w:rtl w:val="true"/>
          <w:lang w:bidi="fa-IR"/>
        </w:rPr>
        <w:t>وجمع، وکالتنكير والتعريف، وکالجنس من تذكير وتأنيث، وكالشخص من تكلم وخطاب وغيبة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المطابقة بضمير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لتعظيم الأمر وتفخيم الشأن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طابق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والإفراد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المطابقة بين الضمير المتصل ومرجعه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من جنودك أنصحهم في نفسك للهِ ولرسولهِ ولإمامكَ، وأنقاهم جيبًا، وأفضلهم حلمًا، ممن يبطئُ عن الغضبِ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فالضمائر في اللفاظ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أنصحهم، أنقاهم،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المطابقة بين الضمير المتصل ومرجعه بالإفراد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کُلَّ 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مطابقة بين الضمير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 به،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المطابقة بين الاسم المحال والمحال إليه، تخلق ترابطًا بين أجزاء الخطاب، فالشخص يميز بالضمائر بين التكلم والخطاب والغيبة والعدد ويميز بين الاسم والإسم وبين الإسم والصفة، وعلى هذا المعنى يشكل تأثيرًا على ابعاد الخطاب</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037_83404"/>
      <w:bookmarkStart w:id="33" w:name="pg8037_83404"/>
      <w:bookmarkEnd w:id="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pg8037_83404"/>
      <w:bookmarkStart w:id="35" w:name="__RefHeading___Toc7407045_1051229030"/>
      <w:bookmarkStart w:id="36" w:name="_Toc10"/>
      <w:bookmarkEnd w:id="34"/>
      <w:bookmarkEnd w:id="35"/>
      <w:r>
        <w:rPr>
          <w:rtl w:val="true"/>
        </w:rPr>
        <w:t>المبحث الثاني المكونات التصورية</w:t>
      </w:r>
      <w:bookmarkEnd w:id="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037_83408"/>
      <w:bookmarkStart w:id="38" w:name="pg8037_83408"/>
      <w:bookmarkEnd w:id="38"/>
    </w:p>
    <w:p>
      <w:pPr>
        <w:pStyle w:val="Heading2"/>
        <w:numPr>
          <w:ilvl w:val="1"/>
          <w:numId w:val="1"/>
        </w:numPr>
        <w:rPr/>
      </w:pPr>
      <w:bookmarkStart w:id="39" w:name="pg8037_83408"/>
      <w:bookmarkStart w:id="40" w:name="__RefHeading___Toc7407047_1051229030"/>
      <w:bookmarkStart w:id="41" w:name="_Toc11"/>
      <w:bookmarkEnd w:id="39"/>
      <w:bookmarkEnd w:id="40"/>
      <w:r>
        <w:rPr>
          <w:rtl w:val="true"/>
        </w:rPr>
        <w:t>أولاً</w:t>
      </w:r>
      <w:r>
        <w:rPr>
          <w:rtl w:val="true"/>
        </w:rPr>
        <w:t xml:space="preserve">: </w:t>
      </w:r>
      <w:r>
        <w:rPr>
          <w:rtl w:val="true"/>
        </w:rPr>
        <w:t>المجاز</w:t>
      </w:r>
      <w:r>
        <w:rPr>
          <w:rtl w:val="true"/>
        </w:rPr>
        <w:t>.</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يشكل المجاز أهم مكونات الإعلامية؛ لأنّه يشمل على أساليب التعبير غير المباشر الذي يكون في معظم الأحيان أوقع في النفوس وأكثر تأثيرًا من التعبير المباشر، فينتج استعمال المجاز للمتکلم ابتکار معانٍ جديدةٍ وصورٍ بديعية، فهو اللفظ المستعمل في غير ما وضع له في اصطلاح التخاطب لعلاقةٍ مع قرينة مانعة من إرادة المعنى الوضعي، والعلاقة، هي المناسبة بين المعنى الحقيقي والمعنى المجازي</w:t>
      </w:r>
      <w:r>
        <w:rPr>
          <w:rStyle w:val="FootnoteAnchor"/>
          <w:rtl w:val="true"/>
        </w:rPr>
        <w:footnoteReference w:id="40"/>
      </w:r>
      <w:r>
        <w:rPr>
          <w:rFonts w:ascii="Amiri" w:hAnsi="Amiri" w:eastAsia="Amiri" w:cs="Amiri"/>
          <w:color w:val="111111"/>
          <w:sz w:val="28"/>
          <w:sz w:val="28"/>
          <w:szCs w:val="28"/>
          <w:rtl w:val="true"/>
          <w:lang w:bidi="ar-SA"/>
        </w:rPr>
        <w:t xml:space="preserve">فهو ينتقل بذهن السامع إلى آفاق جديدة ذات أبعاد جديدة والتخطي معه إلى صور رائعة ومشاهد </w:t>
      </w:r>
    </w:p>
    <w:p>
      <w:pPr>
        <w:pStyle w:val="BookText"/>
        <w:rPr/>
      </w:pPr>
      <w:r>
        <w:rPr>
          <w:rFonts w:ascii="Amiri" w:hAnsi="Amiri" w:eastAsia="Amiri" w:cs="Amiri"/>
          <w:color w:val="111111"/>
          <w:sz w:val="28"/>
          <w:sz w:val="28"/>
          <w:szCs w:val="28"/>
          <w:rtl w:val="true"/>
          <w:lang w:bidi="ar-SA"/>
        </w:rPr>
        <w:t>متناسقة لا تتأتي بالاستعمال الحقيقي ويحمل إعلامية تصّور حيوية النصّ في ضوء انفتاحه للمتلقي، مما يديم العملية الوظيفية التفاعلية بين المتلقي وبين النص، وخلق نوع من التقارب بينهما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لفظٍ ما في غير ما وُضع له في اصطلاحٍ به التخاطب، لعلاقة المشابه، مع قرينة صارفةٍ عن إرادة المعنى الموضوع له في اصطلاحٍ به التخاطب</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الله الله في الطبقةِ السفلى من الذين لا حيلة لهم، من المساكين والمحتاجين وأهل البُؤسی والزمني، فإن في هذه الطبقة قانعًا ومعترًا، واحفظ ماستحفظك من حقه فيهم، واجعل لهم قسمًا من </w:t>
      </w:r>
    </w:p>
    <w:p>
      <w:pPr>
        <w:pStyle w:val="BookText"/>
        <w:rPr/>
      </w:pPr>
      <w:r>
        <w:rPr>
          <w:rFonts w:ascii="Amiri" w:hAnsi="Amiri" w:eastAsia="Amiri" w:cs="Amiri"/>
          <w:color w:val="111111"/>
          <w:sz w:val="28"/>
          <w:sz w:val="28"/>
          <w:szCs w:val="28"/>
          <w:rtl w:val="true"/>
          <w:lang w:bidi="ar-SA"/>
        </w:rPr>
        <w:t>بيتِ مالك، وقسمًا من علات صوافي الإسلام في كل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زمين وهو المصاب بالزمانة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العاهة ويريد أرباب العاهات المانعة لهم عن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للعطاء بلا سؤال</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صوافي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الغنيمة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و أراد بها معاني أخرى، إذ صرح بها بذات اللفظ المستعار، </w:t>
      </w:r>
    </w:p>
    <w:p>
      <w:pPr>
        <w:pStyle w:val="BookText"/>
        <w:rPr/>
      </w:pPr>
      <w:r>
        <w:rPr>
          <w:rFonts w:ascii="IRNazanin" w:hAnsi="IRNazanin" w:eastAsia="IRNazanin"/>
          <w:color w:val="111111"/>
          <w:sz w:val="28"/>
          <w:sz w:val="28"/>
          <w:szCs w:val="28"/>
          <w:rtl w:val="true"/>
          <w:lang w:bidi="fa-IR"/>
        </w:rPr>
        <w:t>وفي الاستعارة المكنية، التي لم يصرح المتكلم باللفظ المستعار، وإنما ذُکِرَ فيها شيئًا من صفاته أو لوازمه القريبة أو البعيدة</w:t>
      </w:r>
      <w:r>
        <w:rPr>
          <w:rStyle w:val="FootnoteAnchor"/>
          <w:rtl w:val="true"/>
        </w:rPr>
        <w:footnoteReference w:id="43"/>
      </w:r>
      <w:r>
        <w:rPr>
          <w:rFonts w:ascii="Amiri" w:hAnsi="Amiri" w:eastAsia="Amiri" w:cs="Amiri"/>
          <w:color w:val="111111"/>
          <w:sz w:val="28"/>
          <w:sz w:val="28"/>
          <w:szCs w:val="28"/>
          <w:rtl w:val="true"/>
          <w:lang w:bidi="ar-SA"/>
        </w:rPr>
        <w:t xml:space="preserve">، كقول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أوقفهم في الشبهات، وآخذهم بالحجج، وأقلهم تبرمًا بمراجعة الخصم، وأصبرهم على تكشُّفِ الأمور، وأصرَمَهم عن اتضاح الحكم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يتضح الحكم فيه بالنص، وفيها ينبغي الوقوف على القضاء حتى یرد الحادثة على أصل الصحيح، وهذا فيه تعبير عن تشريع القوانين في المحاكم، واستعار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أن تكون أقلهم مللاً وضجرًا، واستعمل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أقطعهم للخصومة وأمضاهم، فأبانت الاستعارة عن أصدق تعبير تجعل القارئ يحس بالمعنى أكملَ إحساس وأوفاه، وتصور المنظر </w:t>
      </w:r>
    </w:p>
    <w:p>
      <w:pPr>
        <w:pStyle w:val="BookText"/>
        <w:rPr/>
      </w:pPr>
      <w:r>
        <w:rPr>
          <w:rFonts w:ascii="Amiri" w:hAnsi="Amiri" w:eastAsia="Amiri" w:cs="Amiri"/>
          <w:color w:val="111111"/>
          <w:sz w:val="28"/>
          <w:sz w:val="28"/>
          <w:szCs w:val="28"/>
          <w:rtl w:val="true"/>
          <w:lang w:bidi="ar-SA"/>
        </w:rPr>
        <w:t>للعين، وتنقل الصوت للأذن وتجعل الأمر المعنوي ملموسًا محسوسًا، هذا المعنى حقيقة الإعلامية في النصّ</w:t>
      </w:r>
      <w:r>
        <w:rPr>
          <w:rStyle w:val="FootnoteAnchor"/>
          <w:rtl w:val="true"/>
        </w:rPr>
        <w:footnoteReference w:id="44"/>
      </w:r>
      <w:r>
        <w:rPr>
          <w:rFonts w:ascii="Amiri" w:hAnsi="Amiri" w:eastAsia="Amiri" w:cs="Amiri"/>
          <w:color w:val="111111"/>
          <w:sz w:val="28"/>
          <w:sz w:val="28"/>
          <w:szCs w:val="28"/>
          <w:rtl w:val="true"/>
          <w:lang w:bidi="ar-SA"/>
        </w:rPr>
        <w:t xml:space="preserve">، فالاستعارة مكون إعلامي مؤثر يرسم البعد الخطابي لقصد المتكلم، لما فيها من استثارة لإعجاب المتلقي، وتملك انتباهه تؤثر فيه، ولاسيما حينما تكون استعارة غريبة غير متداولة ولا يتنبهُ لاصطيادها إلا فطناء البلغاء، فنجد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لكافة طبقات الناس ويفهمه كل المتلقين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تكون العلاقة فيه بين المعنى الحقيقي والمعنى المجازي الذي استعمل اللفظ للدلالة به عليه أمرًا غير المتشابه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 واحتکارًا للمنافعِ وتحكمًا في المبيعات، وذلك باب مضرةٍ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فالاحتكار للبضائع والمبيعات وحرمان الناس منها الا بمبالغ كبيرة، هذا سيولد مضار للدولة لعامة الناس، وهذا إطلاق المُسبب وإرادة السبب، وفائدة هذا المجاز الدلالة على المعنيين مع کمال الإيجاز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المجاز ومن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وانصف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إلا تفعل تظلم، ومن ظلم عباد الله كان الله خصمه دون عباده ومن خاصمه الله أدحض حجَّتةُ، وكان الله حربًا ينزع و يتوب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مرسل، علاقته العموم، فإنّ المراد منه هو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ووجدنا الصيغة الخبرية المسوقة للدلالة بها على إنشاء الأمر أو النهي،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الشرة بالجورِ، فإن البخل والجبن والحرص غرائز شتی يجمعها سوء الظن بالله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فالصيغة موضوعة للنفي الخبري وقد استعملت في النهي عن هذه الأمور مجازًا، والعلاقة المسببية؛ لأنّ حصول النفي في الواقع مُسَبَّبٌ عن البخل والحرص وهما من سوء الظن، لأن إنشاء المتكلم للعبارة سبب لإخباره بما تتضمنه، فظاهره أمرٌ، </w:t>
      </w:r>
      <w:bookmarkStart w:id="42" w:name="pg8037_83421"/>
    </w:p>
    <w:p>
      <w:pPr>
        <w:pStyle w:val="BookText"/>
        <w:rPr/>
      </w:pPr>
      <w:bookmarkEnd w:id="42"/>
      <w:r>
        <w:rPr>
          <w:rFonts w:ascii="Amiri" w:hAnsi="Amiri" w:eastAsia="Amiri" w:cs="Amiri"/>
          <w:color w:val="111111"/>
          <w:sz w:val="28"/>
          <w:sz w:val="28"/>
          <w:szCs w:val="28"/>
          <w:rtl w:val="true"/>
          <w:lang w:bidi="ar-SA"/>
        </w:rPr>
        <w:t>ومعناه خبرٌ</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7407049_1051229030"/>
      <w:bookmarkStart w:id="44" w:name="_Toc12"/>
      <w:bookmarkEnd w:id="43"/>
      <w:r>
        <w:rPr>
          <w:rtl w:val="true"/>
        </w:rPr>
        <w:t>ثانيًا</w:t>
      </w:r>
      <w:r>
        <w:rPr>
          <w:rtl w:val="true"/>
        </w:rPr>
        <w:t xml:space="preserve">: </w:t>
      </w:r>
      <w:r>
        <w:rPr>
          <w:rtl w:val="true"/>
        </w:rPr>
        <w:t>الكناية</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يتكلم به الإنسان، ویرید به غيره،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کنیت، أو كنوت بکذا، عن كذا، إذا تركت التصريح به،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أريد به غيرٌ معناهٌ الذي وضع له، مع جواز إرادة المعنى</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القول المبارك جاءت الكناية عن موصوف، إذ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w:t>
      </w:r>
      <w:bookmarkStart w:id="45" w:name="pg8037_83423"/>
    </w:p>
    <w:p>
      <w:pPr>
        <w:pStyle w:val="BookText"/>
        <w:rPr/>
      </w:pPr>
      <w:bookmarkEnd w:id="45"/>
      <w:r>
        <w:rPr>
          <w:rFonts w:ascii="Amiri" w:hAnsi="Amiri" w:eastAsia="Amiri" w:cs="Amiri"/>
          <w:color w:val="111111"/>
          <w:sz w:val="28"/>
          <w:sz w:val="28"/>
          <w:szCs w:val="28"/>
          <w:rtl w:val="true"/>
          <w:lang w:bidi="ar-SA"/>
        </w:rPr>
        <w:t>رجل القضاء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ماحقًا لجوجًا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يستمر ويسترسل بالزلة، ولا يعيا في المنطق، وعليه الرجوع إلى الحق، فالكناية احدثت ترابط بين الألفاظ والكلمات التي تدل على تصورات و تحكمها علاقات القرابة ثم تؤثر في مجالات الوعي البشري وتشكل إعلامية الخطاب في توسع الدائرة الوجدانية للمتلقي الذي يستطيع استشفافها عن طريق السياق الفني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7407051_1051229030"/>
      <w:bookmarkStart w:id="47" w:name="_Toc13"/>
      <w:bookmarkEnd w:id="46"/>
      <w:r>
        <w:rPr>
          <w:rtl w:val="true"/>
        </w:rPr>
        <w:t>ثالثا</w:t>
      </w:r>
      <w:r>
        <w:rPr>
          <w:rtl w:val="true"/>
        </w:rPr>
        <w:t xml:space="preserve">: </w:t>
      </w:r>
      <w:r>
        <w:rPr>
          <w:rtl w:val="true"/>
        </w:rPr>
        <w:t>التعريض</w:t>
      </w:r>
      <w:r>
        <w:rPr>
          <w:rtl w:val="true"/>
        </w:rPr>
        <w:t>:</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 الكلام ومعارضهٌ ومعاريضهٌ، کلام غير ظاهر الدلالة على المراد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وفي التعريض مزيد من إخفاء يجعلهُ أكثر قبولًا حينما يكون التصريح مثيرًا لغضبٍ، أو نقد، أو اتهامٍ أو عدلٍ و تلویمٍ، أو يكشف أمرًا يجب ستره عن الرُّقباء، </w:t>
      </w:r>
    </w:p>
    <w:p>
      <w:pPr>
        <w:pStyle w:val="BookText"/>
        <w:rPr/>
      </w:pPr>
      <w:r>
        <w:rPr>
          <w:rFonts w:ascii="Amiri" w:hAnsi="Amiri" w:eastAsia="Amiri" w:cs="Amiri"/>
          <w:color w:val="111111"/>
          <w:sz w:val="28"/>
          <w:sz w:val="28"/>
          <w:szCs w:val="28"/>
          <w:rtl w:val="true"/>
          <w:lang w:bidi="ar-SA"/>
        </w:rPr>
        <w:t>فيقوم التعريض مقام الألغاز والرمز الخفي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القول المبارك تعريض لاختيار الموظفين لتولي مناصب الدولة وقدد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لاختيارهم، ثم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الاختيار من أهل البيوت الصالحةِ والقدم في الإسلام، فهذه إشارة لكل القادة عليهم التحقق من اختيار الموظف لمنصب ما، فالنظر في </w:t>
      </w:r>
      <w:bookmarkStart w:id="48" w:name="pg8037_83427"/>
    </w:p>
    <w:p>
      <w:pPr>
        <w:pStyle w:val="BookText"/>
        <w:rPr/>
      </w:pPr>
      <w:bookmarkEnd w:id="48"/>
      <w:r>
        <w:rPr>
          <w:rFonts w:ascii="Amiri" w:hAnsi="Amiri" w:eastAsia="Amiri" w:cs="Amiri"/>
          <w:color w:val="111111"/>
          <w:sz w:val="28"/>
          <w:sz w:val="28"/>
          <w:szCs w:val="28"/>
          <w:rtl w:val="true"/>
          <w:lang w:bidi="ar-SA"/>
        </w:rPr>
        <w:t>دينه وأخلاقه وأصله مهم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7407053_1051229030"/>
      <w:bookmarkStart w:id="50" w:name="_Toc14"/>
      <w:bookmarkEnd w:id="49"/>
      <w:r>
        <w:rPr>
          <w:rtl w:val="true"/>
        </w:rPr>
        <w:t>رابعًا</w:t>
      </w:r>
      <w:r>
        <w:rPr>
          <w:rtl w:val="true"/>
        </w:rPr>
        <w:t xml:space="preserve">: </w:t>
      </w:r>
      <w:r>
        <w:rPr>
          <w:rtl w:val="true"/>
        </w:rPr>
        <w:t>التشبيه</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مماثلة بين أمرين،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قصد اشتراکهما في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بأداة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يقصد المتكلم للعلم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و للتشبيه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 وجمال، وموقع حسنٌ في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لإخراجه الخفي إلى الجلي، وإدنائه البعيد من القريب، یزید المعاني رفعة ووضوحاً ويكسبُها جمالا وفضلا، ويكسوها شرفا ونُبلا، فهو فن واسع النطاق، فسيح الخطو، ممتدُ الحواشي مُتَشعب الأطراف مُتوعر المسلك، غامض المدرك، دقيق المجری غزير الجدَوى</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قلبك الرحمة للرعية والمحبة لهم، </w:t>
      </w:r>
    </w:p>
    <w:p>
      <w:pPr>
        <w:pStyle w:val="BookText"/>
        <w:rPr/>
      </w:pPr>
      <w:r>
        <w:rPr>
          <w:rFonts w:ascii="Amiri" w:hAnsi="Amiri" w:eastAsia="Amiri" w:cs="Amiri"/>
          <w:color w:val="111111"/>
          <w:sz w:val="28"/>
          <w:sz w:val="28"/>
          <w:szCs w:val="28"/>
          <w:rtl w:val="true"/>
          <w:lang w:bidi="ar-SA"/>
        </w:rPr>
        <w:t>واللطف بهم ،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بليغية تشبيهية متمثل بالسبع الضاري الذي يغتنم أكلهم، فشبه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الذي ينتهز الفرص للانقضاض على رعيته وسلب حقهم بأنّه سبعٌ ضاريٌ،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التشبيه مكونًا إعلاميًا يبين عن بعدٍ خطابيِّ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المعنى وُضوحًا، ويُكسبه تأكیدًا، ولهذا أطبق المتكلمين من العرب والعجم عليه ولم يستغن أحدٌ عنه</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فالصور التشبيهية ذات جمالٍ يُرضي أذواق المتلقين ويمتعهم، ويقدم لهم لوحاتٍ جمالية مختلفة، تؤثر في النفوس وتعبر عن مراد المتكلم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بخيلًا يعدلُ بك عن الفضل، ويعدك الفقر، وجبانًا يضعفك عن الأمور، ولا حريصًا يُزين لك الشرة بالجور، فإن البخل والجبن والحرص غرائز شتی يجمعها سوء الظن بالله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البخيل بأنه يعدل القائد عن الإحسان بالبدل ويخوِّفك لو بذلت، وشبّه المستشار الجبان بأنّه يزين لك الحرص، ثم شبّه البخل والجبن والحرص طبائع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التشبيه مؤكد مفصّل ذكر فيه وجه الشبه ولم تُذكر فيه أداة التشبيه، فالأنواع السابقة للتشبيه إبانة عن شحذ ذهن المتلقي وتحريكُ طاقاتهِ الفكرية، أو استرضاء ذكائه، لتوجيه عنايته، حتى يتأمل ويتفكّر ويصل إلى إدراك المراد عن طريق التفكير، وتقديم أفكار جديدة ودقيقة وهي مما يحتاج بیانُه </w:t>
      </w:r>
      <w:bookmarkStart w:id="51" w:name="pg8037_83433"/>
    </w:p>
    <w:p>
      <w:pPr>
        <w:pStyle w:val="BookText"/>
        <w:rPr/>
      </w:pPr>
      <w:bookmarkEnd w:id="51"/>
      <w:r>
        <w:rPr>
          <w:rFonts w:ascii="Amiri" w:hAnsi="Amiri" w:eastAsia="Amiri" w:cs="Amiri"/>
          <w:color w:val="111111"/>
          <w:sz w:val="28"/>
          <w:sz w:val="28"/>
          <w:szCs w:val="28"/>
          <w:rtl w:val="true"/>
          <w:lang w:bidi="ar-SA"/>
        </w:rPr>
        <w:t>عن طريق التشبيه كلامًا كثيرًا بأخصر عبارة، وهنا يكمن جوهر الإعلامية الفعالة ذات الكفاءة الإنتاجية العالية المؤثرة في تشكيل أبعاد الخطاب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7407055_1051229030"/>
      <w:bookmarkStart w:id="53" w:name="_Toc15"/>
      <w:bookmarkEnd w:id="52"/>
      <w:r>
        <w:rPr>
          <w:rtl w:val="true"/>
        </w:rPr>
        <w:t>خامساً</w:t>
      </w:r>
      <w:r>
        <w:rPr>
          <w:rtl w:val="true"/>
        </w:rPr>
        <w:t xml:space="preserve">: </w:t>
      </w:r>
      <w:r>
        <w:rPr>
          <w:rtl w:val="true"/>
        </w:rPr>
        <w:t>البديع</w:t>
      </w:r>
      <w:r>
        <w:rPr>
          <w:rtl w:val="true"/>
        </w:rPr>
        <w:t>.</w:t>
      </w:r>
      <w:bookmarkEnd w:id="53"/>
    </w:p>
    <w:p>
      <w:pPr>
        <w:pStyle w:val="BookText"/>
        <w:rPr/>
      </w:pPr>
      <w:r>
        <w:rPr>
          <w:rFonts w:ascii="IRNazanin" w:hAnsi="IRNazanin" w:eastAsia="IRNazanin"/>
          <w:color w:val="111111"/>
          <w:sz w:val="28"/>
          <w:sz w:val="28"/>
          <w:szCs w:val="28"/>
          <w:rtl w:val="true"/>
          <w:lang w:bidi="fa-IR"/>
        </w:rPr>
        <w:t>علم یعرف به الوجوه كتحسين أساليب وطرق معلومة وضعت لتزيين الكلام وتنميقه وتحسين الكلام والمزايا التي تزيد الكلام حسنا وطلاوة، وتكسوه بهاءً، ورونقاً، بعد مطابقته لمقتضى الحال مع وضوح دلالته على المراد لفظا ومعنى</w:t>
      </w:r>
      <w:r>
        <w:rPr>
          <w:rStyle w:val="FootnoteAnchor"/>
          <w:rtl w:val="true"/>
        </w:rPr>
        <w:footnoteReference w:id="55"/>
      </w:r>
      <w:r>
        <w:rPr>
          <w:rFonts w:ascii="Amiri" w:hAnsi="Amiri" w:eastAsia="Amiri" w:cs="Amiri"/>
          <w:color w:val="111111"/>
          <w:sz w:val="28"/>
          <w:sz w:val="28"/>
          <w:szCs w:val="28"/>
          <w:rtl w:val="true"/>
          <w:lang w:bidi="ar-SA"/>
        </w:rPr>
        <w:t xml:space="preserve">، ويتضمن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المحسنات البديعية، منها المعنوية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يذكر المتكلم في النص معنيين، أحدهم ظاهرٌ </w:t>
      </w:r>
    </w:p>
    <w:p>
      <w:pPr>
        <w:pStyle w:val="BookText"/>
        <w:rPr/>
      </w:pPr>
      <w:r>
        <w:rPr>
          <w:rFonts w:ascii="IRNazanin" w:hAnsi="IRNazanin" w:eastAsia="IRNazanin"/>
          <w:color w:val="111111"/>
          <w:sz w:val="28"/>
          <w:sz w:val="28"/>
          <w:szCs w:val="28"/>
          <w:rtl w:val="true"/>
          <w:lang w:bidi="fa-IR"/>
        </w:rPr>
        <w:t>قريبٌ يتبادرُ إلى الذهن وهو غير مراد والآخرُ بعيد فيه نوعُ خفاءٍ وهو المعنى المراد، یُورَّی عنه بالمعنى القريب ليسبق الذهن إليه ويتوهمهُ قبل التأمل، وبعد التأمل يتنبه المتلقي فيدرك المعنى الآخر المراد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التورية في هذا القول المبارك تحمل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يامالك كن قريبًا جدًا من أهل الورع والصدق وعبر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المتعدي لصق تعبيرًا مبالغًا عن القرب من هؤلاء الناس، والمعنى الثاني، رغم إنّهم أهل ورع وصدق </w:t>
      </w:r>
    </w:p>
    <w:p>
      <w:pPr>
        <w:pStyle w:val="BookText"/>
        <w:rPr/>
      </w:pPr>
      <w:r>
        <w:rPr>
          <w:rFonts w:ascii="IRNazanin" w:hAnsi="IRNazanin" w:eastAsia="IRNazanin"/>
          <w:color w:val="111111"/>
          <w:sz w:val="28"/>
          <w:sz w:val="28"/>
          <w:szCs w:val="28"/>
          <w:rtl w:val="true"/>
          <w:lang w:bidi="fa-IR"/>
        </w:rPr>
        <w:t>بمدحهم المبالغ لك و تعظیم عمل لم تفعله، فهذه الأمور تسبب لك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الجمع بين لفظين متقابلين في المعنى،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منهم يقطع عنهم علم ما احتجبوا دونه فيصغر عندهم الكبير، ويعظم الصغير، ويقبح الحسن، ويحسن القبيح، ويشاب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على الحق سماتٌ تعرف بها ضُرُوبُ الصدق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النص أمثلة من الطباق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الكبير، ويعظم،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الحسن، ويحسن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 أن في كل من الجملتين طباقًا، وأن </w:t>
      </w:r>
    </w:p>
    <w:p>
      <w:pPr>
        <w:pStyle w:val="BookText"/>
        <w:rPr/>
      </w:pPr>
      <w:r>
        <w:rPr>
          <w:rFonts w:ascii="Amiri" w:hAnsi="Amiri" w:eastAsia="Amiri" w:cs="Amiri"/>
          <w:color w:val="111111"/>
          <w:sz w:val="28"/>
          <w:sz w:val="28"/>
          <w:szCs w:val="28"/>
          <w:rtl w:val="true"/>
          <w:lang w:bidi="ar-SA"/>
        </w:rPr>
        <w:t>في الجملتين معًا مقابلة، فالصغير في الأولى يضاد الكبير، والعظيم يقابل في الثانية الصغير، وكذلك القول في النص الثاني، يقبح يضاد يحسن في الجملة الأولى، وفي الجملة الثانية، الحسن يقابل القبيح، وجاء هذا التقابل في الثانية على الترتيب الذي جاء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فالعنصر الجمالي للطباق في الخطاب يشكل استدعاء بين الأفكار في الاذهان، فهذه المقابلات أقرب تخاطرًا إلى أذهان المتلقي من المتشابهات، ويزيد على ذلك تشكّلُ جانبًا مهمًا من مكونات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أمرين، أو أمور متناسبة، </w:t>
      </w:r>
    </w:p>
    <w:p>
      <w:pPr>
        <w:pStyle w:val="BookText"/>
        <w:rPr/>
      </w:pPr>
      <w:r>
        <w:rPr>
          <w:rFonts w:ascii="Amiri" w:hAnsi="Amiri" w:eastAsia="Amiri" w:cs="Amiri"/>
          <w:color w:val="111111"/>
          <w:sz w:val="28"/>
          <w:sz w:val="28"/>
          <w:szCs w:val="28"/>
          <w:rtl w:val="true"/>
          <w:lang w:bidi="ar-SA"/>
        </w:rPr>
        <w:t xml:space="preserve">لا على جهة التضاد، وذلك إما بين اثنين، أو بين أكثر، ويلحق بمراعاة النظير، ما بني على المناسبة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طرفي الكلام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يختم الكلام بما يناسب أوله في المعنى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تدفعنَّ صلحًا دعاك إليه عدوك لله فيه رضیً، فإن في الصلح دعةً لجنودك، وراحة من همومك، وأمنًا لبلادك</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 القول بالصلح، ثم استمر بالبدعة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أو سكينة، أو رغدِ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وراحة من الهموم ثم جاءت الخاتمة بالأمن للبلاد كل ذلك لمناسبة لما ابتدأ به القول، إذ ترتب على الصلح باقي الفوائد التي وردت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لفظ مشترك بين معنيين، يراد به أحدهما ثم يعاد عليه ضمير، أو إشارة، بمعناه الآخر، أو يعاد عليه ضميران يراد بثانيهما غير ما يراد بأولهما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أدني لنقمةٍ، ولا اعظم لتبعةٍ، وانقطاع مُدةٍ، من سفك الدماء بغير حقها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القول المبارك تحذير وتنبيه لسفك الدماء بغير حلِّها، فاختتم القول بجملة من سفك الدماء بغير حقها، فإحالة الضمير على الدماء، فسفك الدماء بغير حقها ينتج عنه زوال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فالاستخدام يؤدي إلى معنين أحدهما، مجاز في القول، والآخر تقدیر ذکاء المتلقي وارضاؤه، </w:t>
      </w:r>
    </w:p>
    <w:p>
      <w:pPr>
        <w:pStyle w:val="BookText"/>
        <w:rPr/>
      </w:pPr>
      <w:r>
        <w:rPr>
          <w:rFonts w:ascii="Amiri" w:hAnsi="Amiri" w:eastAsia="Amiri" w:cs="Amiri"/>
          <w:color w:val="111111"/>
          <w:sz w:val="28"/>
          <w:sz w:val="28"/>
          <w:szCs w:val="28"/>
          <w:rtl w:val="true"/>
          <w:lang w:bidi="ar-SA"/>
        </w:rPr>
        <w:t>مما يشكل كفاءة إعلامية تسهم في بلورة خطاب، وذات بعد دلالي</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نبحث في القسم الثاني بعض من المحسنات البديعية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يتشابه اللفظان في النطق ويختلفان في المعنى</w:t>
      </w:r>
      <w:r>
        <w:rPr>
          <w:rStyle w:val="FootnoteAnchor"/>
          <w:rtl w:val="true"/>
        </w:rPr>
        <w:footnoteReference w:id="60"/>
      </w:r>
      <w:r>
        <w:rPr>
          <w:rFonts w:ascii="Amiri" w:hAnsi="Amiri" w:eastAsia="Amiri" w:cs="Amiri"/>
          <w:color w:val="111111"/>
          <w:sz w:val="28"/>
          <w:sz w:val="28"/>
          <w:szCs w:val="28"/>
          <w:rtl w:val="true"/>
          <w:lang w:bidi="ar-SA"/>
        </w:rPr>
        <w:t xml:space="preserve">،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بخطأ وأفرط عليك سوطك أو سيفك أو يدك بالعقوبة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الجناس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 ويوهنه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يزيلهُ وينقلهُ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سوطك وسيفك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النوع من جناس القلب، وهو ما اختلف فيه اللفظان في ترتيب </w:t>
      </w:r>
    </w:p>
    <w:p>
      <w:pPr>
        <w:pStyle w:val="BookText"/>
        <w:rPr/>
      </w:pPr>
      <w:r>
        <w:rPr>
          <w:rFonts w:ascii="Amiri" w:hAnsi="Amiri" w:eastAsia="Amiri" w:cs="Amiri"/>
          <w:color w:val="111111"/>
          <w:sz w:val="28"/>
          <w:sz w:val="28"/>
          <w:szCs w:val="28"/>
          <w:rtl w:val="true"/>
          <w:lang w:bidi="ar-SA"/>
        </w:rPr>
        <w:t xml:space="preserve">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توافق الفاصلتين في الحرف الأخير، وهو في النثر کالقافية في الشعر،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من أحرسك وشرطك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السجع المتوازي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شخصك، خلقك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جندك، أعوانك، أحرسك، شرطك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تكون الكلمتان الأخيرتان من السجعتين متفقتين في الوزن وفي الحرف الأخير منهما مع وجود اختلافٍ ما قبلهما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العجزُ على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كل كلام بين صدره وعجزه رابطة لفظية غالبا، أو معنوية نادرة، تحصل بها الملامة والتلاحم بين كل كلام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الناس ينظرون من أمورك في مثل ماكنت تنظر فيه من أمور الولاة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النوع ما وافق اخر كلمة من الكلام بعض کلمات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اللفظ مع المعني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ألفاظ المعنى يلائم بعضها بعضا ليس فيها لفظة نافرة عن أخواتها، غير لائقة بمكانها، كلها موصوف بحسن الجوار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قال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فيهِ من سلطانك أبهةً أو مخيلةً، فانظر إلى عظم ملكِ الله فوقك، وقدرته منك على ما لا تقدر عليه من نفسك، فإن ذلك يُطامنُ إليك من طماحك، ويكف عنك من غرابك، ويفي إليك بما عزب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هذه النص تلاؤم بين اللفظ المختار والمعنى المراد به، فاختار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العظمة والكبرياء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الخيلاء والعجب، مناسبة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لملك الله، والمعنى كل التكبر والعظمة والخيلاء لا تساوي شيئًا أمام ملك الله العظيم، ثم استمر التناسق بين مفردات النصّ وصولاً إلى قوله قدرته منك على ما لا تقدر عليه ناسب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يخفض ذلك من طموحك أمام عظمة الخالق، وجاء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4" w:name="pg8037_83451"/>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يرجع إليك بما غاب عنك عقلك من ملك الله وقدرة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تتبعنا ذلك لوجدنا هناك بعض الأمثلة المحتوية على ذلك إلا أننا اكتفينا في عرض هذه الأمثلة لبيان مدى مساهمتها في تماسك النصّ لفظیًا ومعنويًا مع مساعدتها ببعض وسائل الاتساق الأخرى</w:t>
      </w:r>
      <w:r>
        <w:rPr>
          <w:rFonts w:eastAsia="IRNazanin" w:cs="IRNazanin"/>
          <w:color w:val="111111"/>
          <w:sz w:val="28"/>
          <w:szCs w:val="28"/>
          <w:rtl w:val="true"/>
          <w:lang w:bidi="fa-IR"/>
        </w:rPr>
        <w:t>.</w:t>
      </w:r>
    </w:p>
    <w:p>
      <w:pPr>
        <w:pStyle w:val="Heading2"/>
        <w:numPr>
          <w:ilvl w:val="1"/>
          <w:numId w:val="1"/>
        </w:numPr>
        <w:rPr/>
      </w:pPr>
      <w:bookmarkStart w:id="55" w:name="__RefHeading___Toc7407057_1051229030"/>
      <w:bookmarkStart w:id="56" w:name="_Toc16"/>
      <w:bookmarkEnd w:id="55"/>
      <w:r>
        <w:rPr>
          <w:rtl w:val="true"/>
        </w:rPr>
        <w:t>سادساً</w:t>
      </w:r>
      <w:r>
        <w:rPr>
          <w:rtl w:val="true"/>
        </w:rPr>
        <w:t xml:space="preserve">: </w:t>
      </w:r>
      <w:r>
        <w:rPr>
          <w:rtl w:val="true"/>
        </w:rPr>
        <w:t>الإيجاز</w:t>
      </w:r>
      <w:r>
        <w:rPr>
          <w:rtl w:val="true"/>
        </w:rPr>
        <w:t>.</w:t>
      </w:r>
      <w:bookmarkEnd w:id="56"/>
    </w:p>
    <w:p>
      <w:pPr>
        <w:pStyle w:val="BookText"/>
        <w:rPr/>
      </w:pPr>
      <w:r>
        <w:rPr>
          <w:rFonts w:ascii="Amiri" w:hAnsi="Amiri" w:eastAsia="Amiri" w:cs="Amiri"/>
          <w:color w:val="111111"/>
          <w:sz w:val="28"/>
          <w:sz w:val="28"/>
          <w:szCs w:val="28"/>
          <w:rtl w:val="true"/>
          <w:lang w:bidi="ar-SA"/>
        </w:rPr>
        <w:t>يعني التعبير عن المراد بكلامٍ قصير ناقص عن الألفاظ التي يؤدي بها عادة في متعارف الناس، مع وفائه بالدلالة على المقصود</w:t>
      </w:r>
      <w:r>
        <w:rPr>
          <w:rStyle w:val="FootnoteAnchor"/>
          <w:rtl w:val="true"/>
        </w:rPr>
        <w:footnoteReference w:id="63"/>
      </w:r>
      <w:r>
        <w:rPr>
          <w:rFonts w:ascii="Amiri" w:hAnsi="Amiri" w:eastAsia="Amiri" w:cs="Amiri"/>
          <w:color w:val="111111"/>
          <w:sz w:val="28"/>
          <w:sz w:val="28"/>
          <w:szCs w:val="28"/>
          <w:rtl w:val="true"/>
          <w:lang w:bidi="ar-SA"/>
        </w:rPr>
        <w:t>،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إيجاز القصر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إثبات الحكم للمذكور في الكلام ونفيه عما عداه، أو هو تخصيص أمر بأمر، أو هو تخصيص شيءٍ </w:t>
      </w:r>
    </w:p>
    <w:p>
      <w:pPr>
        <w:pStyle w:val="BookText"/>
        <w:rPr/>
      </w:pPr>
      <w:r>
        <w:rPr>
          <w:rFonts w:ascii="Amiri" w:hAnsi="Amiri" w:eastAsia="Amiri" w:cs="Amiri"/>
          <w:color w:val="111111"/>
          <w:sz w:val="28"/>
          <w:sz w:val="28"/>
          <w:szCs w:val="28"/>
          <w:rtl w:val="true"/>
          <w:lang w:bidi="ar-SA"/>
        </w:rPr>
        <w:t>بشيءٍ بعبارة كلامية تدل عليه</w:t>
      </w:r>
      <w:r>
        <w:rPr>
          <w:rStyle w:val="FootnoteAnchor"/>
          <w:rtl w:val="true"/>
        </w:rPr>
        <w:footnoteReference w:id="64"/>
      </w:r>
      <w:r>
        <w:rPr>
          <w:rFonts w:ascii="Amiri" w:hAnsi="Amiri" w:eastAsia="Amiri" w:cs="Amiri"/>
          <w:color w:val="111111"/>
          <w:sz w:val="28"/>
          <w:sz w:val="28"/>
          <w:szCs w:val="28"/>
          <w:rtl w:val="true"/>
          <w:lang w:bidi="ar-SA"/>
        </w:rPr>
        <w:t>، فهو من الأساليب التي عني بها البلاغيون وذلك لما يضفيه من قوة التأثر وجمال التعبير</w:t>
      </w:r>
      <w:r>
        <w:rPr>
          <w:rStyle w:val="FootnoteAnchor"/>
          <w:rtl w:val="true"/>
        </w:rPr>
        <w:footnoteReference w:id="65"/>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يشفى إلا مع جحودها واضاعتها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قصر إضافي وهو ما كان الاختصاص فيه بحسب الإضافة إلى شيء معين، نحو ما علىَّ إلا قائم، أي أن له صفة القيام لا صفة القعود، فخصّ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بطاعة الله، وبجحودها وإضاعتها يشقى الانسان وهو كلام خاص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معنى العموم إلى الناس كافة، فالطرف الآخر في </w:t>
      </w:r>
    </w:p>
    <w:p>
      <w:pPr>
        <w:pStyle w:val="BookText"/>
        <w:rPr/>
      </w:pPr>
      <w:r>
        <w:rPr>
          <w:rFonts w:ascii="Amiri" w:hAnsi="Amiri" w:eastAsia="Amiri" w:cs="Amiri"/>
          <w:color w:val="111111"/>
          <w:sz w:val="28"/>
          <w:sz w:val="28"/>
          <w:szCs w:val="28"/>
          <w:rtl w:val="true"/>
          <w:lang w:bidi="ar-SA"/>
        </w:rPr>
        <w:t xml:space="preserve">عملية الاتصال هو المتلقّي فالوظيفة التي تقابله هي الوظيفة الإفهامية وتتمثّل في العبارات التي يطلقها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لإثارة انتباه المرسل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لطلب القيام بعمل ما، ويأخذ بوساطتها النصّ قيمته التداولية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إيجاز الحذف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قصر الكلام فيه بسبب استعمال حذف بعضه اکتفاء بدلالة القرائن على ما حذف،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 هذا النص محذوفا متمثل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عليها، ثم کشف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وجهتك إلى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ذات </w:t>
      </w:r>
      <w:bookmarkStart w:id="57" w:name="pg8037_83457"/>
    </w:p>
    <w:p>
      <w:pPr>
        <w:pStyle w:val="BookText"/>
        <w:rPr/>
      </w:pPr>
      <w:bookmarkEnd w:id="57"/>
      <w:r>
        <w:rPr>
          <w:rFonts w:ascii="Amiri" w:hAnsi="Amiri" w:eastAsia="Amiri" w:cs="Amiri"/>
          <w:color w:val="111111"/>
          <w:sz w:val="28"/>
          <w:sz w:val="28"/>
          <w:szCs w:val="28"/>
          <w:rtl w:val="true"/>
          <w:lang w:bidi="ar-SA"/>
        </w:rPr>
        <w:t xml:space="preserve">بعد خطابي يجذب انتباه المتلقي بحكم التفكير بالتاريخ البعيد لحكام هذه البلاد من جور مثّله فرعون وعدلٍ مثّله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فالحذف يعد اختصارًا واقتصادًا في التعبير، وتحقق المطلوب بظهور المعنى المراد لدى المتلقي، لذلك يشكل الحذف أهم مكون إعلامي يرفع كفاءة النصّ</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7407059_1051229030"/>
      <w:bookmarkStart w:id="59" w:name="_Toc17"/>
      <w:bookmarkEnd w:id="58"/>
      <w:r>
        <w:rPr>
          <w:rtl w:val="true"/>
        </w:rPr>
        <w:t>سابعاً</w:t>
      </w:r>
      <w:r>
        <w:rPr>
          <w:rtl w:val="true"/>
        </w:rPr>
        <w:t xml:space="preserve">: </w:t>
      </w:r>
      <w:r>
        <w:rPr>
          <w:rtl w:val="true"/>
        </w:rPr>
        <w:t>الإطناب</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الكلام زائداً عما يُمكن أن يُؤدي به من المعاني في معتاد، لفائدة تقصد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ونجد هذا المكون المؤثر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الأمور إليك أوسطها في الحق، وأعمها في العدل، واجتمعها لرضي الرعية، فإن سُخط العامة يجحف برضى الخاصة، وإن سخط الخاصة يغتفر مع رضى العامة، وليس أحدٌ من </w:t>
      </w:r>
    </w:p>
    <w:p>
      <w:pPr>
        <w:pStyle w:val="BookText"/>
        <w:rPr/>
      </w:pPr>
      <w:r>
        <w:rPr>
          <w:rFonts w:ascii="Amiri" w:hAnsi="Amiri" w:eastAsia="Amiri" w:cs="Amiri"/>
          <w:color w:val="111111"/>
          <w:sz w:val="28"/>
          <w:sz w:val="28"/>
          <w:szCs w:val="28"/>
          <w:rtl w:val="true"/>
          <w:lang w:bidi="ar-SA"/>
        </w:rPr>
        <w:t>الرعية أثقل على الوالي مؤونةً في الرخاءِ وأقل معونة له في البلاء، وأكرهَ للإنصاف واسأل بالإلحاف، وأقل شُكرًا عند الإعطاءِ، وأبطأ عُذرًا عند المنع، وأضعف صبر عند ملماتِ الدهر من أهل الخاصة، 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النصّ إطناب، يتضمن توجيه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لأساسيات قيادة البلاد وأهمها العدل بين الناس، فعندما يعدل القائد بين رعية الخاصة وعامة الناس، يرضى عليه العامة وعکس هذا الأمر يخلق سخطًا عند العامة، وعلى القائد العادل أن يقلل شكره عند إعطائه للرعية؛ لأنّ هذا واجبه اتجاه شعبه، وأهم ركيزة تجعل القائد ناجحًا هي جعل جمع المسلمين هم عمادُ الدين وليس الخاصة، فعليه أن يميل للعامة من الأمة، فذكر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الطائفة من واجبات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القائد تجاه شعبه، فكلُّ واحدة منها تضمن مجموعة من الصفات، وعلى هذا المعنى أقام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دون زيادة في الألفاظ عند ذكر كل واجب</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037_83468"/>
      <w:bookmarkStart w:id="61" w:name="pg8037_83468"/>
      <w:bookmarkEnd w:id="61"/>
    </w:p>
    <w:p>
      <w:pPr>
        <w:pStyle w:val="Heading2"/>
        <w:numPr>
          <w:ilvl w:val="1"/>
          <w:numId w:val="1"/>
        </w:numPr>
        <w:rPr/>
      </w:pPr>
      <w:bookmarkStart w:id="62" w:name="pg8037_83468"/>
      <w:bookmarkStart w:id="63" w:name="__RefHeading___Toc7407061_1051229030"/>
      <w:bookmarkStart w:id="64" w:name="_Toc18"/>
      <w:bookmarkEnd w:id="62"/>
      <w:bookmarkEnd w:id="63"/>
      <w:r>
        <w:rPr>
          <w:rtl w:val="true"/>
        </w:rPr>
        <w:t>الخاتمة</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الإعلامية متأصلة الجذر في النصّ العربي؛ لأنها تشارك في الكشف عن أبعاد الخطاب وموضوعاته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أظهرت الدراسة عن لغة سامية ذات بنية عميقة لها دلائل متنوعة الأهداف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فتضمن هذا النص المكونات المختلفة للإعلامية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العهد المبارك التراكيب السطحية كالحذف والتكرار والربط، وكذلك </w:t>
      </w:r>
    </w:p>
    <w:p>
      <w:pPr>
        <w:pStyle w:val="BookText"/>
        <w:rPr/>
      </w:pPr>
      <w:r>
        <w:rPr>
          <w:rFonts w:ascii="Amiri" w:hAnsi="Amiri" w:eastAsia="Amiri" w:cs="Amiri"/>
          <w:color w:val="111111"/>
          <w:sz w:val="28"/>
          <w:sz w:val="28"/>
          <w:szCs w:val="28"/>
          <w:rtl w:val="true"/>
          <w:lang w:bidi="ar-SA"/>
        </w:rPr>
        <w:t>التراكيب العميقة كالإجمال والتفصيل والعموم و الخصوص، فساهمت هذه الظواهر عن إخراج نص ذي مستوى عالٍ من السبك والأسلوب الراقي في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النصّ المكونات التصويرية كالمجاز والكناية والتعريض والتشبيه والإيجاز والإطناب وغيرها من الأساليب التي ساهمت على الارتقاء بالنص إلى المستوى الذي تتفاعل فيه اللغة والعقل والمجتمع بصورة فعالة ومعبرة</w:t>
      </w:r>
      <w:r>
        <w:rPr>
          <w:rFonts w:eastAsia="Amiri" w:cs="Amiri" w:ascii="Amiri" w:hAnsi="Amiri"/>
          <w:color w:val="111111"/>
          <w:sz w:val="28"/>
          <w:szCs w:val="28"/>
          <w:rtl w:val="true"/>
          <w:lang w:bidi="ar-SA"/>
        </w:rPr>
        <w:t>.</w:t>
      </w:r>
      <w:bookmarkStart w:id="65" w:name="pg8037_83473"/>
    </w:p>
    <w:p>
      <w:pPr>
        <w:pStyle w:val="Heading2"/>
        <w:numPr>
          <w:ilvl w:val="1"/>
          <w:numId w:val="1"/>
        </w:numPr>
        <w:rPr/>
      </w:pPr>
      <w:bookmarkStart w:id="66" w:name="__RefHeading___Toc7407063_1051229030"/>
      <w:bookmarkStart w:id="67" w:name="_Toc19"/>
      <w:bookmarkEnd w:id="65"/>
      <w:bookmarkEnd w:id="66"/>
      <w:r>
        <w:rPr>
          <w:rtl w:val="true"/>
        </w:rPr>
        <w:t>روافد البحث</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إبداع الدلالة في 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لغوي أسلوبي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العبد،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جامعة عين شمس، مكتبة الأداب،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الأبداع الموازي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النصي للشعر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 اللطيف حماسة، دار غريب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اتجاهات البحث اللساني، ميلكا إفيش، ترجمة، سعد مصلوح، وفاء كامل، المجلس الأعلى للثقافة، ط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البلاغة في علم البيان، الجرجاني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هنداوي، دار الكتب العلمية 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أشكال النص دراسة لسانية نصية، جمعان بن عبد الكريم، الدار البيضاء،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البيان العربي في ضوء القرآن الكريم، محمد حسین علي الصغير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بيروت، ط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أفاق جديدة في البحث اللغوي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نخلة، دار المعرفة الجامعية،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القرآن، ابن أبي الإصبع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تحقيق، حفني محمد شرف، نهضة مصر للطباعة والنشر،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بين البلاغة العربية واللسانيات النّصيّة،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 المجيد، الهيأة المصرية للكتاب، الإسكندرية،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أسسها وعلومها وفنونها، عبد الرحمن حنكة الميداني، دار القلم،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في ضوء منهج متكامل،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بركات، دار البشير للتوزيع والنشر،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النص مدخل نظري ودراسة تطبيقية،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عبد المجيد، دار غريب للطباعة والنشر،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التركيب دراسة في علم المعاني،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الفيل، مكتبة الآداب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الترابط النصي في ضوء تحليل الخطاب، خليل بن ياسر البطاشي، دار جریر،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البلاغة في المعاني والبيان والبديع، أحمد مصطفى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وتدقيق وتوثيق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الصميلي، المكتبة العصرية،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الصبان على شرح الأشموني في شرح ألفية ابن مالك، ومعها شرح الشواهد للعيني، الصبان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الجميل، مكتبة الصفا،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في علم المعاني،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الصناعتين،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أبو الفضل إبراهيم،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التطبيقي في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الأمل، 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لغة النص النظرية والتطبيق، عزة شبل، مكتبة الآداب، القاهرة، ط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في محاسن الشعر وآدابه، أبو علي الحسن بن رشيق القيرواني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الجيل، 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البلاغة العربية والأسلوبيات اللسانية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لسانيات النصب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لسانيات النص مدخل إلى انسجام الخطاب، محمد خطابی، المركز الثقافي العربي،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النص، نحو منهج لتحليل الخطاب الشعري، أحمد مداس،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عالم الكتب الحديثة، أربد، الأردن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اللسانيات جان بیرو،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مسعودي، مفتاح بن عروس، دار الآفاق، الجزائر،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اللسانيات في الثقافة العربية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تحليله نقدية في قضايا التلقي وإشكالاته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إسماعيلي علوي، دار الكتاب الجديد المتحدة،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المزهر في علوم اللغة وأنواعها،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علي منصور، دار الكتب العلمية،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وظلال المعنى أنظمة الدلالة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يونس علي، درار المدار الإسلامي، 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في اللغة والأدب، تمام حسان، عالم الكتب،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المنزع البديع في تجنيس أساليب البديع، أبو محمد قاسم السلجماسي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علال الغازي، مكتبة المعارف، الرباط،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النص، اتجاه جديد في الدرس النحوي، أحمد عفيفي مكتبة زهراء الشرق،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نسيج النص بحث ما يكون به الملفوظ نصاً، الأزهر الزناد، ان المركز الثقافي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والخطاب والإجراء، روبرت دي بوجراند، ترجمة تمام حسان، عالم الكتب، القاهرة، ط،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الارتباط والربط في تركيب الجملة العربية، مصطفی حميدة، دار مكتبة لبنان ناشرون،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علم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منهجية في بناء النَّصّ النثري،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أحمد فرج، مكتبة الآداب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8" w:name="pg8037_83480"/>
    </w:p>
    <w:p>
      <w:pPr>
        <w:pStyle w:val="Heading2"/>
        <w:numPr>
          <w:ilvl w:val="1"/>
          <w:numId w:val="1"/>
        </w:numPr>
        <w:rPr/>
      </w:pPr>
      <w:bookmarkStart w:id="69" w:name="__RefHeading___Toc7407065_1051229030"/>
      <w:bookmarkStart w:id="70" w:name="_Toc20"/>
      <w:bookmarkEnd w:id="68"/>
      <w:bookmarkEnd w:id="69"/>
      <w:r>
        <w:rPr>
          <w:rtl w:val="true"/>
        </w:rPr>
        <w:t>المحتويات</w:t>
      </w:r>
      <w:bookmarkEnd w:id="7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التركيبية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الإعلانية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 السطحية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 العميقة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التصورية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الإطناب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روافد البحث</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لغة النصّ، إلهام أبو غزالة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لغة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أبو غزالة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والخطاب والأجراء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افاق جديدة في البحث اللغوي المعاصر، محمود احمد نخلة، </w:t>
      </w:r>
      <w:r>
        <w:rPr>
          <w:rFonts w:eastAsia="IRNazanin" w:cs="IRNazanin"/>
          <w:b w:val="false"/>
          <w:bCs w:val="false"/>
          <w:i w:val="false"/>
          <w:iCs w:val="false"/>
          <w:color w:val="333333"/>
          <w:sz w:val="20"/>
          <w:szCs w:val="20"/>
        </w:rPr>
        <w:t>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البلاغة العربية والأسلوبيات اللسانية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 البديع في تجنيس أساليب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الترابط النصيّ في ضوء التحليل اللساني للخاطب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وضلال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بين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النص اتجاه جديد في الدرس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بين البلاغة العربية واللسانيات النصيّة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إبداع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الارتباط والربط في تركيب الجملة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والخطاب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 مدخل إلى انسجام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 عزة شبل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الأبداع الموازي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التحليل النصيّ للشعر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لغة النصّ، عزة شبل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النصّ مدخل نظري و دراسة تطبيقية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والخطاب والأجراء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الدلاة التطبيقي في التراث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جان بیرو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 آدابه ونقده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مداس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 بين البلاغة العربية واللسانيات النصّية </w:t>
      </w:r>
      <w:r>
        <w:rPr>
          <w:rFonts w:eastAsia="IRNazanin" w:cs="IRNazanin"/>
          <w:b w:val="false"/>
          <w:bCs w:val="false"/>
          <w:i w:val="false"/>
          <w:iCs w:val="false"/>
          <w:color w:val="333333"/>
          <w:sz w:val="20"/>
          <w:szCs w:val="20"/>
        </w:rPr>
        <w:t>144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البيان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اللسانيات في الثقافة العربية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أساسها وعلومها وفنونها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في ضوء منهج متكامل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البلاغة العربية أساسها وفنونها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البحث اللساني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البلاغة البيان، المعاني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البلاغة العربية أسسها وعلومها وفنونها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التركيب دراسة في علم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البلاغة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7495</Words>
  <Characters>35951</Characters>
  <CharactersWithSpaces>43066</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2026-08-27T13:59:57Z</dcterms:created>
  <dc:creator>ghaemiyeh.com</dc:creator>
  <dc:description/>
  <dc:language>en-US</dc:language>
  <cp:lastModifiedBy/>
  <dcterms:modified xsi:type="dcterms:W3CDTF">2026-08-27T17:30:00Z</dcterms:modified>
  <cp:revision>1</cp:revision>
  <dc:subject/>
  <dc:title>المکونات الإعلامیة و أثرها فی أبعاد الخطاب دراسة لسانیة فی عهد الإمام علی علیه السلام لمالک الأشتر رضی الله عنه</dc:title>
</cp:coreProperties>
</file>

<file path=docProps/custom.xml><?xml version="1.0" encoding="utf-8"?>
<Properties xmlns="http://schemas.openxmlformats.org/officeDocument/2006/custom-properties" xmlns:vt="http://schemas.openxmlformats.org/officeDocument/2006/docPropsVTypes"/>
</file>