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المقنع فی الغیبه و ملحقاته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5882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25884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25886_1051229030">
            <w:r>
              <w:rPr>
                <w:webHidden/>
                <w:rStyle w:val="IndexLink"/>
                <w:rtl w:val="true"/>
              </w:rPr>
              <w:t>الفهرس الإجمالي</w:t>
            </w:r>
            <w:r>
              <w:rPr>
                <w:rStyle w:val="IndexLink"/>
                <w:rtl w:val="true"/>
              </w:rPr>
              <w:tab/>
            </w:r>
            <w:r>
              <w:rPr>
                <w:rStyle w:val="IndexLink"/>
              </w:rPr>
              <w:t>12</w:t>
            </w:r>
          </w:hyperlink>
        </w:p>
        <w:p>
          <w:pPr>
            <w:pStyle w:val="Contents2"/>
            <w:tabs>
              <w:tab w:val="clear" w:pos="8743"/>
              <w:tab w:val="right" w:pos="9026" w:leader="dot"/>
            </w:tabs>
            <w:rPr/>
          </w:pPr>
          <w:hyperlink w:anchor="__RefHeading___Toc2225888_1051229030">
            <w:r>
              <w:rPr>
                <w:webHidden/>
                <w:rStyle w:val="IndexLink"/>
                <w:rtl w:val="true"/>
              </w:rPr>
              <w:t>مقدّمة التحقيق</w:t>
            </w:r>
            <w:r>
              <w:rPr>
                <w:rStyle w:val="IndexLink"/>
                <w:rtl w:val="true"/>
              </w:rPr>
              <w:tab/>
            </w:r>
            <w:r>
              <w:rPr>
                <w:rStyle w:val="IndexLink"/>
              </w:rPr>
              <w:t>14</w:t>
            </w:r>
          </w:hyperlink>
        </w:p>
        <w:p>
          <w:pPr>
            <w:pStyle w:val="Contents3"/>
            <w:tabs>
              <w:tab w:val="clear" w:pos="8459"/>
              <w:tab w:val="right" w:pos="9026" w:leader="dot"/>
            </w:tabs>
            <w:rPr/>
          </w:pPr>
          <w:hyperlink w:anchor="__RefHeading___Toc2225890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225892_1051229030">
            <w:r>
              <w:rPr>
                <w:webHidden/>
                <w:rStyle w:val="IndexLink"/>
                <w:rtl w:val="true"/>
              </w:rPr>
              <w:t>الفصل الأوَّل الدراسات المهدويّة بين المسلمين؛ تاريخها و مناهجها</w:t>
            </w:r>
            <w:r>
              <w:rPr>
                <w:rStyle w:val="IndexLink"/>
                <w:rtl w:val="true"/>
              </w:rPr>
              <w:tab/>
            </w:r>
            <w:r>
              <w:rPr>
                <w:rStyle w:val="IndexLink"/>
              </w:rPr>
              <w:t>15</w:t>
            </w:r>
          </w:hyperlink>
        </w:p>
        <w:p>
          <w:pPr>
            <w:pStyle w:val="Contents4"/>
            <w:tabs>
              <w:tab w:val="clear" w:pos="8176"/>
              <w:tab w:val="right" w:pos="9026" w:leader="dot"/>
            </w:tabs>
            <w:rPr/>
          </w:pPr>
          <w:hyperlink w:anchor="__RefHeading___Toc2225894_105122903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225896_1051229030">
            <w:r>
              <w:rPr>
                <w:webHidden/>
                <w:rStyle w:val="IndexLink"/>
                <w:rtl w:val="true"/>
              </w:rPr>
              <w:t>المصنّفات المهدويّة في القرن الثالث</w:t>
            </w:r>
            <w:r>
              <w:rPr>
                <w:rStyle w:val="IndexLink"/>
                <w:rtl w:val="true"/>
              </w:rPr>
              <w:tab/>
            </w:r>
            <w:r>
              <w:rPr>
                <w:rStyle w:val="IndexLink"/>
              </w:rPr>
              <w:t>16</w:t>
            </w:r>
          </w:hyperlink>
        </w:p>
        <w:p>
          <w:pPr>
            <w:pStyle w:val="Contents4"/>
            <w:tabs>
              <w:tab w:val="clear" w:pos="8176"/>
              <w:tab w:val="right" w:pos="9026" w:leader="dot"/>
            </w:tabs>
            <w:rPr/>
          </w:pPr>
          <w:hyperlink w:anchor="__RefHeading___Toc2225898_1051229030">
            <w:r>
              <w:rPr>
                <w:webHidden/>
                <w:rStyle w:val="IndexLink"/>
                <w:rtl w:val="true"/>
              </w:rPr>
              <w:t>المصنَّفات المهدويَّة في القرن الرابع</w:t>
            </w:r>
            <w:r>
              <w:rPr>
                <w:rStyle w:val="IndexLink"/>
                <w:rtl w:val="true"/>
              </w:rPr>
              <w:tab/>
            </w:r>
            <w:r>
              <w:rPr>
                <w:rStyle w:val="IndexLink"/>
              </w:rPr>
              <w:t>23</w:t>
            </w:r>
          </w:hyperlink>
        </w:p>
        <w:p>
          <w:pPr>
            <w:pStyle w:val="Contents5"/>
            <w:tabs>
              <w:tab w:val="clear" w:pos="7892"/>
              <w:tab w:val="right" w:pos="9026" w:leader="dot"/>
            </w:tabs>
            <w:rPr/>
          </w:pPr>
          <w:hyperlink w:anchor="__RefHeading___Toc2225900_1051229030">
            <w:r>
              <w:rPr>
                <w:webHidden/>
                <w:rStyle w:val="IndexLink"/>
                <w:rtl w:val="true"/>
              </w:rPr>
              <w:t>الف</w:t>
            </w:r>
            <w:r>
              <w:rPr>
                <w:rStyle w:val="IndexLink"/>
                <w:rtl w:val="true"/>
              </w:rPr>
              <w:t xml:space="preserve">) </w:t>
            </w:r>
            <w:r>
              <w:rPr>
                <w:rStyle w:val="IndexLink"/>
                <w:rtl w:val="true"/>
              </w:rPr>
              <w:t>المصنَّفات الموجودة</w:t>
            </w:r>
            <w:r>
              <w:rPr>
                <w:rStyle w:val="IndexLink"/>
                <w:rtl w:val="true"/>
              </w:rPr>
              <w:t>:</w:t>
              <w:tab/>
            </w:r>
            <w:r>
              <w:rPr>
                <w:rStyle w:val="IndexLink"/>
              </w:rPr>
              <w:t>23</w:t>
            </w:r>
          </w:hyperlink>
        </w:p>
        <w:p>
          <w:pPr>
            <w:pStyle w:val="Contents5"/>
            <w:tabs>
              <w:tab w:val="clear" w:pos="7892"/>
              <w:tab w:val="right" w:pos="9026" w:leader="dot"/>
            </w:tabs>
            <w:rPr/>
          </w:pPr>
          <w:hyperlink w:anchor="__RefHeading___Toc2225902_1051229030">
            <w:r>
              <w:rPr>
                <w:webHidden/>
                <w:rStyle w:val="IndexLink"/>
                <w:rtl w:val="true"/>
              </w:rPr>
              <w:t>ب</w:t>
            </w:r>
            <w:r>
              <w:rPr>
                <w:rStyle w:val="IndexLink"/>
                <w:rtl w:val="true"/>
              </w:rPr>
              <w:t xml:space="preserve">) </w:t>
            </w:r>
            <w:r>
              <w:rPr>
                <w:rStyle w:val="IndexLink"/>
                <w:rtl w:val="true"/>
              </w:rPr>
              <w:t>المصنَّفات المفقودة</w:t>
            </w:r>
            <w:r>
              <w:rPr>
                <w:rStyle w:val="IndexLink"/>
                <w:rtl w:val="true"/>
              </w:rPr>
              <w:t>:</w:t>
              <w:tab/>
            </w:r>
            <w:r>
              <w:rPr>
                <w:rStyle w:val="IndexLink"/>
              </w:rPr>
              <w:t>25</w:t>
            </w:r>
          </w:hyperlink>
        </w:p>
        <w:p>
          <w:pPr>
            <w:pStyle w:val="Contents4"/>
            <w:tabs>
              <w:tab w:val="clear" w:pos="8176"/>
              <w:tab w:val="right" w:pos="9026" w:leader="dot"/>
            </w:tabs>
            <w:rPr/>
          </w:pPr>
          <w:hyperlink w:anchor="__RefHeading___Toc2225904_1051229030">
            <w:r>
              <w:rPr>
                <w:webHidden/>
                <w:rStyle w:val="IndexLink"/>
                <w:rtl w:val="true"/>
              </w:rPr>
              <w:t>المصنّفات المهدويّة في القرن الخامس</w:t>
            </w:r>
            <w:r>
              <w:rPr>
                <w:rStyle w:val="IndexLink"/>
                <w:rtl w:val="true"/>
              </w:rPr>
              <w:tab/>
            </w:r>
            <w:r>
              <w:rPr>
                <w:rStyle w:val="IndexLink"/>
              </w:rPr>
              <w:t>30</w:t>
            </w:r>
          </w:hyperlink>
        </w:p>
        <w:p>
          <w:pPr>
            <w:pStyle w:val="Contents5"/>
            <w:tabs>
              <w:tab w:val="clear" w:pos="7892"/>
              <w:tab w:val="right" w:pos="9026" w:leader="dot"/>
            </w:tabs>
            <w:rPr/>
          </w:pPr>
          <w:hyperlink w:anchor="__RefHeading___Toc2225906_1051229030">
            <w:r>
              <w:rPr>
                <w:webHidden/>
                <w:rStyle w:val="IndexLink"/>
                <w:rtl w:val="true"/>
              </w:rPr>
              <w:t>الف</w:t>
            </w:r>
            <w:r>
              <w:rPr>
                <w:rStyle w:val="IndexLink"/>
                <w:rtl w:val="true"/>
              </w:rPr>
              <w:t xml:space="preserve">) </w:t>
            </w:r>
            <w:r>
              <w:rPr>
                <w:rStyle w:val="IndexLink"/>
                <w:rtl w:val="true"/>
              </w:rPr>
              <w:t>المصنّفات الموجودة</w:t>
            </w:r>
            <w:r>
              <w:rPr>
                <w:rStyle w:val="IndexLink"/>
                <w:rtl w:val="true"/>
              </w:rPr>
              <w:t>:</w:t>
              <w:tab/>
            </w:r>
            <w:r>
              <w:rPr>
                <w:rStyle w:val="IndexLink"/>
              </w:rPr>
              <w:t>30</w:t>
            </w:r>
          </w:hyperlink>
        </w:p>
        <w:p>
          <w:pPr>
            <w:pStyle w:val="Contents5"/>
            <w:tabs>
              <w:tab w:val="clear" w:pos="7892"/>
              <w:tab w:val="right" w:pos="9026" w:leader="dot"/>
            </w:tabs>
            <w:rPr/>
          </w:pPr>
          <w:hyperlink w:anchor="__RefHeading___Toc2225908_1051229030">
            <w:r>
              <w:rPr>
                <w:webHidden/>
                <w:rStyle w:val="IndexLink"/>
                <w:rtl w:val="true"/>
              </w:rPr>
              <w:t>ب</w:t>
            </w:r>
            <w:r>
              <w:rPr>
                <w:rStyle w:val="IndexLink"/>
                <w:rtl w:val="true"/>
              </w:rPr>
              <w:t xml:space="preserve">) </w:t>
            </w:r>
            <w:r>
              <w:rPr>
                <w:rStyle w:val="IndexLink"/>
                <w:rtl w:val="true"/>
              </w:rPr>
              <w:t>المصنّفات المفقودة</w:t>
            </w:r>
            <w:r>
              <w:rPr>
                <w:rStyle w:val="IndexLink"/>
                <w:rtl w:val="true"/>
              </w:rPr>
              <w:t>:</w:t>
              <w:tab/>
            </w:r>
            <w:r>
              <w:rPr>
                <w:rStyle w:val="IndexLink"/>
              </w:rPr>
              <w:t>32</w:t>
            </w:r>
          </w:hyperlink>
        </w:p>
        <w:p>
          <w:pPr>
            <w:pStyle w:val="Contents4"/>
            <w:tabs>
              <w:tab w:val="clear" w:pos="8176"/>
              <w:tab w:val="right" w:pos="9026" w:leader="dot"/>
            </w:tabs>
            <w:rPr/>
          </w:pPr>
          <w:hyperlink w:anchor="__RefHeading___Toc2225910_1051229030">
            <w:r>
              <w:rPr>
                <w:webHidden/>
                <w:rStyle w:val="IndexLink"/>
                <w:rtl w:val="true"/>
              </w:rPr>
              <w:t>المناهج في الدراسات المهدويّة</w:t>
            </w:r>
            <w:r>
              <w:rPr>
                <w:rStyle w:val="IndexLink"/>
                <w:rtl w:val="true"/>
              </w:rPr>
              <w:tab/>
            </w:r>
            <w:r>
              <w:rPr>
                <w:rStyle w:val="IndexLink"/>
              </w:rPr>
              <w:t>35</w:t>
            </w:r>
          </w:hyperlink>
        </w:p>
        <w:p>
          <w:pPr>
            <w:pStyle w:val="Contents5"/>
            <w:tabs>
              <w:tab w:val="clear" w:pos="7892"/>
              <w:tab w:val="right" w:pos="9026" w:leader="dot"/>
            </w:tabs>
            <w:rPr/>
          </w:pPr>
          <w:hyperlink w:anchor="__RefHeading___Toc2225912_105122903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225914_1051229030">
            <w:r>
              <w:rPr>
                <w:webHidden/>
                <w:rStyle w:val="IndexLink"/>
                <w:rtl w:val="true"/>
              </w:rPr>
              <w:t>الأوّل</w:t>
            </w:r>
            <w:r>
              <w:rPr>
                <w:rStyle w:val="IndexLink"/>
                <w:rtl w:val="true"/>
              </w:rPr>
              <w:t xml:space="preserve">: </w:t>
            </w:r>
            <w:r>
              <w:rPr>
                <w:rStyle w:val="IndexLink"/>
                <w:rtl w:val="true"/>
              </w:rPr>
              <w:t>المنهج النقلي</w:t>
            </w:r>
            <w:r>
              <w:rPr>
                <w:rStyle w:val="IndexLink"/>
                <w:rtl w:val="true"/>
              </w:rPr>
              <w:tab/>
            </w:r>
            <w:r>
              <w:rPr>
                <w:rStyle w:val="IndexLink"/>
              </w:rPr>
              <w:t>36</w:t>
            </w:r>
          </w:hyperlink>
        </w:p>
        <w:p>
          <w:pPr>
            <w:pStyle w:val="Contents6"/>
            <w:tabs>
              <w:tab w:val="clear" w:pos="7609"/>
              <w:tab w:val="right" w:pos="9026" w:leader="dot"/>
            </w:tabs>
            <w:rPr/>
          </w:pPr>
          <w:hyperlink w:anchor="__RefHeading___Toc2225916_105122903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225918_1051229030">
            <w:r>
              <w:rPr>
                <w:webHidden/>
                <w:rStyle w:val="IndexLink"/>
                <w:rtl w:val="true"/>
              </w:rPr>
              <w:t>الكتاب الأوّل</w:t>
            </w:r>
            <w:r>
              <w:rPr>
                <w:rStyle w:val="IndexLink"/>
                <w:rtl w:val="true"/>
              </w:rPr>
              <w:t xml:space="preserve">: </w:t>
            </w:r>
            <w:r>
              <w:rPr>
                <w:rStyle w:val="IndexLink"/>
                <w:rtl w:val="true"/>
              </w:rPr>
              <w:t>كتاب الغيبة للنعماني</w:t>
            </w:r>
            <w:r>
              <w:rPr>
                <w:rStyle w:val="IndexLink"/>
                <w:rtl w:val="true"/>
              </w:rPr>
              <w:tab/>
            </w:r>
            <w:r>
              <w:rPr>
                <w:rStyle w:val="IndexLink"/>
              </w:rPr>
              <w:t>36</w:t>
            </w:r>
          </w:hyperlink>
        </w:p>
        <w:p>
          <w:pPr>
            <w:pStyle w:val="Contents6"/>
            <w:tabs>
              <w:tab w:val="clear" w:pos="7609"/>
              <w:tab w:val="right" w:pos="9026" w:leader="dot"/>
            </w:tabs>
            <w:rPr/>
          </w:pPr>
          <w:hyperlink w:anchor="__RefHeading___Toc2225920_1051229030">
            <w:r>
              <w:rPr>
                <w:webHidden/>
                <w:rStyle w:val="IndexLink"/>
                <w:rtl w:val="true"/>
              </w:rPr>
              <w:t>الكتاب الثاني</w:t>
            </w:r>
            <w:r>
              <w:rPr>
                <w:rStyle w:val="IndexLink"/>
                <w:rtl w:val="true"/>
              </w:rPr>
              <w:t xml:space="preserve">: </w:t>
            </w:r>
            <w:r>
              <w:rPr>
                <w:rStyle w:val="IndexLink"/>
                <w:rtl w:val="true"/>
              </w:rPr>
              <w:t>كمال الدين وتمام النعمة للشيخ الصدوق</w:t>
            </w:r>
            <w:r>
              <w:rPr>
                <w:rStyle w:val="IndexLink"/>
                <w:rtl w:val="true"/>
              </w:rPr>
              <w:tab/>
            </w:r>
            <w:r>
              <w:rPr>
                <w:rStyle w:val="IndexLink"/>
              </w:rPr>
              <w:t>38</w:t>
            </w:r>
          </w:hyperlink>
        </w:p>
        <w:p>
          <w:pPr>
            <w:pStyle w:val="Contents5"/>
            <w:tabs>
              <w:tab w:val="clear" w:pos="7892"/>
              <w:tab w:val="right" w:pos="9026" w:leader="dot"/>
            </w:tabs>
            <w:rPr/>
          </w:pPr>
          <w:hyperlink w:anchor="__RefHeading___Toc2225922_1051229030">
            <w:r>
              <w:rPr>
                <w:webHidden/>
                <w:rStyle w:val="IndexLink"/>
                <w:rtl w:val="true"/>
              </w:rPr>
              <w:t>الثاني</w:t>
            </w:r>
            <w:r>
              <w:rPr>
                <w:rStyle w:val="IndexLink"/>
                <w:rtl w:val="true"/>
              </w:rPr>
              <w:t xml:space="preserve">: </w:t>
            </w:r>
            <w:r>
              <w:rPr>
                <w:rStyle w:val="IndexLink"/>
                <w:rtl w:val="true"/>
              </w:rPr>
              <w:t xml:space="preserve">المنهج النقلي </w:t>
            </w:r>
            <w:r>
              <w:rPr>
                <w:rStyle w:val="IndexLink"/>
                <w:rtl w:val="true"/>
              </w:rPr>
              <w:t xml:space="preserve">- </w:t>
            </w:r>
            <w:r>
              <w:rPr>
                <w:rStyle w:val="IndexLink"/>
                <w:rtl w:val="true"/>
              </w:rPr>
              <w:t>العقلي</w:t>
            </w:r>
            <w:r>
              <w:rPr>
                <w:rStyle w:val="IndexLink"/>
                <w:rtl w:val="true"/>
              </w:rPr>
              <w:tab/>
            </w:r>
            <w:r>
              <w:rPr>
                <w:rStyle w:val="IndexLink"/>
              </w:rPr>
              <w:t>41</w:t>
            </w:r>
          </w:hyperlink>
        </w:p>
        <w:p>
          <w:pPr>
            <w:pStyle w:val="Contents5"/>
            <w:tabs>
              <w:tab w:val="clear" w:pos="7892"/>
              <w:tab w:val="right" w:pos="9026" w:leader="dot"/>
            </w:tabs>
            <w:rPr/>
          </w:pPr>
          <w:hyperlink w:anchor="__RefHeading___Toc2225924_1051229030">
            <w:r>
              <w:rPr>
                <w:webHidden/>
                <w:rStyle w:val="IndexLink"/>
                <w:rtl w:val="true"/>
              </w:rPr>
              <w:t>الثالث</w:t>
            </w:r>
            <w:r>
              <w:rPr>
                <w:rStyle w:val="IndexLink"/>
                <w:rtl w:val="true"/>
              </w:rPr>
              <w:t xml:space="preserve">: </w:t>
            </w:r>
            <w:r>
              <w:rPr>
                <w:rStyle w:val="IndexLink"/>
                <w:rtl w:val="true"/>
              </w:rPr>
              <w:t xml:space="preserve">المنهج العرفاني </w:t>
            </w:r>
            <w:r>
              <w:rPr>
                <w:rStyle w:val="IndexLink"/>
                <w:rtl w:val="true"/>
              </w:rPr>
              <w:t xml:space="preserve">- </w:t>
            </w:r>
            <w:r>
              <w:rPr>
                <w:rStyle w:val="IndexLink"/>
                <w:rtl w:val="true"/>
              </w:rPr>
              <w:t>الصوفي</w:t>
            </w:r>
            <w:r>
              <w:rPr>
                <w:rStyle w:val="IndexLink"/>
                <w:rtl w:val="true"/>
              </w:rPr>
              <w:tab/>
            </w:r>
            <w:r>
              <w:rPr>
                <w:rStyle w:val="IndexLink"/>
              </w:rPr>
              <w:t>49</w:t>
            </w:r>
          </w:hyperlink>
        </w:p>
        <w:p>
          <w:pPr>
            <w:pStyle w:val="Contents6"/>
            <w:tabs>
              <w:tab w:val="clear" w:pos="7609"/>
              <w:tab w:val="right" w:pos="9026" w:leader="dot"/>
            </w:tabs>
            <w:rPr/>
          </w:pPr>
          <w:hyperlink w:anchor="__RefHeading___Toc2225926_105122903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225928_1051229030">
            <w:r>
              <w:rPr>
                <w:webHidden/>
                <w:rStyle w:val="IndexLink"/>
                <w:rtl w:val="true"/>
              </w:rPr>
              <w:t>إيماء العرفاء إلى روايات المهدويّة</w:t>
            </w:r>
            <w:r>
              <w:rPr>
                <w:rStyle w:val="IndexLink"/>
                <w:rtl w:val="true"/>
              </w:rPr>
              <w:tab/>
            </w:r>
            <w:r>
              <w:rPr>
                <w:rStyle w:val="IndexLink"/>
              </w:rPr>
              <w:t>54</w:t>
            </w:r>
          </w:hyperlink>
        </w:p>
        <w:p>
          <w:pPr>
            <w:pStyle w:val="Contents3"/>
            <w:tabs>
              <w:tab w:val="clear" w:pos="8459"/>
              <w:tab w:val="right" w:pos="9026" w:leader="dot"/>
            </w:tabs>
            <w:rPr/>
          </w:pPr>
          <w:hyperlink w:anchor="__RefHeading___Toc2225930_1051229030">
            <w:r>
              <w:rPr>
                <w:webHidden/>
                <w:rStyle w:val="IndexLink"/>
                <w:rtl w:val="true"/>
              </w:rPr>
              <w:t>الفصل الثاني الشريف المرتضى و منهجه في الأبحاث المهدويّة</w:t>
            </w:r>
            <w:r>
              <w:rPr>
                <w:rStyle w:val="IndexLink"/>
                <w:rtl w:val="true"/>
              </w:rPr>
              <w:tab/>
            </w:r>
            <w:r>
              <w:rPr>
                <w:rStyle w:val="IndexLink"/>
              </w:rPr>
              <w:t>57</w:t>
            </w:r>
          </w:hyperlink>
        </w:p>
        <w:p>
          <w:pPr>
            <w:pStyle w:val="Contents4"/>
            <w:tabs>
              <w:tab w:val="clear" w:pos="8176"/>
              <w:tab w:val="right" w:pos="9026" w:leader="dot"/>
            </w:tabs>
            <w:rPr/>
          </w:pPr>
          <w:hyperlink w:anchor="__RefHeading___Toc2225932_105122903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225934_1051229030">
            <w:r>
              <w:rPr>
                <w:webHidden/>
                <w:rStyle w:val="IndexLink"/>
                <w:rtl w:val="true"/>
              </w:rPr>
              <w:t>فهرسة الأبحاث المهدويّة في مصنّفات الشريف المرتضى</w:t>
            </w:r>
            <w:r>
              <w:rPr>
                <w:rStyle w:val="IndexLink"/>
                <w:rtl w:val="true"/>
              </w:rPr>
              <w:tab/>
            </w:r>
            <w:r>
              <w:rPr>
                <w:rStyle w:val="IndexLink"/>
              </w:rPr>
              <w:t>69</w:t>
            </w:r>
          </w:hyperlink>
        </w:p>
        <w:p>
          <w:pPr>
            <w:pStyle w:val="Contents4"/>
            <w:tabs>
              <w:tab w:val="clear" w:pos="8176"/>
              <w:tab w:val="right" w:pos="9026" w:leader="dot"/>
            </w:tabs>
            <w:rPr/>
          </w:pPr>
          <w:hyperlink w:anchor="__RefHeading___Toc2225936_1051229030">
            <w:r>
              <w:rPr>
                <w:webHidden/>
                <w:rStyle w:val="IndexLink"/>
                <w:rtl w:val="true"/>
              </w:rPr>
              <w:t>منهج الشريف المرتضى في الأبحاث المهدويّة</w:t>
            </w:r>
            <w:r>
              <w:rPr>
                <w:rStyle w:val="IndexLink"/>
                <w:rtl w:val="true"/>
              </w:rPr>
              <w:tab/>
            </w:r>
            <w:r>
              <w:rPr>
                <w:rStyle w:val="IndexLink"/>
              </w:rPr>
              <w:t>69</w:t>
            </w:r>
          </w:hyperlink>
        </w:p>
        <w:p>
          <w:pPr>
            <w:pStyle w:val="Contents3"/>
            <w:tabs>
              <w:tab w:val="clear" w:pos="8459"/>
              <w:tab w:val="right" w:pos="9026" w:leader="dot"/>
            </w:tabs>
            <w:rPr/>
          </w:pPr>
          <w:hyperlink w:anchor="__RefHeading___Toc2225938_1051229030">
            <w:r>
              <w:rPr>
                <w:webHidden/>
                <w:rStyle w:val="IndexLink"/>
                <w:rtl w:val="true"/>
              </w:rPr>
              <w:t>الفصل الثالث التعريف بكتاب المقنع</w:t>
            </w:r>
            <w:r>
              <w:rPr>
                <w:rStyle w:val="IndexLink"/>
                <w:rtl w:val="true"/>
              </w:rPr>
              <w:tab/>
            </w:r>
            <w:r>
              <w:rPr>
                <w:rStyle w:val="IndexLink"/>
              </w:rPr>
              <w:t>75</w:t>
            </w:r>
          </w:hyperlink>
        </w:p>
        <w:p>
          <w:pPr>
            <w:pStyle w:val="Contents4"/>
            <w:tabs>
              <w:tab w:val="clear" w:pos="8176"/>
              <w:tab w:val="right" w:pos="9026" w:leader="dot"/>
            </w:tabs>
            <w:rPr/>
          </w:pPr>
          <w:hyperlink w:anchor="__RefHeading___Toc2225940_1051229030">
            <w:r>
              <w:rPr>
                <w:webHidden/>
                <w:rStyle w:val="IndexLink"/>
                <w:rtl w:val="true"/>
              </w:rPr>
              <w:t>اسمه و نسبته</w:t>
            </w:r>
            <w:r>
              <w:rPr>
                <w:rStyle w:val="IndexLink"/>
                <w:rtl w:val="true"/>
              </w:rPr>
              <w:tab/>
            </w:r>
            <w:r>
              <w:rPr>
                <w:rStyle w:val="IndexLink"/>
              </w:rPr>
              <w:t>75</w:t>
            </w:r>
          </w:hyperlink>
        </w:p>
        <w:p>
          <w:pPr>
            <w:pStyle w:val="Contents4"/>
            <w:tabs>
              <w:tab w:val="clear" w:pos="8176"/>
              <w:tab w:val="right" w:pos="9026" w:leader="dot"/>
            </w:tabs>
            <w:rPr/>
          </w:pPr>
          <w:hyperlink w:anchor="__RefHeading___Toc2225942_1051229030">
            <w:r>
              <w:rPr>
                <w:webHidden/>
                <w:rStyle w:val="IndexLink"/>
                <w:rtl w:val="true"/>
              </w:rPr>
              <w:t>ترجمة الوزير المغربي</w:t>
            </w:r>
            <w:r>
              <w:rPr>
                <w:rStyle w:val="IndexLink"/>
                <w:rtl w:val="true"/>
              </w:rPr>
              <w:tab/>
            </w:r>
            <w:r>
              <w:rPr>
                <w:rStyle w:val="IndexLink"/>
              </w:rPr>
              <w:t>77</w:t>
            </w:r>
          </w:hyperlink>
        </w:p>
        <w:p>
          <w:pPr>
            <w:pStyle w:val="Contents4"/>
            <w:tabs>
              <w:tab w:val="clear" w:pos="8176"/>
              <w:tab w:val="right" w:pos="9026" w:leader="dot"/>
            </w:tabs>
            <w:rPr/>
          </w:pPr>
          <w:hyperlink w:anchor="__RefHeading___Toc2225944_1051229030">
            <w:r>
              <w:rPr>
                <w:webHidden/>
                <w:rStyle w:val="IndexLink"/>
                <w:rtl w:val="true"/>
              </w:rPr>
              <w:t>تاريخ تأليفه</w:t>
            </w:r>
            <w:r>
              <w:rPr>
                <w:rStyle w:val="IndexLink"/>
                <w:rtl w:val="true"/>
              </w:rPr>
              <w:tab/>
            </w:r>
            <w:r>
              <w:rPr>
                <w:rStyle w:val="IndexLink"/>
              </w:rPr>
              <w:t>79</w:t>
            </w:r>
          </w:hyperlink>
        </w:p>
        <w:p>
          <w:pPr>
            <w:pStyle w:val="Contents4"/>
            <w:tabs>
              <w:tab w:val="clear" w:pos="8176"/>
              <w:tab w:val="right" w:pos="9026" w:leader="dot"/>
            </w:tabs>
            <w:rPr/>
          </w:pPr>
          <w:hyperlink w:anchor="__RefHeading___Toc2225946_1051229030">
            <w:r>
              <w:rPr>
                <w:webHidden/>
                <w:rStyle w:val="IndexLink"/>
                <w:rtl w:val="true"/>
              </w:rPr>
              <w:t>حول تكملة المقنع</w:t>
            </w:r>
            <w:r>
              <w:rPr>
                <w:rStyle w:val="IndexLink"/>
                <w:rtl w:val="true"/>
              </w:rPr>
              <w:tab/>
            </w:r>
            <w:r>
              <w:rPr>
                <w:rStyle w:val="IndexLink"/>
              </w:rPr>
              <w:t>81</w:t>
            </w:r>
          </w:hyperlink>
        </w:p>
        <w:p>
          <w:pPr>
            <w:pStyle w:val="Contents4"/>
            <w:tabs>
              <w:tab w:val="clear" w:pos="8176"/>
              <w:tab w:val="right" w:pos="9026" w:leader="dot"/>
            </w:tabs>
            <w:rPr/>
          </w:pPr>
          <w:hyperlink w:anchor="__RefHeading___Toc2225948_1051229030">
            <w:r>
              <w:rPr>
                <w:webHidden/>
                <w:rStyle w:val="IndexLink"/>
                <w:rtl w:val="true"/>
              </w:rPr>
              <w:t>بين المقنع و رسالة في الغيبة</w:t>
            </w:r>
            <w:r>
              <w:rPr>
                <w:rStyle w:val="IndexLink"/>
                <w:rtl w:val="true"/>
              </w:rPr>
              <w:tab/>
            </w:r>
            <w:r>
              <w:rPr>
                <w:rStyle w:val="IndexLink"/>
              </w:rPr>
              <w:t>81</w:t>
            </w:r>
          </w:hyperlink>
        </w:p>
        <w:p>
          <w:pPr>
            <w:pStyle w:val="Contents4"/>
            <w:tabs>
              <w:tab w:val="clear" w:pos="8176"/>
              <w:tab w:val="right" w:pos="9026" w:leader="dot"/>
            </w:tabs>
            <w:rPr/>
          </w:pPr>
          <w:hyperlink w:anchor="__RefHeading___Toc2225950_1051229030">
            <w:r>
              <w:rPr>
                <w:webHidden/>
                <w:rStyle w:val="IndexLink"/>
                <w:rtl w:val="true"/>
              </w:rPr>
              <w:t>جهود حول الكتاب</w:t>
            </w:r>
            <w:r>
              <w:rPr>
                <w:rStyle w:val="IndexLink"/>
                <w:rtl w:val="true"/>
              </w:rPr>
              <w:tab/>
            </w:r>
            <w:r>
              <w:rPr>
                <w:rStyle w:val="IndexLink"/>
              </w:rPr>
              <w:t>82</w:t>
            </w:r>
          </w:hyperlink>
        </w:p>
        <w:p>
          <w:pPr>
            <w:pStyle w:val="Contents5"/>
            <w:tabs>
              <w:tab w:val="clear" w:pos="7892"/>
              <w:tab w:val="right" w:pos="9026" w:leader="dot"/>
            </w:tabs>
            <w:rPr/>
          </w:pPr>
          <w:hyperlink w:anchor="__RefHeading___Toc2225952_1051229030">
            <w:r>
              <w:rPr>
                <w:webHidden/>
                <w:rStyle w:val="IndexLink"/>
                <w:rtl w:val="true"/>
              </w:rPr>
              <w:t>أ</w:t>
            </w:r>
            <w:r>
              <w:rPr>
                <w:rStyle w:val="IndexLink"/>
                <w:rtl w:val="true"/>
              </w:rPr>
              <w:t xml:space="preserve">) </w:t>
            </w:r>
            <w:r>
              <w:rPr>
                <w:rStyle w:val="IndexLink"/>
                <w:rtl w:val="true"/>
              </w:rPr>
              <w:t>الردود</w:t>
            </w:r>
            <w:r>
              <w:rPr>
                <w:rStyle w:val="IndexLink"/>
                <w:rtl w:val="true"/>
              </w:rPr>
              <w:tab/>
            </w:r>
            <w:r>
              <w:rPr>
                <w:rStyle w:val="IndexLink"/>
              </w:rPr>
              <w:t>82</w:t>
            </w:r>
          </w:hyperlink>
        </w:p>
        <w:p>
          <w:pPr>
            <w:pStyle w:val="Contents5"/>
            <w:tabs>
              <w:tab w:val="clear" w:pos="7892"/>
              <w:tab w:val="right" w:pos="9026" w:leader="dot"/>
            </w:tabs>
            <w:rPr/>
          </w:pPr>
          <w:hyperlink w:anchor="__RefHeading___Toc2225954_1051229030">
            <w:r>
              <w:rPr>
                <w:webHidden/>
                <w:rStyle w:val="IndexLink"/>
                <w:rtl w:val="true"/>
              </w:rPr>
              <w:t>ب</w:t>
            </w:r>
            <w:r>
              <w:rPr>
                <w:rStyle w:val="IndexLink"/>
                <w:rtl w:val="true"/>
              </w:rPr>
              <w:t xml:space="preserve">) </w:t>
            </w:r>
            <w:r>
              <w:rPr>
                <w:rStyle w:val="IndexLink"/>
                <w:rtl w:val="true"/>
              </w:rPr>
              <w:t>الترجمة</w:t>
            </w:r>
            <w:r>
              <w:rPr>
                <w:rStyle w:val="IndexLink"/>
                <w:rtl w:val="true"/>
              </w:rPr>
              <w:tab/>
            </w:r>
            <w:r>
              <w:rPr>
                <w:rStyle w:val="IndexLink"/>
              </w:rPr>
              <w:t>82</w:t>
            </w:r>
          </w:hyperlink>
        </w:p>
        <w:p>
          <w:pPr>
            <w:pStyle w:val="Contents5"/>
            <w:tabs>
              <w:tab w:val="clear" w:pos="7892"/>
              <w:tab w:val="right" w:pos="9026" w:leader="dot"/>
            </w:tabs>
            <w:rPr/>
          </w:pPr>
          <w:hyperlink w:anchor="__RefHeading___Toc2225956_1051229030">
            <w:r>
              <w:rPr>
                <w:webHidden/>
                <w:rStyle w:val="IndexLink"/>
                <w:rtl w:val="true"/>
              </w:rPr>
              <w:t>ج</w:t>
            </w:r>
            <w:r>
              <w:rPr>
                <w:rStyle w:val="IndexLink"/>
                <w:rtl w:val="true"/>
              </w:rPr>
              <w:t xml:space="preserve">) </w:t>
            </w:r>
            <w:r>
              <w:rPr>
                <w:rStyle w:val="IndexLink"/>
                <w:rtl w:val="true"/>
              </w:rPr>
              <w:t>المقالات</w:t>
            </w:r>
            <w:r>
              <w:rPr>
                <w:rStyle w:val="IndexLink"/>
                <w:rtl w:val="true"/>
              </w:rPr>
              <w:tab/>
            </w:r>
            <w:r>
              <w:rPr>
                <w:rStyle w:val="IndexLink"/>
              </w:rPr>
              <w:t>83</w:t>
            </w:r>
          </w:hyperlink>
        </w:p>
        <w:p>
          <w:pPr>
            <w:pStyle w:val="Contents5"/>
            <w:tabs>
              <w:tab w:val="clear" w:pos="7892"/>
              <w:tab w:val="right" w:pos="9026" w:leader="dot"/>
            </w:tabs>
            <w:rPr/>
          </w:pPr>
          <w:hyperlink w:anchor="__RefHeading___Toc2225958_1051229030">
            <w:r>
              <w:rPr>
                <w:webHidden/>
                <w:rStyle w:val="IndexLink"/>
                <w:rtl w:val="true"/>
              </w:rPr>
              <w:t>د</w:t>
            </w:r>
            <w:r>
              <w:rPr>
                <w:rStyle w:val="IndexLink"/>
                <w:rtl w:val="true"/>
              </w:rPr>
              <w:t xml:space="preserve">) </w:t>
            </w:r>
            <w:r>
              <w:rPr>
                <w:rStyle w:val="IndexLink"/>
                <w:rtl w:val="true"/>
              </w:rPr>
              <w:t>الرسائل الجامعيّة</w:t>
            </w:r>
            <w:r>
              <w:rPr>
                <w:rStyle w:val="IndexLink"/>
                <w:rtl w:val="true"/>
              </w:rPr>
              <w:tab/>
            </w:r>
            <w:r>
              <w:rPr>
                <w:rStyle w:val="IndexLink"/>
              </w:rPr>
              <w:t>83</w:t>
            </w:r>
          </w:hyperlink>
        </w:p>
        <w:p>
          <w:pPr>
            <w:pStyle w:val="Contents5"/>
            <w:tabs>
              <w:tab w:val="clear" w:pos="7892"/>
              <w:tab w:val="right" w:pos="9026" w:leader="dot"/>
            </w:tabs>
            <w:rPr/>
          </w:pPr>
          <w:hyperlink w:anchor="__RefHeading___Toc2225960_1051229030">
            <w:r>
              <w:rPr>
                <w:webHidden/>
                <w:rStyle w:val="IndexLink"/>
                <w:rtl w:val="true"/>
              </w:rPr>
              <w:t>ه</w:t>
            </w:r>
            <w:r>
              <w:rPr>
                <w:rStyle w:val="IndexLink"/>
                <w:rtl w:val="true"/>
              </w:rPr>
              <w:t xml:space="preserve">) </w:t>
            </w:r>
            <w:r>
              <w:rPr>
                <w:rStyle w:val="IndexLink"/>
                <w:rtl w:val="true"/>
              </w:rPr>
              <w:t>جهود أُخرى‌</w:t>
            </w:r>
            <w:r>
              <w:rPr>
                <w:rStyle w:val="IndexLink"/>
                <w:rtl w:val="true"/>
              </w:rPr>
              <w:tab/>
            </w:r>
            <w:r>
              <w:rPr>
                <w:rStyle w:val="IndexLink"/>
              </w:rPr>
              <w:t>83</w:t>
            </w:r>
          </w:hyperlink>
        </w:p>
        <w:p>
          <w:pPr>
            <w:pStyle w:val="Contents4"/>
            <w:tabs>
              <w:tab w:val="clear" w:pos="8176"/>
              <w:tab w:val="right" w:pos="9026" w:leader="dot"/>
            </w:tabs>
            <w:rPr/>
          </w:pPr>
          <w:hyperlink w:anchor="__RefHeading___Toc2225962_1051229030">
            <w:r>
              <w:rPr>
                <w:webHidden/>
                <w:rStyle w:val="IndexLink"/>
                <w:rtl w:val="true"/>
              </w:rPr>
              <w:t>طبعاته</w:t>
            </w:r>
            <w:r>
              <w:rPr>
                <w:rStyle w:val="IndexLink"/>
                <w:rtl w:val="true"/>
              </w:rPr>
              <w:tab/>
            </w:r>
            <w:r>
              <w:rPr>
                <w:rStyle w:val="IndexLink"/>
              </w:rPr>
              <w:t>84</w:t>
            </w:r>
          </w:hyperlink>
        </w:p>
        <w:p>
          <w:pPr>
            <w:pStyle w:val="Contents4"/>
            <w:tabs>
              <w:tab w:val="clear" w:pos="8176"/>
              <w:tab w:val="right" w:pos="9026" w:leader="dot"/>
            </w:tabs>
            <w:rPr/>
          </w:pPr>
          <w:hyperlink w:anchor="__RefHeading___Toc2225964_1051229030">
            <w:r>
              <w:rPr>
                <w:webHidden/>
                <w:rStyle w:val="IndexLink"/>
                <w:rtl w:val="true"/>
              </w:rPr>
              <w:t>مخطوطاته</w:t>
            </w:r>
            <w:r>
              <w:rPr>
                <w:rStyle w:val="IndexLink"/>
                <w:rtl w:val="true"/>
              </w:rPr>
              <w:tab/>
            </w:r>
            <w:r>
              <w:rPr>
                <w:rStyle w:val="IndexLink"/>
              </w:rPr>
              <w:t>84</w:t>
            </w:r>
          </w:hyperlink>
        </w:p>
        <w:p>
          <w:pPr>
            <w:pStyle w:val="Contents5"/>
            <w:tabs>
              <w:tab w:val="clear" w:pos="7892"/>
              <w:tab w:val="right" w:pos="9026" w:leader="dot"/>
            </w:tabs>
            <w:rPr/>
          </w:pPr>
          <w:hyperlink w:anchor="__RefHeading___Toc2225966_105122903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2225968_105122903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ab/>
            </w:r>
            <w:r>
              <w:rPr>
                <w:rStyle w:val="IndexLink"/>
              </w:rPr>
              <w:t>84</w:t>
            </w:r>
          </w:hyperlink>
        </w:p>
        <w:p>
          <w:pPr>
            <w:pStyle w:val="Contents5"/>
            <w:tabs>
              <w:tab w:val="clear" w:pos="7892"/>
              <w:tab w:val="right" w:pos="9026" w:leader="dot"/>
            </w:tabs>
            <w:rPr/>
          </w:pPr>
          <w:hyperlink w:anchor="__RefHeading___Toc2225970_1051229030">
            <w:r>
              <w:rPr>
                <w:webHidden/>
                <w:rStyle w:val="IndexLink"/>
                <w:rtl w:val="true"/>
              </w:rPr>
              <w:t>ب</w:t>
            </w:r>
            <w:r>
              <w:rPr>
                <w:rStyle w:val="IndexLink"/>
                <w:rtl w:val="true"/>
              </w:rPr>
              <w:t xml:space="preserve">. </w:t>
            </w:r>
            <w:r>
              <w:rPr>
                <w:rStyle w:val="IndexLink"/>
                <w:rtl w:val="true"/>
              </w:rPr>
              <w:t>سائر النسخ</w:t>
            </w:r>
            <w:r>
              <w:rPr>
                <w:rStyle w:val="IndexLink"/>
                <w:rtl w:val="true"/>
              </w:rPr>
              <w:tab/>
            </w:r>
            <w:r>
              <w:rPr>
                <w:rStyle w:val="IndexLink"/>
              </w:rPr>
              <w:t>86</w:t>
            </w:r>
          </w:hyperlink>
        </w:p>
        <w:p>
          <w:pPr>
            <w:pStyle w:val="Contents4"/>
            <w:tabs>
              <w:tab w:val="clear" w:pos="8176"/>
              <w:tab w:val="right" w:pos="9026" w:leader="dot"/>
            </w:tabs>
            <w:rPr/>
          </w:pPr>
          <w:hyperlink w:anchor="__RefHeading___Toc2225972_1051229030">
            <w:r>
              <w:rPr>
                <w:webHidden/>
                <w:rStyle w:val="IndexLink"/>
                <w:rtl w:val="true"/>
              </w:rPr>
              <w:t>مخطوطات الزيادة المكمّلة</w:t>
            </w:r>
            <w:r>
              <w:rPr>
                <w:rStyle w:val="IndexLink"/>
                <w:rtl w:val="true"/>
              </w:rPr>
              <w:tab/>
            </w:r>
            <w:r>
              <w:rPr>
                <w:rStyle w:val="IndexLink"/>
              </w:rPr>
              <w:t>87</w:t>
            </w:r>
          </w:hyperlink>
        </w:p>
        <w:p>
          <w:pPr>
            <w:pStyle w:val="Contents4"/>
            <w:tabs>
              <w:tab w:val="clear" w:pos="8176"/>
              <w:tab w:val="right" w:pos="9026" w:leader="dot"/>
            </w:tabs>
            <w:rPr/>
          </w:pPr>
          <w:hyperlink w:anchor="__RefHeading___Toc2225974_1051229030">
            <w:r>
              <w:rPr>
                <w:webHidden/>
                <w:rStyle w:val="IndexLink"/>
                <w:rtl w:val="true"/>
              </w:rPr>
              <w:t>عملنا في التحقيق</w:t>
            </w:r>
            <w:r>
              <w:rPr>
                <w:rStyle w:val="IndexLink"/>
                <w:rtl w:val="true"/>
              </w:rPr>
              <w:tab/>
            </w:r>
            <w:r>
              <w:rPr>
                <w:rStyle w:val="IndexLink"/>
              </w:rPr>
              <w:t>87</w:t>
            </w:r>
          </w:hyperlink>
        </w:p>
        <w:p>
          <w:pPr>
            <w:pStyle w:val="Contents4"/>
            <w:tabs>
              <w:tab w:val="clear" w:pos="8176"/>
              <w:tab w:val="right" w:pos="9026" w:leader="dot"/>
            </w:tabs>
            <w:rPr/>
          </w:pPr>
          <w:hyperlink w:anchor="__RefHeading___Toc2225976_1051229030">
            <w:r>
              <w:rPr>
                <w:webHidden/>
                <w:rStyle w:val="IndexLink"/>
                <w:rtl w:val="true"/>
              </w:rPr>
              <w:t>كلمة الشكر</w:t>
            </w:r>
            <w:r>
              <w:rPr>
                <w:rStyle w:val="IndexLink"/>
                <w:rtl w:val="true"/>
              </w:rPr>
              <w:tab/>
            </w:r>
            <w:r>
              <w:rPr>
                <w:rStyle w:val="IndexLink"/>
              </w:rPr>
              <w:t>88</w:t>
            </w:r>
          </w:hyperlink>
        </w:p>
        <w:p>
          <w:pPr>
            <w:pStyle w:val="Contents3"/>
            <w:tabs>
              <w:tab w:val="clear" w:pos="8459"/>
              <w:tab w:val="right" w:pos="9026" w:leader="dot"/>
            </w:tabs>
            <w:rPr/>
          </w:pPr>
          <w:hyperlink w:anchor="__RefHeading___Toc2225978_1051229030">
            <w:r>
              <w:rPr>
                <w:webHidden/>
                <w:rStyle w:val="IndexLink"/>
                <w:rtl w:val="true"/>
              </w:rPr>
              <w:t>نماذج من تصاوير النسخ</w:t>
            </w:r>
            <w:r>
              <w:rPr>
                <w:rStyle w:val="IndexLink"/>
                <w:rtl w:val="true"/>
              </w:rPr>
              <w:tab/>
            </w:r>
            <w:r>
              <w:rPr>
                <w:rStyle w:val="IndexLink"/>
              </w:rPr>
              <w:t>90</w:t>
            </w:r>
          </w:hyperlink>
        </w:p>
        <w:p>
          <w:pPr>
            <w:pStyle w:val="Contents2"/>
            <w:tabs>
              <w:tab w:val="clear" w:pos="8743"/>
              <w:tab w:val="right" w:pos="9026" w:leader="dot"/>
            </w:tabs>
            <w:rPr/>
          </w:pPr>
          <w:hyperlink w:anchor="__RefHeading___Toc2225980_1051229030">
            <w:r>
              <w:rPr>
                <w:webHidden/>
                <w:rStyle w:val="IndexLink"/>
                <w:rtl w:val="true"/>
              </w:rPr>
              <w:t>الْمُقْنِعُ فِي الغَيْبَةِ‌</w:t>
            </w:r>
            <w:r>
              <w:rPr>
                <w:rStyle w:val="IndexLink"/>
                <w:rtl w:val="true"/>
              </w:rPr>
              <w:tab/>
            </w:r>
            <w:r>
              <w:rPr>
                <w:rStyle w:val="IndexLink"/>
              </w:rPr>
              <w:t>104</w:t>
            </w:r>
          </w:hyperlink>
        </w:p>
        <w:p>
          <w:pPr>
            <w:pStyle w:val="Contents3"/>
            <w:tabs>
              <w:tab w:val="clear" w:pos="8459"/>
              <w:tab w:val="right" w:pos="9026" w:leader="dot"/>
            </w:tabs>
            <w:rPr/>
          </w:pPr>
          <w:hyperlink w:anchor="__RefHeading___Toc2225982_105122903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225984_1051229030">
            <w:r>
              <w:rPr>
                <w:webHidden/>
                <w:rStyle w:val="IndexLink"/>
                <w:rtl w:val="true"/>
              </w:rPr>
              <w:t>دَلالةُ العقلِ على وجودِ الإمامِ و اتّصافِه بالعِصمةِ‌</w:t>
            </w:r>
            <w:r>
              <w:rPr>
                <w:rStyle w:val="IndexLink"/>
                <w:rtl w:val="true"/>
              </w:rPr>
              <w:tab/>
            </w:r>
            <w:r>
              <w:rPr>
                <w:rStyle w:val="IndexLink"/>
              </w:rPr>
              <w:t>109</w:t>
            </w:r>
          </w:hyperlink>
        </w:p>
        <w:p>
          <w:pPr>
            <w:pStyle w:val="Contents3"/>
            <w:tabs>
              <w:tab w:val="clear" w:pos="8459"/>
              <w:tab w:val="right" w:pos="9026" w:leader="dot"/>
            </w:tabs>
            <w:rPr/>
          </w:pPr>
          <w:hyperlink w:anchor="__RefHeading___Toc2225986_1051229030">
            <w:r>
              <w:rPr>
                <w:webHidden/>
                <w:rStyle w:val="IndexLink"/>
                <w:rtl w:val="true"/>
              </w:rPr>
              <w:t>تفصيلُ دَلالةِ العقلِ على وجوبِ الإمامةِ‌</w:t>
            </w:r>
            <w:r>
              <w:rPr>
                <w:rStyle w:val="IndexLink"/>
                <w:rtl w:val="true"/>
              </w:rPr>
              <w:tab/>
            </w:r>
            <w:r>
              <w:rPr>
                <w:rStyle w:val="IndexLink"/>
              </w:rPr>
              <w:t>111</w:t>
            </w:r>
          </w:hyperlink>
        </w:p>
        <w:p>
          <w:pPr>
            <w:pStyle w:val="Contents3"/>
            <w:tabs>
              <w:tab w:val="clear" w:pos="8459"/>
              <w:tab w:val="right" w:pos="9026" w:leader="dot"/>
            </w:tabs>
            <w:rPr/>
          </w:pPr>
          <w:hyperlink w:anchor="__RefHeading___Toc2225988_1051229030">
            <w:r>
              <w:rPr>
                <w:webHidden/>
                <w:rStyle w:val="IndexLink"/>
                <w:rtl w:val="true"/>
              </w:rPr>
              <w:t>دَلالةُ العقلِ على وجوب عِصمةِ الإمامِ‌</w:t>
            </w:r>
            <w:r>
              <w:rPr>
                <w:rStyle w:val="IndexLink"/>
                <w:rtl w:val="true"/>
              </w:rPr>
              <w:tab/>
            </w:r>
            <w:r>
              <w:rPr>
                <w:rStyle w:val="IndexLink"/>
              </w:rPr>
              <w:t>111</w:t>
            </w:r>
          </w:hyperlink>
        </w:p>
        <w:p>
          <w:pPr>
            <w:pStyle w:val="Contents3"/>
            <w:tabs>
              <w:tab w:val="clear" w:pos="8459"/>
              <w:tab w:val="right" w:pos="9026" w:leader="dot"/>
            </w:tabs>
            <w:rPr/>
          </w:pPr>
          <w:hyperlink w:anchor="__RefHeading___Toc2225990_1051229030">
            <w:r>
              <w:rPr>
                <w:webHidden/>
                <w:rStyle w:val="IndexLink"/>
                <w:rtl w:val="true"/>
              </w:rPr>
              <w:t>طريقُ تمييز الإمامِ الغائبِ عن غيرِه ممّن يَدَّعي الإمامةَ‌</w:t>
            </w:r>
            <w:r>
              <w:rPr>
                <w:rStyle w:val="IndexLink"/>
                <w:rtl w:val="true"/>
              </w:rPr>
              <w:tab/>
            </w:r>
            <w:r>
              <w:rPr>
                <w:rStyle w:val="IndexLink"/>
              </w:rPr>
              <w:t>112</w:t>
            </w:r>
          </w:hyperlink>
        </w:p>
        <w:p>
          <w:pPr>
            <w:pStyle w:val="Contents3"/>
            <w:tabs>
              <w:tab w:val="clear" w:pos="8459"/>
              <w:tab w:val="right" w:pos="9026" w:leader="dot"/>
            </w:tabs>
            <w:rPr/>
          </w:pPr>
          <w:hyperlink w:anchor="__RefHeading___Toc2225992_1051229030">
            <w:r>
              <w:rPr>
                <w:webHidden/>
                <w:rStyle w:val="IndexLink"/>
                <w:rtl w:val="true"/>
              </w:rPr>
              <w:t>عِلّةُ غَيبةِ الإمامِ و الوجهُ الذي يُحسِّنُها</w:t>
            </w:r>
            <w:r>
              <w:rPr>
                <w:rStyle w:val="IndexLink"/>
                <w:rtl w:val="true"/>
              </w:rPr>
              <w:tab/>
            </w:r>
            <w:r>
              <w:rPr>
                <w:rStyle w:val="IndexLink"/>
              </w:rPr>
              <w:t>115</w:t>
            </w:r>
          </w:hyperlink>
        </w:p>
        <w:p>
          <w:pPr>
            <w:pStyle w:val="Contents3"/>
            <w:tabs>
              <w:tab w:val="clear" w:pos="8459"/>
              <w:tab w:val="right" w:pos="9026" w:leader="dot"/>
            </w:tabs>
            <w:rPr/>
          </w:pPr>
          <w:hyperlink w:anchor="__RefHeading___Toc2225994_1051229030">
            <w:r>
              <w:rPr>
                <w:webHidden/>
                <w:rStyle w:val="IndexLink"/>
                <w:rtl w:val="true"/>
              </w:rPr>
              <w:t>الجَهلُ بحِكمةِ الغَيبةِ لا يُنافي صِحَّتَها</w:t>
            </w:r>
            <w:r>
              <w:rPr>
                <w:rStyle w:val="IndexLink"/>
                <w:rtl w:val="true"/>
              </w:rPr>
              <w:tab/>
            </w:r>
            <w:r>
              <w:rPr>
                <w:rStyle w:val="IndexLink"/>
              </w:rPr>
              <w:t>117</w:t>
            </w:r>
          </w:hyperlink>
        </w:p>
        <w:p>
          <w:pPr>
            <w:pStyle w:val="Contents3"/>
            <w:tabs>
              <w:tab w:val="clear" w:pos="8459"/>
              <w:tab w:val="right" w:pos="9026" w:leader="dot"/>
            </w:tabs>
            <w:rPr/>
          </w:pPr>
          <w:hyperlink w:anchor="__RefHeading___Toc2225996_1051229030">
            <w:r>
              <w:rPr>
                <w:webHidden/>
                <w:rStyle w:val="IndexLink"/>
                <w:rtl w:val="true"/>
              </w:rPr>
              <w:t>تَقدُّمُ الكلامِ في الأُصولِ علَى الكلامِ في الفُروعِ‌</w:t>
            </w:r>
            <w:r>
              <w:rPr>
                <w:rStyle w:val="IndexLink"/>
                <w:rtl w:val="true"/>
              </w:rPr>
              <w:tab/>
            </w:r>
            <w:r>
              <w:rPr>
                <w:rStyle w:val="IndexLink"/>
              </w:rPr>
              <w:t>119</w:t>
            </w:r>
          </w:hyperlink>
        </w:p>
        <w:p>
          <w:pPr>
            <w:pStyle w:val="Contents3"/>
            <w:tabs>
              <w:tab w:val="clear" w:pos="8459"/>
              <w:tab w:val="right" w:pos="9026" w:leader="dot"/>
            </w:tabs>
            <w:rPr/>
          </w:pPr>
          <w:hyperlink w:anchor="__RefHeading___Toc2225998_1051229030">
            <w:r>
              <w:rPr>
                <w:webHidden/>
                <w:rStyle w:val="IndexLink"/>
                <w:rtl w:val="true"/>
              </w:rPr>
              <w:t>لا خَيارَ في الاِستدلالِ علَى الفُروعِ قَبلَ الأُصولِ‌</w:t>
            </w:r>
            <w:r>
              <w:rPr>
                <w:rStyle w:val="IndexLink"/>
                <w:rtl w:val="true"/>
              </w:rPr>
              <w:tab/>
            </w:r>
            <w:r>
              <w:rPr>
                <w:rStyle w:val="IndexLink"/>
              </w:rPr>
              <w:t>121</w:t>
            </w:r>
          </w:hyperlink>
        </w:p>
        <w:p>
          <w:pPr>
            <w:pStyle w:val="Contents3"/>
            <w:tabs>
              <w:tab w:val="clear" w:pos="8459"/>
              <w:tab w:val="right" w:pos="9026" w:leader="dot"/>
            </w:tabs>
            <w:rPr/>
          </w:pPr>
          <w:hyperlink w:anchor="__RefHeading___Toc2226000_1051229030">
            <w:r>
              <w:rPr>
                <w:webHidden/>
                <w:rStyle w:val="IndexLink"/>
                <w:rtl w:val="true"/>
              </w:rPr>
              <w:t>اعتمادُ شُيوخِ المُعتَزِلةِ على هذه الطريقةِ‌</w:t>
            </w:r>
            <w:r>
              <w:rPr>
                <w:rStyle w:val="IndexLink"/>
                <w:rtl w:val="true"/>
              </w:rPr>
              <w:tab/>
            </w:r>
            <w:r>
              <w:rPr>
                <w:rStyle w:val="IndexLink"/>
              </w:rPr>
              <w:t>121</w:t>
            </w:r>
          </w:hyperlink>
        </w:p>
        <w:p>
          <w:pPr>
            <w:pStyle w:val="Contents3"/>
            <w:tabs>
              <w:tab w:val="clear" w:pos="8459"/>
              <w:tab w:val="right" w:pos="9026" w:leader="dot"/>
            </w:tabs>
            <w:rPr/>
          </w:pPr>
          <w:hyperlink w:anchor="__RefHeading___Toc2226002_1051229030">
            <w:r>
              <w:rPr>
                <w:webHidden/>
                <w:rStyle w:val="IndexLink"/>
                <w:rtl w:val="true"/>
              </w:rPr>
              <w:t>الكلامُ في الإمامةِ أصلٌ للكلامِ في الغَيبةِ‌</w:t>
            </w:r>
            <w:r>
              <w:rPr>
                <w:rStyle w:val="IndexLink"/>
                <w:rtl w:val="true"/>
              </w:rPr>
              <w:tab/>
            </w:r>
            <w:r>
              <w:rPr>
                <w:rStyle w:val="IndexLink"/>
              </w:rPr>
              <w:t>123</w:t>
            </w:r>
          </w:hyperlink>
        </w:p>
        <w:p>
          <w:pPr>
            <w:pStyle w:val="Contents3"/>
            <w:tabs>
              <w:tab w:val="clear" w:pos="8459"/>
              <w:tab w:val="right" w:pos="9026" w:leader="dot"/>
            </w:tabs>
            <w:rPr/>
          </w:pPr>
          <w:hyperlink w:anchor="__RefHeading___Toc2226004_1051229030">
            <w:r>
              <w:rPr>
                <w:webHidden/>
                <w:rStyle w:val="IndexLink"/>
                <w:rtl w:val="true"/>
              </w:rPr>
              <w:t>مَزيّةٌ في استعمالِ تلكَ الطريقةِ في بَحثِ الغَيبةِ‌</w:t>
            </w:r>
            <w:r>
              <w:rPr>
                <w:rStyle w:val="IndexLink"/>
                <w:rtl w:val="true"/>
              </w:rPr>
              <w:tab/>
            </w:r>
            <w:r>
              <w:rPr>
                <w:rStyle w:val="IndexLink"/>
              </w:rPr>
              <w:t>124</w:t>
            </w:r>
          </w:hyperlink>
        </w:p>
        <w:p>
          <w:pPr>
            <w:pStyle w:val="Contents3"/>
            <w:tabs>
              <w:tab w:val="clear" w:pos="8459"/>
              <w:tab w:val="right" w:pos="9026" w:leader="dot"/>
            </w:tabs>
            <w:rPr/>
          </w:pPr>
          <w:hyperlink w:anchor="__RefHeading___Toc2226006_1051229030">
            <w:r>
              <w:rPr>
                <w:webHidden/>
                <w:rStyle w:val="IndexLink"/>
                <w:rtl w:val="true"/>
              </w:rPr>
              <w:t>التأكيدُ علَى المحافَظةِ علَى المَنهَجِ الموضوعيِّ للبَحثِ‌</w:t>
            </w:r>
            <w:r>
              <w:rPr>
                <w:rStyle w:val="IndexLink"/>
                <w:rtl w:val="true"/>
              </w:rPr>
              <w:tab/>
            </w:r>
            <w:r>
              <w:rPr>
                <w:rStyle w:val="IndexLink"/>
              </w:rPr>
              <w:t>124</w:t>
            </w:r>
          </w:hyperlink>
        </w:p>
        <w:p>
          <w:pPr>
            <w:pStyle w:val="Contents3"/>
            <w:tabs>
              <w:tab w:val="clear" w:pos="8459"/>
              <w:tab w:val="right" w:pos="9026" w:leader="dot"/>
            </w:tabs>
            <w:rPr/>
          </w:pPr>
          <w:hyperlink w:anchor="__RefHeading___Toc2226008_1051229030">
            <w:r>
              <w:rPr>
                <w:webHidden/>
                <w:rStyle w:val="IndexLink"/>
                <w:rtl w:val="true"/>
              </w:rPr>
              <w:t>بيانُ سببِ الغَيبةِ و حكمتِها علَى التفصيلِ‌</w:t>
            </w:r>
            <w:r>
              <w:rPr>
                <w:rStyle w:val="IndexLink"/>
                <w:rtl w:val="true"/>
              </w:rPr>
              <w:tab/>
            </w:r>
            <w:r>
              <w:rPr>
                <w:rStyle w:val="IndexLink"/>
              </w:rPr>
              <w:t>125</w:t>
            </w:r>
          </w:hyperlink>
        </w:p>
        <w:p>
          <w:pPr>
            <w:pStyle w:val="Contents3"/>
            <w:tabs>
              <w:tab w:val="clear" w:pos="8459"/>
              <w:tab w:val="right" w:pos="9026" w:leader="dot"/>
            </w:tabs>
            <w:rPr/>
          </w:pPr>
          <w:hyperlink w:anchor="__RefHeading___Toc2226010_1051229030">
            <w:r>
              <w:rPr>
                <w:webHidden/>
                <w:rStyle w:val="IndexLink"/>
                <w:rtl w:val="true"/>
              </w:rPr>
              <w:t>الفَرقُ بَينَ استتارِ النبيِّ و غَيبةِ الإمامِ‌</w:t>
            </w:r>
            <w:r>
              <w:rPr>
                <w:rStyle w:val="IndexLink"/>
                <w:rtl w:val="true"/>
              </w:rPr>
              <w:tab/>
            </w:r>
            <w:r>
              <w:rPr>
                <w:rStyle w:val="IndexLink"/>
              </w:rPr>
              <w:t>126</w:t>
            </w:r>
          </w:hyperlink>
        </w:p>
        <w:p>
          <w:pPr>
            <w:pStyle w:val="Contents3"/>
            <w:tabs>
              <w:tab w:val="clear" w:pos="8459"/>
              <w:tab w:val="right" w:pos="9026" w:leader="dot"/>
            </w:tabs>
            <w:rPr/>
          </w:pPr>
          <w:hyperlink w:anchor="__RefHeading___Toc2226012_1051229030">
            <w:r>
              <w:rPr>
                <w:webHidden/>
                <w:rStyle w:val="IndexLink"/>
                <w:rtl w:val="true"/>
              </w:rPr>
              <w:t>علّةُ عدمِ استتارِ الأئمّةِ السابقينَ عليهم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226014_1051229030">
            <w:r>
              <w:rPr>
                <w:webHidden/>
                <w:rStyle w:val="IndexLink"/>
                <w:rtl w:val="true"/>
              </w:rPr>
              <w:t>الفَرقُ بَينَ الغَيبةِ و عدمِ الوجودِ</w:t>
            </w:r>
            <w:r>
              <w:rPr>
                <w:rStyle w:val="IndexLink"/>
                <w:rtl w:val="true"/>
              </w:rPr>
              <w:tab/>
            </w:r>
            <w:r>
              <w:rPr>
                <w:rStyle w:val="IndexLink"/>
              </w:rPr>
              <w:t>128</w:t>
            </w:r>
          </w:hyperlink>
        </w:p>
        <w:p>
          <w:pPr>
            <w:pStyle w:val="Contents3"/>
            <w:tabs>
              <w:tab w:val="clear" w:pos="8459"/>
              <w:tab w:val="right" w:pos="9026" w:leader="dot"/>
            </w:tabs>
            <w:rPr/>
          </w:pPr>
          <w:hyperlink w:anchor="__RefHeading___Toc2226016_1051229030">
            <w:r>
              <w:rPr>
                <w:webHidden/>
                <w:rStyle w:val="IndexLink"/>
                <w:rtl w:val="true"/>
              </w:rPr>
              <w:t>إمكانُ ظُهورِ الإمامِ بحِفْظِ اللّهِ تعالى لهُ من الآفاتِ‌</w:t>
            </w:r>
            <w:r>
              <w:rPr>
                <w:rStyle w:val="IndexLink"/>
                <w:rtl w:val="true"/>
              </w:rPr>
              <w:tab/>
            </w:r>
            <w:r>
              <w:rPr>
                <w:rStyle w:val="IndexLink"/>
              </w:rPr>
              <w:t>130</w:t>
            </w:r>
          </w:hyperlink>
        </w:p>
        <w:p>
          <w:pPr>
            <w:pStyle w:val="Contents3"/>
            <w:tabs>
              <w:tab w:val="clear" w:pos="8459"/>
              <w:tab w:val="right" w:pos="9026" w:leader="dot"/>
            </w:tabs>
            <w:rPr/>
          </w:pPr>
          <w:hyperlink w:anchor="__RefHeading___Toc2226018_1051229030">
            <w:r>
              <w:rPr>
                <w:webHidden/>
                <w:rStyle w:val="IndexLink"/>
                <w:rtl w:val="true"/>
              </w:rPr>
              <w:t>كيفيّةُ إقامةِ الحُدودِ في زَمَنِ الغَيبةِ‌</w:t>
            </w:r>
            <w:r>
              <w:rPr>
                <w:rStyle w:val="IndexLink"/>
                <w:rtl w:val="true"/>
              </w:rPr>
              <w:tab/>
            </w:r>
            <w:r>
              <w:rPr>
                <w:rStyle w:val="IndexLink"/>
              </w:rPr>
              <w:t>131</w:t>
            </w:r>
          </w:hyperlink>
        </w:p>
        <w:p>
          <w:pPr>
            <w:pStyle w:val="Contents3"/>
            <w:tabs>
              <w:tab w:val="clear" w:pos="8459"/>
              <w:tab w:val="right" w:pos="9026" w:leader="dot"/>
            </w:tabs>
            <w:rPr/>
          </w:pPr>
          <w:hyperlink w:anchor="__RefHeading___Toc2226020_1051229030">
            <w:r>
              <w:rPr>
                <w:webHidden/>
                <w:rStyle w:val="IndexLink"/>
                <w:rtl w:val="true"/>
              </w:rPr>
              <w:t>الحالُ فيما لَو احتيجَ إلى بيانِ الإمامِ الغائبِ‌</w:t>
            </w:r>
            <w:r>
              <w:rPr>
                <w:rStyle w:val="IndexLink"/>
                <w:rtl w:val="true"/>
              </w:rPr>
              <w:tab/>
            </w:r>
            <w:r>
              <w:rPr>
                <w:rStyle w:val="IndexLink"/>
              </w:rPr>
              <w:t>132</w:t>
            </w:r>
          </w:hyperlink>
        </w:p>
        <w:p>
          <w:pPr>
            <w:pStyle w:val="Contents3"/>
            <w:tabs>
              <w:tab w:val="clear" w:pos="8459"/>
              <w:tab w:val="right" w:pos="9026" w:leader="dot"/>
            </w:tabs>
            <w:rPr/>
          </w:pPr>
          <w:hyperlink w:anchor="__RefHeading___Toc2226022_1051229030">
            <w:r>
              <w:rPr>
                <w:webHidden/>
                <w:rStyle w:val="IndexLink"/>
                <w:rtl w:val="true"/>
              </w:rPr>
              <w:t>عِلّةُ عدمِ ظهورِ الإمامِ عليه السلام لأوليائه</w:t>
            </w:r>
            <w:r>
              <w:rPr>
                <w:rStyle w:val="IndexLink"/>
                <w:rtl w:val="true"/>
              </w:rPr>
              <w:tab/>
            </w:r>
            <w:r>
              <w:rPr>
                <w:rStyle w:val="IndexLink"/>
              </w:rPr>
              <w:t>133</w:t>
            </w:r>
          </w:hyperlink>
        </w:p>
        <w:p>
          <w:pPr>
            <w:pStyle w:val="Contents3"/>
            <w:tabs>
              <w:tab w:val="clear" w:pos="8459"/>
              <w:tab w:val="right" w:pos="9026" w:leader="dot"/>
            </w:tabs>
            <w:rPr/>
          </w:pPr>
          <w:hyperlink w:anchor="__RefHeading___Toc2226024_1051229030">
            <w:r>
              <w:rPr>
                <w:webHidden/>
                <w:rStyle w:val="IndexLink"/>
                <w:rtl w:val="true"/>
              </w:rPr>
              <w:t>عدمُ الظهورِ لَيسَ دليلاً على كُفرِ المُكلَّفِ و فَسادِه</w:t>
            </w:r>
            <w:r>
              <w:rPr>
                <w:rStyle w:val="IndexLink"/>
                <w:rtl w:val="true"/>
              </w:rPr>
              <w:tab/>
            </w:r>
            <w:r>
              <w:rPr>
                <w:rStyle w:val="IndexLink"/>
              </w:rPr>
              <w:t>140</w:t>
            </w:r>
          </w:hyperlink>
        </w:p>
        <w:p>
          <w:pPr>
            <w:pStyle w:val="Contents2"/>
            <w:tabs>
              <w:tab w:val="clear" w:pos="8743"/>
              <w:tab w:val="right" w:pos="9026" w:leader="dot"/>
            </w:tabs>
            <w:rPr/>
          </w:pPr>
          <w:hyperlink w:anchor="__RefHeading___Toc2226026_1051229030">
            <w:r>
              <w:rPr>
                <w:webHidden/>
                <w:rStyle w:val="IndexLink"/>
                <w:rtl w:val="true"/>
              </w:rPr>
              <w:t xml:space="preserve">الزيادةُ المُكمَّلُ بِها كتابُ </w:t>
            </w:r>
            <w:r>
              <w:rPr>
                <w:rStyle w:val="IndexLink"/>
                <w:rtl w:val="true"/>
              </w:rPr>
              <w:t>«</w:t>
            </w:r>
            <w:r>
              <w:rPr>
                <w:rStyle w:val="IndexLink"/>
                <w:rtl w:val="true"/>
              </w:rPr>
              <w:t>المُقنِعِ</w:t>
            </w:r>
            <w:r>
              <w:rPr>
                <w:rStyle w:val="IndexLink"/>
                <w:rtl w:val="true"/>
              </w:rPr>
              <w:t>»</w:t>
              <w:tab/>
            </w:r>
            <w:r>
              <w:rPr>
                <w:rStyle w:val="IndexLink"/>
              </w:rPr>
              <w:t>142</w:t>
            </w:r>
          </w:hyperlink>
        </w:p>
        <w:p>
          <w:pPr>
            <w:pStyle w:val="Contents3"/>
            <w:tabs>
              <w:tab w:val="clear" w:pos="8459"/>
              <w:tab w:val="right" w:pos="9026" w:leader="dot"/>
            </w:tabs>
            <w:rPr/>
          </w:pPr>
          <w:hyperlink w:anchor="__RefHeading___Toc2226028_105122903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226030_1051229030">
            <w:r>
              <w:rPr>
                <w:webHidden/>
                <w:rStyle w:val="IndexLink"/>
                <w:rtl w:val="true"/>
              </w:rPr>
              <w:t>استلهامُ الأولياءِ مِن وجودِ الإمامِ و لَو في الغَيبةِ‌</w:t>
            </w:r>
            <w:r>
              <w:rPr>
                <w:rStyle w:val="IndexLink"/>
                <w:rtl w:val="true"/>
              </w:rPr>
              <w:tab/>
            </w:r>
            <w:r>
              <w:rPr>
                <w:rStyle w:val="IndexLink"/>
              </w:rPr>
              <w:t>144</w:t>
            </w:r>
          </w:hyperlink>
        </w:p>
        <w:p>
          <w:pPr>
            <w:pStyle w:val="Contents3"/>
            <w:tabs>
              <w:tab w:val="clear" w:pos="8459"/>
              <w:tab w:val="right" w:pos="9026" w:leader="dot"/>
            </w:tabs>
            <w:rPr/>
          </w:pPr>
          <w:hyperlink w:anchor="__RefHeading___Toc2226032_1051229030">
            <w:r>
              <w:rPr>
                <w:webHidden/>
                <w:rStyle w:val="IndexLink"/>
                <w:rtl w:val="true"/>
              </w:rPr>
              <w:t>هَل الغَيبةُ تَمنَعُ الإمامَ مِن التأثيرِ و العملِ؟</w:t>
            </w:r>
            <w:r>
              <w:rPr>
                <w:rStyle w:val="IndexLink"/>
                <w:rtl w:val="true"/>
              </w:rPr>
              <w:tab/>
            </w:r>
            <w:r>
              <w:rPr>
                <w:rStyle w:val="IndexLink"/>
              </w:rPr>
              <w:t>145</w:t>
            </w:r>
          </w:hyperlink>
        </w:p>
        <w:p>
          <w:pPr>
            <w:pStyle w:val="Contents3"/>
            <w:tabs>
              <w:tab w:val="clear" w:pos="8459"/>
              <w:tab w:val="right" w:pos="9026" w:leader="dot"/>
            </w:tabs>
            <w:rPr/>
          </w:pPr>
          <w:hyperlink w:anchor="__RefHeading___Toc2226034_1051229030">
            <w:r>
              <w:rPr>
                <w:webHidden/>
                <w:rStyle w:val="IndexLink"/>
                <w:rtl w:val="true"/>
              </w:rPr>
              <w:t>لا فَرقَ في الاِستلهامِ مِن وجودِ الأئمّةِ بَينَ الغَيبةِ و الظهورِ</w:t>
            </w:r>
            <w:r>
              <w:rPr>
                <w:rStyle w:val="IndexLink"/>
                <w:rtl w:val="true"/>
              </w:rPr>
              <w:tab/>
            </w:r>
            <w:r>
              <w:rPr>
                <w:rStyle w:val="IndexLink"/>
              </w:rPr>
              <w:t>146</w:t>
            </w:r>
          </w:hyperlink>
        </w:p>
        <w:p>
          <w:pPr>
            <w:pStyle w:val="Contents3"/>
            <w:tabs>
              <w:tab w:val="clear" w:pos="8459"/>
              <w:tab w:val="right" w:pos="9026" w:leader="dot"/>
            </w:tabs>
            <w:rPr/>
          </w:pPr>
          <w:hyperlink w:anchor="__RefHeading___Toc2226036_1051229030">
            <w:r>
              <w:rPr>
                <w:webHidden/>
                <w:rStyle w:val="IndexLink"/>
                <w:rtl w:val="true"/>
              </w:rPr>
              <w:t>الظهورُ للأولياءِ لَيسَ بواجبٍ‌</w:t>
            </w:r>
            <w:r>
              <w:rPr>
                <w:rStyle w:val="IndexLink"/>
                <w:rtl w:val="true"/>
              </w:rPr>
              <w:tab/>
            </w:r>
            <w:r>
              <w:rPr>
                <w:rStyle w:val="IndexLink"/>
              </w:rPr>
              <w:t>147</w:t>
            </w:r>
          </w:hyperlink>
        </w:p>
        <w:p>
          <w:pPr>
            <w:pStyle w:val="Contents3"/>
            <w:tabs>
              <w:tab w:val="clear" w:pos="8459"/>
              <w:tab w:val="right" w:pos="9026" w:leader="dot"/>
            </w:tabs>
            <w:rPr/>
          </w:pPr>
          <w:hyperlink w:anchor="__RefHeading___Toc2226038_1051229030">
            <w:r>
              <w:rPr>
                <w:webHidden/>
                <w:rStyle w:val="IndexLink"/>
                <w:rtl w:val="true"/>
              </w:rPr>
              <w:t>طُرُقُ عِلمِ الإمامِ حالَ الغَيبةِ بما يَجري</w:t>
            </w:r>
            <w:r>
              <w:rPr>
                <w:rStyle w:val="IndexLink"/>
                <w:rtl w:val="true"/>
              </w:rPr>
              <w:tab/>
            </w:r>
            <w:r>
              <w:rPr>
                <w:rStyle w:val="IndexLink"/>
              </w:rPr>
              <w:t>147</w:t>
            </w:r>
          </w:hyperlink>
        </w:p>
        <w:p>
          <w:pPr>
            <w:pStyle w:val="Contents3"/>
            <w:tabs>
              <w:tab w:val="clear" w:pos="8459"/>
              <w:tab w:val="right" w:pos="9026" w:leader="dot"/>
            </w:tabs>
            <w:rPr/>
          </w:pPr>
          <w:hyperlink w:anchor="__RefHeading___Toc2226040_1051229030">
            <w:r>
              <w:rPr>
                <w:webHidden/>
                <w:rStyle w:val="IndexLink"/>
                <w:rtl w:val="true"/>
              </w:rPr>
              <w:t>الإقرارُ عندَ الإمامِ‌</w:t>
            </w:r>
            <w:r>
              <w:rPr>
                <w:rStyle w:val="IndexLink"/>
                <w:rtl w:val="true"/>
              </w:rPr>
              <w:tab/>
            </w:r>
            <w:r>
              <w:rPr>
                <w:rStyle w:val="IndexLink"/>
              </w:rPr>
              <w:t>149</w:t>
            </w:r>
          </w:hyperlink>
        </w:p>
        <w:p>
          <w:pPr>
            <w:pStyle w:val="Contents3"/>
            <w:tabs>
              <w:tab w:val="clear" w:pos="8459"/>
              <w:tab w:val="right" w:pos="9026" w:leader="dot"/>
            </w:tabs>
            <w:rPr/>
          </w:pPr>
          <w:hyperlink w:anchor="__RefHeading___Toc2226042_1051229030">
            <w:r>
              <w:rPr>
                <w:webHidden/>
                <w:rStyle w:val="IndexLink"/>
                <w:rtl w:val="true"/>
              </w:rPr>
              <w:t>احتمالُ بُعدِ الإمامِ و قُربِه</w:t>
            </w:r>
            <w:r>
              <w:rPr>
                <w:rStyle w:val="IndexLink"/>
                <w:rtl w:val="true"/>
              </w:rPr>
              <w:tab/>
            </w:r>
            <w:r>
              <w:rPr>
                <w:rStyle w:val="IndexLink"/>
              </w:rPr>
              <w:t>149</w:t>
            </w:r>
          </w:hyperlink>
        </w:p>
        <w:p>
          <w:pPr>
            <w:pStyle w:val="Contents3"/>
            <w:tabs>
              <w:tab w:val="clear" w:pos="8459"/>
              <w:tab w:val="right" w:pos="9026" w:leader="dot"/>
            </w:tabs>
            <w:rPr/>
          </w:pPr>
          <w:hyperlink w:anchor="__RefHeading___Toc2226044_1051229030">
            <w:r>
              <w:rPr>
                <w:webHidden/>
                <w:rStyle w:val="IndexLink"/>
                <w:rtl w:val="true"/>
              </w:rPr>
              <w:t>إمكانُ استخلافِ الإمامِ لغَيرِه في الغَيبةِ و الظهورِ</w:t>
            </w:r>
            <w:r>
              <w:rPr>
                <w:rStyle w:val="IndexLink"/>
                <w:rtl w:val="true"/>
              </w:rPr>
              <w:tab/>
            </w:r>
            <w:r>
              <w:rPr>
                <w:rStyle w:val="IndexLink"/>
              </w:rPr>
              <w:t>150</w:t>
            </w:r>
          </w:hyperlink>
        </w:p>
        <w:p>
          <w:pPr>
            <w:pStyle w:val="Contents3"/>
            <w:tabs>
              <w:tab w:val="clear" w:pos="8459"/>
              <w:tab w:val="right" w:pos="9026" w:leader="dot"/>
            </w:tabs>
            <w:rPr/>
          </w:pPr>
          <w:hyperlink w:anchor="__RefHeading___Toc2226046_1051229030">
            <w:r>
              <w:rPr>
                <w:webHidden/>
                <w:rStyle w:val="IndexLink"/>
                <w:rtl w:val="true"/>
              </w:rPr>
              <w:t>الفَرقُ بَينَ الغَيبةِ و الظهورِ في الاِنتفاعِ بوُجودِ الإمامِ‌</w:t>
            </w:r>
            <w:r>
              <w:rPr>
                <w:rStyle w:val="IndexLink"/>
                <w:rtl w:val="true"/>
              </w:rPr>
              <w:tab/>
            </w:r>
            <w:r>
              <w:rPr>
                <w:rStyle w:val="IndexLink"/>
              </w:rPr>
              <w:t>151</w:t>
            </w:r>
          </w:hyperlink>
        </w:p>
        <w:p>
          <w:pPr>
            <w:pStyle w:val="Contents3"/>
            <w:tabs>
              <w:tab w:val="clear" w:pos="8459"/>
              <w:tab w:val="right" w:pos="9026" w:leader="dot"/>
            </w:tabs>
            <w:rPr/>
          </w:pPr>
          <w:hyperlink w:anchor="__RefHeading___Toc2226048_1051229030">
            <w:r>
              <w:rPr>
                <w:webHidden/>
                <w:rStyle w:val="IndexLink"/>
                <w:rtl w:val="true"/>
              </w:rPr>
              <w:t>هَل يَقومُ شَيءٌ مَقامَ الإمامِ في أداءِ دَورِه؟</w:t>
            </w:r>
            <w:r>
              <w:rPr>
                <w:rStyle w:val="IndexLink"/>
                <w:rtl w:val="true"/>
              </w:rPr>
              <w:tab/>
            </w:r>
            <w:r>
              <w:rPr>
                <w:rStyle w:val="IndexLink"/>
              </w:rPr>
              <w:t>152</w:t>
            </w:r>
          </w:hyperlink>
        </w:p>
        <w:p>
          <w:pPr>
            <w:pStyle w:val="Contents3"/>
            <w:tabs>
              <w:tab w:val="clear" w:pos="8459"/>
              <w:tab w:val="right" w:pos="9026" w:leader="dot"/>
            </w:tabs>
            <w:rPr/>
          </w:pPr>
          <w:hyperlink w:anchor="__RefHeading___Toc2226050_1051229030">
            <w:r>
              <w:rPr>
                <w:webHidden/>
                <w:rStyle w:val="IndexLink"/>
                <w:rtl w:val="true"/>
              </w:rPr>
              <w:t>كَيفَ يَعلَمُ الإمامُ بوَقتِ ظُهورِه؟</w:t>
            </w:r>
            <w:r>
              <w:rPr>
                <w:rStyle w:val="IndexLink"/>
                <w:rtl w:val="true"/>
              </w:rPr>
              <w:tab/>
            </w:r>
            <w:r>
              <w:rPr>
                <w:rStyle w:val="IndexLink"/>
              </w:rPr>
              <w:t>153</w:t>
            </w:r>
          </w:hyperlink>
        </w:p>
        <w:p>
          <w:pPr>
            <w:pStyle w:val="Contents3"/>
            <w:tabs>
              <w:tab w:val="clear" w:pos="8459"/>
              <w:tab w:val="right" w:pos="9026" w:leader="dot"/>
            </w:tabs>
            <w:rPr/>
          </w:pPr>
          <w:hyperlink w:anchor="__RefHeading___Toc2226052_1051229030">
            <w:r>
              <w:rPr>
                <w:webHidden/>
                <w:rStyle w:val="IndexLink"/>
                <w:rtl w:val="true"/>
              </w:rPr>
              <w:t>هَل يَعتَمِدُ الإمامُ علَى الظنِّ في أسبابِ ظُهورِه؟</w:t>
            </w:r>
            <w:r>
              <w:rPr>
                <w:rStyle w:val="IndexLink"/>
                <w:rtl w:val="true"/>
              </w:rPr>
              <w:tab/>
            </w:r>
            <w:r>
              <w:rPr>
                <w:rStyle w:val="IndexLink"/>
              </w:rPr>
              <w:t>154</w:t>
            </w:r>
          </w:hyperlink>
        </w:p>
        <w:p>
          <w:pPr>
            <w:pStyle w:val="Contents3"/>
            <w:tabs>
              <w:tab w:val="clear" w:pos="8459"/>
              <w:tab w:val="right" w:pos="9026" w:leader="dot"/>
            </w:tabs>
            <w:rPr/>
          </w:pPr>
          <w:hyperlink w:anchor="__RefHeading___Toc2226054_1051229030">
            <w:r>
              <w:rPr>
                <w:webHidden/>
                <w:rStyle w:val="IndexLink"/>
                <w:rtl w:val="true"/>
              </w:rPr>
              <w:t>كَيفَ يُساوى بَينَ حُكمِ الظهورِ و الغَيبةِ مع أنّ مَبنَى الأوّلِ الضرورةُ، و مَبنىَ الثاني النظَرُ؟</w:t>
            </w:r>
            <w:r>
              <w:rPr>
                <w:rStyle w:val="IndexLink"/>
                <w:rtl w:val="true"/>
              </w:rPr>
              <w:tab/>
            </w:r>
            <w:r>
              <w:rPr>
                <w:rStyle w:val="IndexLink"/>
              </w:rPr>
              <w:t>155</w:t>
            </w:r>
          </w:hyperlink>
        </w:p>
        <w:p>
          <w:pPr>
            <w:pStyle w:val="Contents2"/>
            <w:tabs>
              <w:tab w:val="clear" w:pos="8743"/>
              <w:tab w:val="right" w:pos="9026" w:leader="dot"/>
            </w:tabs>
            <w:rPr/>
          </w:pPr>
          <w:hyperlink w:anchor="__RefHeading___Toc2226056_1051229030">
            <w:r>
              <w:rPr>
                <w:webHidden/>
                <w:rStyle w:val="IndexLink"/>
                <w:rtl w:val="true"/>
              </w:rPr>
              <w:t>الملحقات</w:t>
            </w:r>
            <w:r>
              <w:rPr>
                <w:rStyle w:val="IndexLink"/>
                <w:rtl w:val="true"/>
              </w:rPr>
              <w:tab/>
            </w:r>
            <w:r>
              <w:rPr>
                <w:rStyle w:val="IndexLink"/>
              </w:rPr>
              <w:t>158</w:t>
            </w:r>
          </w:hyperlink>
        </w:p>
        <w:p>
          <w:pPr>
            <w:pStyle w:val="Contents3"/>
            <w:tabs>
              <w:tab w:val="clear" w:pos="8459"/>
              <w:tab w:val="right" w:pos="9026" w:leader="dot"/>
            </w:tabs>
            <w:rPr/>
          </w:pPr>
          <w:hyperlink w:anchor="__RefHeading___Toc2226058_105122903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2226060_1051229030">
            <w:r>
              <w:rPr>
                <w:webHidden/>
                <w:rStyle w:val="IndexLink"/>
                <w:rtl w:val="true"/>
              </w:rPr>
              <w:t>المقدّمة</w:t>
            </w:r>
            <w:r>
              <w:rPr>
                <w:rStyle w:val="IndexLink"/>
                <w:rtl w:val="true"/>
              </w:rPr>
              <w:tab/>
            </w:r>
            <w:r>
              <w:rPr>
                <w:rStyle w:val="IndexLink"/>
              </w:rPr>
              <w:t>160</w:t>
            </w:r>
          </w:hyperlink>
        </w:p>
        <w:p>
          <w:pPr>
            <w:pStyle w:val="Contents3"/>
            <w:tabs>
              <w:tab w:val="clear" w:pos="8459"/>
              <w:tab w:val="right" w:pos="9026" w:leader="dot"/>
            </w:tabs>
            <w:rPr/>
          </w:pPr>
          <w:hyperlink w:anchor="__RefHeading___Toc2226062_1051229030">
            <w:r>
              <w:rPr>
                <w:webHidden/>
                <w:rStyle w:val="IndexLink"/>
                <w:rtl w:val="true"/>
              </w:rPr>
              <w:t>مصادر الملحقات</w:t>
            </w:r>
            <w:r>
              <w:rPr>
                <w:rStyle w:val="IndexLink"/>
                <w:rtl w:val="true"/>
              </w:rPr>
              <w:tab/>
            </w:r>
            <w:r>
              <w:rPr>
                <w:rStyle w:val="IndexLink"/>
              </w:rPr>
              <w:t>160</w:t>
            </w:r>
          </w:hyperlink>
        </w:p>
        <w:p>
          <w:pPr>
            <w:pStyle w:val="Contents3"/>
            <w:tabs>
              <w:tab w:val="clear" w:pos="8459"/>
              <w:tab w:val="right" w:pos="9026" w:leader="dot"/>
            </w:tabs>
            <w:rPr/>
          </w:pPr>
          <w:hyperlink w:anchor="__RefHeading___Toc2226064_1051229030">
            <w:r>
              <w:rPr>
                <w:webHidden/>
                <w:rStyle w:val="IndexLink"/>
              </w:rPr>
              <w:t>1</w:t>
            </w:r>
            <w:r>
              <w:rPr>
                <w:rStyle w:val="IndexLink"/>
                <w:rtl w:val="true"/>
              </w:rPr>
              <w:t xml:space="preserve"> - </w:t>
            </w:r>
            <w:r>
              <w:rPr>
                <w:rStyle w:val="IndexLink"/>
                <w:rtl w:val="true"/>
              </w:rPr>
              <w:t xml:space="preserve">ما ذكره في كتابه </w:t>
            </w:r>
            <w:r>
              <w:rPr>
                <w:rStyle w:val="IndexLink"/>
                <w:rtl w:val="true"/>
              </w:rPr>
              <w:t>«</w:t>
            </w:r>
            <w:r>
              <w:rPr>
                <w:rStyle w:val="IndexLink"/>
                <w:rtl w:val="true"/>
              </w:rPr>
              <w:t>الشافي في الإمامة</w:t>
            </w:r>
            <w:r>
              <w:rPr>
                <w:rStyle w:val="IndexLink"/>
                <w:rtl w:val="true"/>
              </w:rPr>
              <w:t>»</w:t>
              <w:tab/>
            </w:r>
            <w:r>
              <w:rPr>
                <w:rStyle w:val="IndexLink"/>
              </w:rPr>
              <w:t>163</w:t>
            </w:r>
          </w:hyperlink>
        </w:p>
        <w:p>
          <w:pPr>
            <w:pStyle w:val="Contents4"/>
            <w:tabs>
              <w:tab w:val="clear" w:pos="8176"/>
              <w:tab w:val="right" w:pos="9026" w:leader="dot"/>
            </w:tabs>
            <w:rPr/>
          </w:pPr>
          <w:hyperlink w:anchor="__RefHeading___Toc2226066_105122903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226068_1051229030">
            <w:r>
              <w:rPr>
                <w:webHidden/>
                <w:rStyle w:val="IndexLink"/>
                <w:rtl w:val="true"/>
              </w:rPr>
              <w:t>ألف</w:t>
            </w:r>
            <w:r>
              <w:rPr>
                <w:rStyle w:val="IndexLink"/>
                <w:rtl w:val="true"/>
              </w:rPr>
              <w:t xml:space="preserve">: </w:t>
            </w:r>
            <w:r>
              <w:rPr>
                <w:rStyle w:val="IndexLink"/>
                <w:rtl w:val="true"/>
              </w:rPr>
              <w:t>ما ذكره في وجه الانتفاع به عليه السلام في زمن الغيبة و ما يتعلّق به</w:t>
            </w:r>
            <w:r>
              <w:rPr>
                <w:rStyle w:val="IndexLink"/>
                <w:rtl w:val="true"/>
              </w:rPr>
              <w:t>:</w:t>
              <w:tab/>
            </w:r>
            <w:r>
              <w:rPr>
                <w:rStyle w:val="IndexLink"/>
              </w:rPr>
              <w:t>163</w:t>
            </w:r>
          </w:hyperlink>
        </w:p>
        <w:p>
          <w:pPr>
            <w:pStyle w:val="Contents5"/>
            <w:tabs>
              <w:tab w:val="clear" w:pos="7892"/>
              <w:tab w:val="right" w:pos="9026" w:leader="dot"/>
            </w:tabs>
            <w:rPr/>
          </w:pPr>
          <w:hyperlink w:anchor="__RefHeading___Toc2226070_105122903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226072_1051229030">
            <w:r>
              <w:rPr>
                <w:webHidden/>
                <w:rStyle w:val="IndexLink"/>
                <w:rtl w:val="true"/>
              </w:rPr>
              <w:t>نفي السهو عن الإمام</w:t>
            </w:r>
            <w:r>
              <w:rPr>
                <w:rStyle w:val="IndexLink"/>
                <w:rtl w:val="true"/>
              </w:rPr>
              <w:tab/>
            </w:r>
            <w:r>
              <w:rPr>
                <w:rStyle w:val="IndexLink"/>
              </w:rPr>
              <w:t>171</w:t>
            </w:r>
          </w:hyperlink>
        </w:p>
        <w:p>
          <w:pPr>
            <w:pStyle w:val="Contents4"/>
            <w:tabs>
              <w:tab w:val="clear" w:pos="8176"/>
              <w:tab w:val="right" w:pos="9026" w:leader="dot"/>
            </w:tabs>
            <w:rPr/>
          </w:pPr>
          <w:hyperlink w:anchor="__RefHeading___Toc2226074_1051229030">
            <w:r>
              <w:rPr>
                <w:webHidden/>
                <w:rStyle w:val="IndexLink"/>
                <w:rtl w:val="true"/>
              </w:rPr>
              <w:t>ب</w:t>
            </w:r>
            <w:r>
              <w:rPr>
                <w:rStyle w:val="IndexLink"/>
                <w:rtl w:val="true"/>
              </w:rPr>
              <w:t xml:space="preserve">: </w:t>
            </w:r>
            <w:r>
              <w:rPr>
                <w:rStyle w:val="IndexLink"/>
                <w:rtl w:val="true"/>
              </w:rPr>
              <w:t>ما ذكره في حكم الحدود و الأحكام في زمن الغيبة و ما يتعلّق بهما</w:t>
            </w:r>
            <w:r>
              <w:rPr>
                <w:rStyle w:val="IndexLink"/>
                <w:rtl w:val="true"/>
              </w:rPr>
              <w:t>:</w:t>
              <w:tab/>
            </w:r>
            <w:r>
              <w:rPr>
                <w:rStyle w:val="IndexLink"/>
              </w:rPr>
              <w:t>190</w:t>
            </w:r>
          </w:hyperlink>
        </w:p>
        <w:p>
          <w:pPr>
            <w:pStyle w:val="Contents5"/>
            <w:tabs>
              <w:tab w:val="clear" w:pos="7892"/>
              <w:tab w:val="right" w:pos="9026" w:leader="dot"/>
            </w:tabs>
            <w:rPr/>
          </w:pPr>
          <w:hyperlink w:anchor="__RefHeading___Toc2226076_1051229030">
            <w:r>
              <w:rPr>
                <w:webHidden/>
                <w:rStyle w:val="IndexLink"/>
                <w:rtl w:val="true"/>
              </w:rPr>
              <w:t>موقف الإمام من الحدود و الأحكام</w:t>
            </w:r>
            <w:r>
              <w:rPr>
                <w:rStyle w:val="IndexLink"/>
                <w:rtl w:val="true"/>
              </w:rPr>
              <w:tab/>
            </w:r>
            <w:r>
              <w:rPr>
                <w:rStyle w:val="IndexLink"/>
              </w:rPr>
              <w:t>190</w:t>
            </w:r>
          </w:hyperlink>
        </w:p>
        <w:p>
          <w:pPr>
            <w:pStyle w:val="Contents5"/>
            <w:tabs>
              <w:tab w:val="clear" w:pos="7892"/>
              <w:tab w:val="right" w:pos="9026" w:leader="dot"/>
            </w:tabs>
            <w:rPr/>
          </w:pPr>
          <w:hyperlink w:anchor="__RefHeading___Toc2226078_1051229030">
            <w:r>
              <w:rPr>
                <w:webHidden/>
                <w:rStyle w:val="IndexLink"/>
                <w:rtl w:val="true"/>
              </w:rPr>
              <w:t>حالُ الحدود في زمن الغيبة</w:t>
            </w:r>
            <w:r>
              <w:rPr>
                <w:rStyle w:val="IndexLink"/>
                <w:rtl w:val="true"/>
              </w:rPr>
              <w:tab/>
            </w:r>
            <w:r>
              <w:rPr>
                <w:rStyle w:val="IndexLink"/>
              </w:rPr>
              <w:t>192</w:t>
            </w:r>
          </w:hyperlink>
        </w:p>
        <w:p>
          <w:pPr>
            <w:pStyle w:val="Contents5"/>
            <w:tabs>
              <w:tab w:val="clear" w:pos="7892"/>
              <w:tab w:val="right" w:pos="9026" w:leader="dot"/>
            </w:tabs>
            <w:rPr/>
          </w:pPr>
          <w:hyperlink w:anchor="__RefHeading___Toc2226080_1051229030">
            <w:r>
              <w:rPr>
                <w:webHidden/>
                <w:rStyle w:val="IndexLink"/>
                <w:rtl w:val="true"/>
              </w:rPr>
              <w:t>إشارة إلى الفرق بين عدم إقامة الحدود من قِبَل الظلمة، و من قِبَله تعالى‌</w:t>
            </w:r>
            <w:r>
              <w:rPr>
                <w:rStyle w:val="IndexLink"/>
                <w:rtl w:val="true"/>
              </w:rPr>
              <w:tab/>
            </w:r>
            <w:r>
              <w:rPr>
                <w:rStyle w:val="IndexLink"/>
              </w:rPr>
              <w:t>194</w:t>
            </w:r>
          </w:hyperlink>
        </w:p>
        <w:p>
          <w:pPr>
            <w:pStyle w:val="Contents4"/>
            <w:tabs>
              <w:tab w:val="clear" w:pos="8176"/>
              <w:tab w:val="right" w:pos="9026" w:leader="dot"/>
            </w:tabs>
            <w:rPr/>
          </w:pPr>
          <w:hyperlink w:anchor="__RefHeading___Toc2226082_1051229030">
            <w:r>
              <w:rPr>
                <w:webHidden/>
                <w:rStyle w:val="IndexLink"/>
                <w:rtl w:val="true"/>
              </w:rPr>
              <w:t>ج</w:t>
            </w:r>
            <w:r>
              <w:rPr>
                <w:rStyle w:val="IndexLink"/>
                <w:rtl w:val="true"/>
              </w:rPr>
              <w:t xml:space="preserve">: </w:t>
            </w:r>
            <w:r>
              <w:rPr>
                <w:rStyle w:val="IndexLink"/>
                <w:rtl w:val="true"/>
              </w:rPr>
              <w:t>ما ذكره في حفظ الشريعة بالإمام عليه السلام في زمن الغيبة، و وجود الإمام عليه السلام في الإجماع و وراء التواتر</w:t>
            </w:r>
            <w:r>
              <w:rPr>
                <w:rStyle w:val="IndexLink"/>
                <w:rtl w:val="true"/>
              </w:rPr>
              <w:t>:</w:t>
              <w:tab/>
            </w:r>
            <w:r>
              <w:rPr>
                <w:rStyle w:val="IndexLink"/>
              </w:rPr>
              <w:t>194</w:t>
            </w:r>
          </w:hyperlink>
        </w:p>
        <w:p>
          <w:pPr>
            <w:pStyle w:val="Contents4"/>
            <w:tabs>
              <w:tab w:val="clear" w:pos="8176"/>
              <w:tab w:val="right" w:pos="9026" w:leader="dot"/>
            </w:tabs>
            <w:rPr/>
          </w:pPr>
          <w:hyperlink w:anchor="__RefHeading___Toc2226084_1051229030">
            <w:r>
              <w:rPr>
                <w:webHidden/>
                <w:rStyle w:val="IndexLink"/>
                <w:rtl w:val="true"/>
              </w:rPr>
              <w:t>د</w:t>
            </w:r>
            <w:r>
              <w:rPr>
                <w:rStyle w:val="IndexLink"/>
                <w:rtl w:val="true"/>
              </w:rPr>
              <w:t xml:space="preserve">: </w:t>
            </w:r>
            <w:r>
              <w:rPr>
                <w:rStyle w:val="IndexLink"/>
                <w:rtl w:val="true"/>
              </w:rPr>
              <w:t>ما ذكره من كون امام الزمان عليه السلام وراء الناقلين للشريعة</w:t>
            </w:r>
            <w:r>
              <w:rPr>
                <w:rStyle w:val="IndexLink"/>
                <w:rtl w:val="true"/>
              </w:rPr>
              <w:t>:</w:t>
              <w:tab/>
            </w:r>
            <w:r>
              <w:rPr>
                <w:rStyle w:val="IndexLink"/>
              </w:rPr>
              <w:t>202</w:t>
            </w:r>
          </w:hyperlink>
        </w:p>
        <w:p>
          <w:pPr>
            <w:pStyle w:val="Contents4"/>
            <w:tabs>
              <w:tab w:val="clear" w:pos="8176"/>
              <w:tab w:val="right" w:pos="9026" w:leader="dot"/>
            </w:tabs>
            <w:rPr/>
          </w:pPr>
          <w:hyperlink w:anchor="__RefHeading___Toc2226086_1051229030">
            <w:r>
              <w:rPr>
                <w:webHidden/>
                <w:rStyle w:val="IndexLink"/>
                <w:rtl w:val="true"/>
              </w:rPr>
              <w:t>ه</w:t>
            </w:r>
            <w:r>
              <w:rPr>
                <w:rStyle w:val="IndexLink"/>
                <w:rtl w:val="true"/>
              </w:rPr>
              <w:t xml:space="preserve">: </w:t>
            </w:r>
            <w:r>
              <w:rPr>
                <w:rStyle w:val="IndexLink"/>
                <w:rtl w:val="true"/>
              </w:rPr>
              <w:t xml:space="preserve">ما ذكره من الحديث بأنّ بني عبد المطّلب </w:t>
            </w:r>
            <w:r>
              <w:rPr>
                <w:rStyle w:val="IndexLink"/>
                <w:rtl w:val="true"/>
              </w:rPr>
              <w:t xml:space="preserve">- </w:t>
            </w:r>
            <w:r>
              <w:rPr>
                <w:rStyle w:val="IndexLink"/>
                <w:rtl w:val="true"/>
              </w:rPr>
              <w:t xml:space="preserve">و منهم المهدي عليه السلام </w:t>
            </w:r>
            <w:r>
              <w:rPr>
                <w:rStyle w:val="IndexLink"/>
                <w:rtl w:val="true"/>
              </w:rPr>
              <w:t xml:space="preserve">- </w:t>
            </w:r>
            <w:r>
              <w:rPr>
                <w:rStyle w:val="IndexLink"/>
                <w:rtl w:val="true"/>
              </w:rPr>
              <w:t>هم سادة أهل الجنّة</w:t>
            </w:r>
            <w:r>
              <w:rPr>
                <w:rStyle w:val="IndexLink"/>
                <w:rtl w:val="true"/>
              </w:rPr>
              <w:t>:</w:t>
              <w:tab/>
            </w:r>
            <w:r>
              <w:rPr>
                <w:rStyle w:val="IndexLink"/>
              </w:rPr>
              <w:t>204</w:t>
            </w:r>
          </w:hyperlink>
        </w:p>
        <w:p>
          <w:pPr>
            <w:pStyle w:val="Contents4"/>
            <w:tabs>
              <w:tab w:val="clear" w:pos="8176"/>
              <w:tab w:val="right" w:pos="9026" w:leader="dot"/>
            </w:tabs>
            <w:rPr/>
          </w:pPr>
          <w:hyperlink w:anchor="__RefHeading___Toc2226088_1051229030">
            <w:r>
              <w:rPr>
                <w:webHidden/>
                <w:rStyle w:val="IndexLink"/>
                <w:rtl w:val="true"/>
              </w:rPr>
              <w:t>و</w:t>
            </w:r>
            <w:r>
              <w:rPr>
                <w:rStyle w:val="IndexLink"/>
                <w:rtl w:val="true"/>
              </w:rPr>
              <w:t xml:space="preserve">: </w:t>
            </w:r>
            <w:r>
              <w:rPr>
                <w:rStyle w:val="IndexLink"/>
                <w:rtl w:val="true"/>
              </w:rPr>
              <w:t>كيفيّة النصّ على الإمام عليه السلام مع غيبته و أنّ الخوف هل يكفي للغيبة أم لا؟</w:t>
            </w:r>
            <w:r>
              <w:rPr>
                <w:rStyle w:val="IndexLink"/>
                <w:rtl w:val="true"/>
              </w:rPr>
              <w:t>:</w:t>
              <w:tab/>
            </w:r>
            <w:r>
              <w:rPr>
                <w:rStyle w:val="IndexLink"/>
              </w:rPr>
              <w:t>204</w:t>
            </w:r>
          </w:hyperlink>
        </w:p>
        <w:p>
          <w:pPr>
            <w:pStyle w:val="Contents4"/>
            <w:tabs>
              <w:tab w:val="clear" w:pos="8176"/>
              <w:tab w:val="right" w:pos="9026" w:leader="dot"/>
            </w:tabs>
            <w:rPr/>
          </w:pPr>
          <w:hyperlink w:anchor="__RefHeading___Toc2226090_1051229030">
            <w:r>
              <w:rPr>
                <w:webHidden/>
                <w:rStyle w:val="IndexLink"/>
                <w:rtl w:val="true"/>
              </w:rPr>
              <w:t>ز</w:t>
            </w:r>
            <w:r>
              <w:rPr>
                <w:rStyle w:val="IndexLink"/>
                <w:rtl w:val="true"/>
              </w:rPr>
              <w:t xml:space="preserve">: </w:t>
            </w:r>
            <w:r>
              <w:rPr>
                <w:rStyle w:val="IndexLink"/>
                <w:rtl w:val="true"/>
              </w:rPr>
              <w:t>تأويل آية</w:t>
            </w:r>
            <w:r>
              <w:rPr>
                <w:rStyle w:val="IndexLink"/>
                <w:rtl w:val="true"/>
              </w:rPr>
              <w:t>: (</w:t>
            </w:r>
            <w:r>
              <w:rPr>
                <w:rStyle w:val="IndexLink"/>
                <w:rtl w:val="true"/>
              </w:rPr>
              <w:t>وَعَدَ اللّهُ الَّذِينَ آمَنُوا مِنْكُمْ وَ عَمِلُوا الصّالِحاتِ لَيَسْتَخْلِفَنَّهُمْ فِي الْأَرْضِ</w:t>
            </w:r>
            <w:r>
              <w:rPr>
                <w:rStyle w:val="IndexLink"/>
                <w:rtl w:val="true"/>
              </w:rPr>
              <w:t>)</w:t>
              <w:tab/>
            </w:r>
            <w:r>
              <w:rPr>
                <w:rStyle w:val="IndexLink"/>
              </w:rPr>
              <w:t>216</w:t>
            </w:r>
          </w:hyperlink>
        </w:p>
        <w:p>
          <w:pPr>
            <w:pStyle w:val="Contents3"/>
            <w:tabs>
              <w:tab w:val="clear" w:pos="8459"/>
              <w:tab w:val="right" w:pos="9026" w:leader="dot"/>
            </w:tabs>
            <w:rPr/>
          </w:pPr>
          <w:hyperlink w:anchor="__RefHeading___Toc2226092_1051229030">
            <w:r>
              <w:rPr>
                <w:webHidden/>
                <w:rStyle w:val="IndexLink"/>
              </w:rPr>
              <w:t>2</w:t>
            </w:r>
            <w:r>
              <w:rPr>
                <w:rStyle w:val="IndexLink"/>
                <w:rtl w:val="true"/>
              </w:rPr>
              <w:t xml:space="preserve"> - </w:t>
            </w:r>
            <w:r>
              <w:rPr>
                <w:rStyle w:val="IndexLink"/>
                <w:rtl w:val="true"/>
              </w:rPr>
              <w:t>ما ذكره في الديوان</w:t>
            </w:r>
            <w:r>
              <w:rPr>
                <w:rStyle w:val="IndexLink"/>
                <w:rtl w:val="true"/>
              </w:rPr>
              <w:tab/>
            </w:r>
            <w:r>
              <w:rPr>
                <w:rStyle w:val="IndexLink"/>
              </w:rPr>
              <w:t>219</w:t>
            </w:r>
          </w:hyperlink>
        </w:p>
        <w:p>
          <w:pPr>
            <w:pStyle w:val="Contents3"/>
            <w:tabs>
              <w:tab w:val="clear" w:pos="8459"/>
              <w:tab w:val="right" w:pos="9026" w:leader="dot"/>
            </w:tabs>
            <w:rPr/>
          </w:pPr>
          <w:hyperlink w:anchor="__RefHeading___Toc2226094_1051229030">
            <w:r>
              <w:rPr>
                <w:webHidden/>
                <w:rStyle w:val="IndexLink"/>
              </w:rPr>
              <w:t>3</w:t>
            </w:r>
            <w:r>
              <w:rPr>
                <w:rStyle w:val="IndexLink"/>
                <w:rtl w:val="true"/>
              </w:rPr>
              <w:t xml:space="preserve"> - </w:t>
            </w:r>
            <w:r>
              <w:rPr>
                <w:rStyle w:val="IndexLink"/>
                <w:rtl w:val="true"/>
              </w:rPr>
              <w:t xml:space="preserve">ما ذكره في كتاب </w:t>
            </w:r>
            <w:r>
              <w:rPr>
                <w:rStyle w:val="IndexLink"/>
                <w:rtl w:val="true"/>
              </w:rPr>
              <w:t>«</w:t>
            </w:r>
            <w:r>
              <w:rPr>
                <w:rStyle w:val="IndexLink"/>
                <w:rtl w:val="true"/>
              </w:rPr>
              <w:t>تنزيه الأنبياء</w:t>
            </w:r>
            <w:r>
              <w:rPr>
                <w:rStyle w:val="IndexLink"/>
                <w:rtl w:val="true"/>
              </w:rPr>
              <w:t>»</w:t>
              <w:tab/>
            </w:r>
            <w:r>
              <w:rPr>
                <w:rStyle w:val="IndexLink"/>
              </w:rPr>
              <w:t>225</w:t>
            </w:r>
          </w:hyperlink>
        </w:p>
        <w:p>
          <w:pPr>
            <w:pStyle w:val="Contents4"/>
            <w:tabs>
              <w:tab w:val="clear" w:pos="8176"/>
              <w:tab w:val="right" w:pos="9026" w:leader="dot"/>
            </w:tabs>
            <w:rPr/>
          </w:pPr>
          <w:hyperlink w:anchor="__RefHeading___Toc2226096_105122903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226098_1051229030">
            <w:r>
              <w:rPr>
                <w:webHidden/>
                <w:rStyle w:val="IndexLink"/>
                <w:rtl w:val="true"/>
              </w:rPr>
              <w:t>القائم المهديّ عليه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2226100_1051229030">
            <w:r>
              <w:rPr>
                <w:webHidden/>
                <w:rStyle w:val="IndexLink"/>
                <w:rtl w:val="true"/>
              </w:rPr>
              <w:t>الوجهُ في غَيبتِه عليه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2226102_1051229030">
            <w:r>
              <w:rPr>
                <w:webHidden/>
                <w:rStyle w:val="IndexLink"/>
                <w:rtl w:val="true"/>
              </w:rPr>
              <w:t>المصلحةُ بوجودِه عليه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2226104_1051229030">
            <w:r>
              <w:rPr>
                <w:webHidden/>
                <w:rStyle w:val="IndexLink"/>
                <w:rtl w:val="true"/>
              </w:rPr>
              <w:t>حكمةُ وجودِ الإمامِ و هو غائبٌ عن الناسِ‌</w:t>
            </w:r>
            <w:r>
              <w:rPr>
                <w:rStyle w:val="IndexLink"/>
                <w:rtl w:val="true"/>
              </w:rPr>
              <w:tab/>
            </w:r>
            <w:r>
              <w:rPr>
                <w:rStyle w:val="IndexLink"/>
              </w:rPr>
              <w:t>227</w:t>
            </w:r>
          </w:hyperlink>
        </w:p>
        <w:p>
          <w:pPr>
            <w:pStyle w:val="Contents5"/>
            <w:tabs>
              <w:tab w:val="clear" w:pos="7892"/>
              <w:tab w:val="right" w:pos="9026" w:leader="dot"/>
            </w:tabs>
            <w:rPr/>
          </w:pPr>
          <w:hyperlink w:anchor="__RefHeading___Toc2226106_1051229030">
            <w:r>
              <w:rPr>
                <w:webHidden/>
                <w:rStyle w:val="IndexLink"/>
                <w:rtl w:val="true"/>
              </w:rPr>
              <w:t>حُكمُ الحدودِ في الشريعةِ في زمنِ الغَيبةِ‌</w:t>
            </w:r>
            <w:r>
              <w:rPr>
                <w:rStyle w:val="IndexLink"/>
                <w:rtl w:val="true"/>
              </w:rPr>
              <w:tab/>
            </w:r>
            <w:r>
              <w:rPr>
                <w:rStyle w:val="IndexLink"/>
              </w:rPr>
              <w:t>228</w:t>
            </w:r>
          </w:hyperlink>
        </w:p>
        <w:p>
          <w:pPr>
            <w:pStyle w:val="Contents5"/>
            <w:tabs>
              <w:tab w:val="clear" w:pos="7892"/>
              <w:tab w:val="right" w:pos="9026" w:leader="dot"/>
            </w:tabs>
            <w:rPr/>
          </w:pPr>
          <w:hyperlink w:anchor="__RefHeading___Toc2226108_1051229030">
            <w:r>
              <w:rPr>
                <w:webHidden/>
                <w:rStyle w:val="IndexLink"/>
                <w:rtl w:val="true"/>
              </w:rPr>
              <w:t>طريقُ كشفِ الحقّ مع غَيبةِ الإمامِ‌</w:t>
            </w:r>
            <w:r>
              <w:rPr>
                <w:rStyle w:val="IndexLink"/>
                <w:rtl w:val="true"/>
              </w:rPr>
              <w:tab/>
            </w:r>
            <w:r>
              <w:rPr>
                <w:rStyle w:val="IndexLink"/>
              </w:rPr>
              <w:t>229</w:t>
            </w:r>
          </w:hyperlink>
        </w:p>
        <w:p>
          <w:pPr>
            <w:pStyle w:val="Contents5"/>
            <w:tabs>
              <w:tab w:val="clear" w:pos="7892"/>
              <w:tab w:val="right" w:pos="9026" w:leader="dot"/>
            </w:tabs>
            <w:rPr/>
          </w:pPr>
          <w:hyperlink w:anchor="__RefHeading___Toc2226110_1051229030">
            <w:r>
              <w:rPr>
                <w:webHidden/>
                <w:rStyle w:val="IndexLink"/>
                <w:rtl w:val="true"/>
              </w:rPr>
              <w:t>علّةُ عدمِ كونِه عليه السلام ظاهراً لأوليائه و شيعتِه مع عدمِ خوفِه منهم</w:t>
            </w:r>
            <w:r>
              <w:rPr>
                <w:rStyle w:val="IndexLink"/>
                <w:rtl w:val="true"/>
              </w:rPr>
              <w:tab/>
            </w:r>
            <w:r>
              <w:rPr>
                <w:rStyle w:val="IndexLink"/>
              </w:rPr>
              <w:t>230</w:t>
            </w:r>
          </w:hyperlink>
        </w:p>
        <w:p>
          <w:pPr>
            <w:pStyle w:val="Contents3"/>
            <w:tabs>
              <w:tab w:val="clear" w:pos="8459"/>
              <w:tab w:val="right" w:pos="9026" w:leader="dot"/>
            </w:tabs>
            <w:rPr/>
          </w:pPr>
          <w:hyperlink w:anchor="__RefHeading___Toc2226112_1051229030">
            <w:r>
              <w:rPr>
                <w:webHidden/>
                <w:rStyle w:val="IndexLink"/>
              </w:rPr>
              <w:t>4</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جواب المسائل التبّانيّات</w:t>
            </w:r>
            <w:r>
              <w:rPr>
                <w:rStyle w:val="IndexLink"/>
                <w:rtl w:val="true"/>
              </w:rPr>
              <w:t>»</w:t>
              <w:tab/>
            </w:r>
            <w:r>
              <w:rPr>
                <w:rStyle w:val="IndexLink"/>
              </w:rPr>
              <w:t>233</w:t>
            </w:r>
          </w:hyperlink>
        </w:p>
        <w:p>
          <w:pPr>
            <w:pStyle w:val="Contents4"/>
            <w:tabs>
              <w:tab w:val="clear" w:pos="8176"/>
              <w:tab w:val="right" w:pos="9026" w:leader="dot"/>
            </w:tabs>
            <w:rPr/>
          </w:pPr>
          <w:hyperlink w:anchor="__RefHeading___Toc2226114_105122903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226116_1051229030">
            <w:r>
              <w:rPr>
                <w:webHidden/>
                <w:rStyle w:val="IndexLink"/>
                <w:rtl w:val="true"/>
              </w:rPr>
              <w:t>ألف</w:t>
            </w:r>
            <w:r>
              <w:rPr>
                <w:rStyle w:val="IndexLink"/>
                <w:rtl w:val="true"/>
              </w:rPr>
              <w:t xml:space="preserve">: </w:t>
            </w:r>
            <w:r>
              <w:rPr>
                <w:rStyle w:val="IndexLink"/>
                <w:rtl w:val="true"/>
              </w:rPr>
              <w:t>كلامه في أنّ الإمام عليه السلام داخل في الإجماع</w:t>
            </w:r>
            <w:r>
              <w:rPr>
                <w:rStyle w:val="IndexLink"/>
                <w:rtl w:val="true"/>
              </w:rPr>
              <w:t>:</w:t>
              <w:tab/>
            </w:r>
            <w:r>
              <w:rPr>
                <w:rStyle w:val="IndexLink"/>
              </w:rPr>
              <w:t>233</w:t>
            </w:r>
          </w:hyperlink>
        </w:p>
        <w:p>
          <w:pPr>
            <w:pStyle w:val="Contents4"/>
            <w:tabs>
              <w:tab w:val="clear" w:pos="8176"/>
              <w:tab w:val="right" w:pos="9026" w:leader="dot"/>
            </w:tabs>
            <w:rPr/>
          </w:pPr>
          <w:hyperlink w:anchor="__RefHeading___Toc2226118_1051229030">
            <w:r>
              <w:rPr>
                <w:webHidden/>
                <w:rStyle w:val="IndexLink"/>
                <w:rtl w:val="true"/>
              </w:rPr>
              <w:t>ب</w:t>
            </w:r>
            <w:r>
              <w:rPr>
                <w:rStyle w:val="IndexLink"/>
                <w:rtl w:val="true"/>
              </w:rPr>
              <w:t xml:space="preserve">: </w:t>
            </w:r>
            <w:r>
              <w:rPr>
                <w:rStyle w:val="IndexLink"/>
                <w:rtl w:val="true"/>
              </w:rPr>
              <w:t>كلامه في فلسفة الغيبة و حفظ الشريعة بوجود الإمام عليه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2226120_1051229030">
            <w:r>
              <w:rPr>
                <w:webHidden/>
                <w:rStyle w:val="IndexLink"/>
              </w:rPr>
              <w:t>5</w:t>
            </w:r>
            <w:r>
              <w:rPr>
                <w:rStyle w:val="IndexLink"/>
                <w:rtl w:val="true"/>
              </w:rPr>
              <w:t xml:space="preserve"> - </w:t>
            </w:r>
            <w:r>
              <w:rPr>
                <w:rStyle w:val="IndexLink"/>
                <w:rtl w:val="true"/>
              </w:rPr>
              <w:t xml:space="preserve">ما ذكره في كتاب </w:t>
            </w:r>
            <w:r>
              <w:rPr>
                <w:rStyle w:val="IndexLink"/>
                <w:rtl w:val="true"/>
              </w:rPr>
              <w:t>«</w:t>
            </w:r>
            <w:r>
              <w:rPr>
                <w:rStyle w:val="IndexLink"/>
                <w:rtl w:val="true"/>
              </w:rPr>
              <w:t>الفصول المختارة من العيون و المحاسن</w:t>
            </w:r>
            <w:r>
              <w:rPr>
                <w:rStyle w:val="IndexLink"/>
                <w:rtl w:val="true"/>
              </w:rPr>
              <w:t>»</w:t>
              <w:tab/>
            </w:r>
            <w:r>
              <w:rPr>
                <w:rStyle w:val="IndexLink"/>
              </w:rPr>
              <w:t>247</w:t>
            </w:r>
          </w:hyperlink>
        </w:p>
        <w:p>
          <w:pPr>
            <w:pStyle w:val="Contents4"/>
            <w:tabs>
              <w:tab w:val="clear" w:pos="8176"/>
              <w:tab w:val="right" w:pos="9026" w:leader="dot"/>
            </w:tabs>
            <w:rPr/>
          </w:pPr>
          <w:hyperlink w:anchor="__RefHeading___Toc2226122_1051229030">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2226124_1051229030">
            <w:r>
              <w:rPr>
                <w:webHidden/>
                <w:rStyle w:val="IndexLink"/>
                <w:rtl w:val="true"/>
              </w:rPr>
              <w:t>ألف</w:t>
            </w:r>
            <w:r>
              <w:rPr>
                <w:rStyle w:val="IndexLink"/>
                <w:rtl w:val="true"/>
              </w:rPr>
              <w:t xml:space="preserve">: </w:t>
            </w:r>
            <w:r>
              <w:rPr>
                <w:rStyle w:val="IndexLink"/>
                <w:rtl w:val="true"/>
              </w:rPr>
              <w:t>تقيّة الإمام من العدوّ و الوليّ و لطف الغيبة في حقّ الأولياء</w:t>
            </w:r>
            <w:r>
              <w:rPr>
                <w:rStyle w:val="IndexLink"/>
                <w:rtl w:val="true"/>
              </w:rPr>
              <w:t>:</w:t>
              <w:tab/>
            </w:r>
            <w:r>
              <w:rPr>
                <w:rStyle w:val="IndexLink"/>
              </w:rPr>
              <w:t>247</w:t>
            </w:r>
          </w:hyperlink>
        </w:p>
        <w:p>
          <w:pPr>
            <w:pStyle w:val="Contents5"/>
            <w:tabs>
              <w:tab w:val="clear" w:pos="7892"/>
              <w:tab w:val="right" w:pos="9026" w:leader="dot"/>
            </w:tabs>
            <w:rPr/>
          </w:pPr>
          <w:hyperlink w:anchor="__RefHeading___Toc2226126_1051229030">
            <w:r>
              <w:rPr>
                <w:webHidden/>
                <w:rStyle w:val="IndexLink"/>
                <w:rtl w:val="true"/>
              </w:rPr>
              <w:t>الفصلُ الثامنُ و الأربعونَ مناظَرةٌ في الغَيبةِ للإمامِ المهديِّ عليه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2226128_1051229030">
            <w:r>
              <w:rPr>
                <w:webHidden/>
                <w:rStyle w:val="IndexLink"/>
                <w:rtl w:val="true"/>
              </w:rPr>
              <w:t>ب</w:t>
            </w:r>
            <w:r>
              <w:rPr>
                <w:rStyle w:val="IndexLink"/>
                <w:rtl w:val="true"/>
              </w:rPr>
              <w:t xml:space="preserve">: </w:t>
            </w:r>
            <w:r>
              <w:rPr>
                <w:rStyle w:val="IndexLink"/>
                <w:rtl w:val="true"/>
              </w:rPr>
              <w:t>حكايتُه مناظرةَ الشيخ المفيد في الرجعة</w:t>
            </w:r>
            <w:r>
              <w:rPr>
                <w:rStyle w:val="IndexLink"/>
                <w:rtl w:val="true"/>
              </w:rPr>
              <w:t>:</w:t>
              <w:tab/>
            </w:r>
            <w:r>
              <w:rPr>
                <w:rStyle w:val="IndexLink"/>
              </w:rPr>
              <w:t>256</w:t>
            </w:r>
          </w:hyperlink>
        </w:p>
        <w:p>
          <w:pPr>
            <w:pStyle w:val="Contents5"/>
            <w:tabs>
              <w:tab w:val="clear" w:pos="7892"/>
              <w:tab w:val="right" w:pos="9026" w:leader="dot"/>
            </w:tabs>
            <w:rPr/>
          </w:pPr>
          <w:hyperlink w:anchor="__RefHeading___Toc2226130_1051229030">
            <w:r>
              <w:rPr>
                <w:webHidden/>
                <w:rStyle w:val="IndexLink"/>
                <w:rtl w:val="true"/>
              </w:rPr>
              <w:t>الفصلُ الثامنُ و الخَمسونَ مناظَرةٌ في الرَّجعةِ‌</w:t>
            </w:r>
            <w:r>
              <w:rPr>
                <w:rStyle w:val="IndexLink"/>
                <w:rtl w:val="true"/>
              </w:rPr>
              <w:tab/>
            </w:r>
            <w:r>
              <w:rPr>
                <w:rStyle w:val="IndexLink"/>
              </w:rPr>
              <w:t>256</w:t>
            </w:r>
          </w:hyperlink>
        </w:p>
        <w:p>
          <w:pPr>
            <w:pStyle w:val="Contents6"/>
            <w:tabs>
              <w:tab w:val="clear" w:pos="7609"/>
              <w:tab w:val="right" w:pos="9026" w:leader="dot"/>
            </w:tabs>
            <w:rPr/>
          </w:pPr>
          <w:hyperlink w:anchor="__RefHeading___Toc2226132_105122903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2226134_1051229030">
            <w:r>
              <w:rPr>
                <w:webHidden/>
                <w:rStyle w:val="IndexLink"/>
                <w:rtl w:val="true"/>
              </w:rPr>
              <w:t>سؤال</w:t>
            </w:r>
            <w:r>
              <w:rPr>
                <w:rStyle w:val="IndexLink"/>
                <w:rtl w:val="true"/>
              </w:rPr>
              <w:t>:</w:t>
              <w:tab/>
            </w:r>
            <w:r>
              <w:rPr>
                <w:rStyle w:val="IndexLink"/>
              </w:rPr>
              <w:t>259</w:t>
            </w:r>
          </w:hyperlink>
        </w:p>
        <w:p>
          <w:pPr>
            <w:pStyle w:val="Contents6"/>
            <w:tabs>
              <w:tab w:val="clear" w:pos="7609"/>
              <w:tab w:val="right" w:pos="9026" w:leader="dot"/>
            </w:tabs>
            <w:rPr/>
          </w:pPr>
          <w:hyperlink w:anchor="__RefHeading___Toc2226136_1051229030">
            <w:r>
              <w:rPr>
                <w:webHidden/>
                <w:rStyle w:val="IndexLink"/>
                <w:rtl w:val="true"/>
              </w:rPr>
              <w:t>جواب</w:t>
            </w:r>
            <w:r>
              <w:rPr>
                <w:rStyle w:val="IndexLink"/>
                <w:rtl w:val="true"/>
              </w:rPr>
              <w:t>:</w:t>
              <w:tab/>
            </w:r>
            <w:r>
              <w:rPr>
                <w:rStyle w:val="IndexLink"/>
              </w:rPr>
              <w:t>259</w:t>
            </w:r>
          </w:hyperlink>
        </w:p>
        <w:p>
          <w:pPr>
            <w:pStyle w:val="Contents6"/>
            <w:tabs>
              <w:tab w:val="clear" w:pos="7609"/>
              <w:tab w:val="right" w:pos="9026" w:leader="dot"/>
            </w:tabs>
            <w:rPr/>
          </w:pPr>
          <w:hyperlink w:anchor="__RefHeading___Toc2226138_1051229030">
            <w:r>
              <w:rPr>
                <w:webHidden/>
                <w:rStyle w:val="IndexLink"/>
                <w:rtl w:val="true"/>
              </w:rPr>
              <w:t>سؤالٌ آخَرُ</w:t>
            </w:r>
            <w:r>
              <w:rPr>
                <w:rStyle w:val="IndexLink"/>
                <w:rtl w:val="true"/>
              </w:rPr>
              <w:t>:</w:t>
              <w:tab/>
            </w:r>
            <w:r>
              <w:rPr>
                <w:rStyle w:val="IndexLink"/>
              </w:rPr>
              <w:t>260</w:t>
            </w:r>
          </w:hyperlink>
        </w:p>
        <w:p>
          <w:pPr>
            <w:pStyle w:val="Contents6"/>
            <w:tabs>
              <w:tab w:val="clear" w:pos="7609"/>
              <w:tab w:val="right" w:pos="9026" w:leader="dot"/>
            </w:tabs>
            <w:rPr/>
          </w:pPr>
          <w:hyperlink w:anchor="__RefHeading___Toc2226140_1051229030">
            <w:r>
              <w:rPr>
                <w:webHidden/>
                <w:rStyle w:val="IndexLink"/>
                <w:rtl w:val="true"/>
              </w:rPr>
              <w:t>جوابٌ</w:t>
            </w:r>
            <w:r>
              <w:rPr>
                <w:rStyle w:val="IndexLink"/>
                <w:rtl w:val="true"/>
              </w:rPr>
              <w:t>:</w:t>
              <w:tab/>
            </w:r>
            <w:r>
              <w:rPr>
                <w:rStyle w:val="IndexLink"/>
              </w:rPr>
              <w:t>260</w:t>
            </w:r>
          </w:hyperlink>
        </w:p>
        <w:p>
          <w:pPr>
            <w:pStyle w:val="Contents4"/>
            <w:tabs>
              <w:tab w:val="clear" w:pos="8176"/>
              <w:tab w:val="right" w:pos="9026" w:leader="dot"/>
            </w:tabs>
            <w:rPr/>
          </w:pPr>
          <w:hyperlink w:anchor="__RefHeading___Toc2226142_1051229030">
            <w:r>
              <w:rPr>
                <w:webHidden/>
                <w:rStyle w:val="IndexLink"/>
                <w:rtl w:val="true"/>
              </w:rPr>
              <w:t>ج</w:t>
            </w:r>
            <w:r>
              <w:rPr>
                <w:rStyle w:val="IndexLink"/>
                <w:rtl w:val="true"/>
              </w:rPr>
              <w:t xml:space="preserve">: </w:t>
            </w:r>
            <w:r>
              <w:rPr>
                <w:rStyle w:val="IndexLink"/>
                <w:rtl w:val="true"/>
              </w:rPr>
              <w:t>حكايته عن المفيد افتراقَ الشيعة بعد الإمام أبي محمّد العسكري عليه السلام</w:t>
            </w:r>
            <w:r>
              <w:rPr>
                <w:rStyle w:val="IndexLink"/>
                <w:rtl w:val="true"/>
              </w:rPr>
              <w:t>:</w:t>
              <w:tab/>
            </w:r>
            <w:r>
              <w:rPr>
                <w:rStyle w:val="IndexLink"/>
              </w:rPr>
              <w:t>261</w:t>
            </w:r>
          </w:hyperlink>
        </w:p>
        <w:p>
          <w:pPr>
            <w:pStyle w:val="Contents5"/>
            <w:tabs>
              <w:tab w:val="clear" w:pos="7892"/>
              <w:tab w:val="right" w:pos="9026" w:leader="dot"/>
            </w:tabs>
            <w:rPr/>
          </w:pPr>
          <w:hyperlink w:anchor="__RefHeading___Toc2226144_1051229030">
            <w:r>
              <w:rPr>
                <w:webHidden/>
                <w:rStyle w:val="IndexLink"/>
                <w:rtl w:val="true"/>
              </w:rPr>
              <w:t>الفصلُ الرابعُ و التسعونَ في افتراقِ الشيعةِ بَعدَ وفاةِ الإمام الحسنِ العسكريِّ عليه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2226146_1051229030">
            <w:r>
              <w:rPr>
                <w:webHidden/>
                <w:rStyle w:val="IndexLink"/>
                <w:rtl w:val="true"/>
              </w:rPr>
              <w:t>الفصل الخامسُ و التسعونَ في الردِّ علَى الفِرَقِ الضالّةِ عن طريقِ الهُدى‌</w:t>
            </w:r>
            <w:r>
              <w:rPr>
                <w:rStyle w:val="IndexLink"/>
                <w:rtl w:val="true"/>
              </w:rPr>
              <w:tab/>
            </w:r>
            <w:r>
              <w:rPr>
                <w:rStyle w:val="IndexLink"/>
              </w:rPr>
              <w:t>266</w:t>
            </w:r>
          </w:hyperlink>
        </w:p>
        <w:p>
          <w:pPr>
            <w:pStyle w:val="Contents4"/>
            <w:tabs>
              <w:tab w:val="clear" w:pos="8176"/>
              <w:tab w:val="right" w:pos="9026" w:leader="dot"/>
            </w:tabs>
            <w:rPr/>
          </w:pPr>
          <w:hyperlink w:anchor="__RefHeading___Toc2226148_1051229030">
            <w:r>
              <w:rPr>
                <w:webHidden/>
                <w:rStyle w:val="IndexLink"/>
                <w:rtl w:val="true"/>
              </w:rPr>
              <w:t>د</w:t>
            </w:r>
            <w:r>
              <w:rPr>
                <w:rStyle w:val="IndexLink"/>
                <w:rtl w:val="true"/>
              </w:rPr>
              <w:t xml:space="preserve">. </w:t>
            </w:r>
            <w:r>
              <w:rPr>
                <w:rStyle w:val="IndexLink"/>
                <w:rtl w:val="true"/>
              </w:rPr>
              <w:t>فلسفة الغيبة</w:t>
            </w:r>
            <w:r>
              <w:rPr>
                <w:rStyle w:val="IndexLink"/>
                <w:rtl w:val="true"/>
              </w:rPr>
              <w:t>:</w:t>
              <w:tab/>
            </w:r>
            <w:r>
              <w:rPr>
                <w:rStyle w:val="IndexLink"/>
              </w:rPr>
              <w:t>272</w:t>
            </w:r>
          </w:hyperlink>
        </w:p>
        <w:p>
          <w:pPr>
            <w:pStyle w:val="Contents5"/>
            <w:tabs>
              <w:tab w:val="clear" w:pos="7892"/>
              <w:tab w:val="right" w:pos="9026" w:leader="dot"/>
            </w:tabs>
            <w:rPr/>
          </w:pPr>
          <w:hyperlink w:anchor="__RefHeading___Toc2226150_1051229030">
            <w:r>
              <w:rPr>
                <w:webHidden/>
                <w:rStyle w:val="IndexLink"/>
                <w:rtl w:val="true"/>
              </w:rPr>
              <w:t>الفصلُ السادسُ و التسعونَ في الغَيبةِ‌</w:t>
            </w:r>
            <w:r>
              <w:rPr>
                <w:rStyle w:val="IndexLink"/>
                <w:rtl w:val="true"/>
              </w:rPr>
              <w:tab/>
            </w:r>
            <w:r>
              <w:rPr>
                <w:rStyle w:val="IndexLink"/>
              </w:rPr>
              <w:t>272</w:t>
            </w:r>
          </w:hyperlink>
        </w:p>
        <w:p>
          <w:pPr>
            <w:pStyle w:val="Contents3"/>
            <w:tabs>
              <w:tab w:val="clear" w:pos="8459"/>
              <w:tab w:val="right" w:pos="9026" w:leader="dot"/>
            </w:tabs>
            <w:rPr/>
          </w:pPr>
          <w:hyperlink w:anchor="__RefHeading___Toc2226152_1051229030">
            <w:r>
              <w:rPr>
                <w:webHidden/>
                <w:rStyle w:val="IndexLink"/>
              </w:rPr>
              <w:t>6</w:t>
            </w:r>
            <w:r>
              <w:rPr>
                <w:rStyle w:val="IndexLink"/>
                <w:rtl w:val="true"/>
              </w:rPr>
              <w:t xml:space="preserve"> - </w:t>
            </w:r>
            <w:r>
              <w:rPr>
                <w:rStyle w:val="IndexLink"/>
                <w:rtl w:val="true"/>
              </w:rPr>
              <w:t xml:space="preserve">ما ذكره في كتاب </w:t>
            </w:r>
            <w:r>
              <w:rPr>
                <w:rStyle w:val="IndexLink"/>
                <w:rtl w:val="true"/>
              </w:rPr>
              <w:t>«</w:t>
            </w:r>
            <w:r>
              <w:rPr>
                <w:rStyle w:val="IndexLink"/>
                <w:rtl w:val="true"/>
              </w:rPr>
              <w:t>الأمالي</w:t>
            </w:r>
            <w:r>
              <w:rPr>
                <w:rStyle w:val="IndexLink"/>
                <w:rtl w:val="true"/>
              </w:rPr>
              <w:t>»</w:t>
              <w:tab/>
            </w:r>
            <w:r>
              <w:rPr>
                <w:rStyle w:val="IndexLink"/>
              </w:rPr>
              <w:t>277</w:t>
            </w:r>
          </w:hyperlink>
        </w:p>
        <w:p>
          <w:pPr>
            <w:pStyle w:val="Contents3"/>
            <w:tabs>
              <w:tab w:val="clear" w:pos="8459"/>
              <w:tab w:val="right" w:pos="9026" w:leader="dot"/>
            </w:tabs>
            <w:rPr/>
          </w:pPr>
          <w:hyperlink w:anchor="__RefHeading___Toc2226154_1051229030">
            <w:r>
              <w:rPr>
                <w:webHidden/>
                <w:rStyle w:val="IndexLink"/>
              </w:rPr>
              <w:t>7</w:t>
            </w:r>
            <w:r>
              <w:rPr>
                <w:rStyle w:val="IndexLink"/>
                <w:rtl w:val="true"/>
              </w:rPr>
              <w:t xml:space="preserve"> - </w:t>
            </w:r>
            <w:r>
              <w:rPr>
                <w:rStyle w:val="IndexLink"/>
                <w:rtl w:val="true"/>
              </w:rPr>
              <w:t>رسالةٌ في غَيبةِ الحُجّةِ‌</w:t>
            </w:r>
            <w:r>
              <w:rPr>
                <w:rStyle w:val="IndexLink"/>
                <w:rtl w:val="true"/>
              </w:rPr>
              <w:tab/>
            </w:r>
            <w:r>
              <w:rPr>
                <w:rStyle w:val="IndexLink"/>
              </w:rPr>
              <w:t>279</w:t>
            </w:r>
          </w:hyperlink>
        </w:p>
        <w:p>
          <w:pPr>
            <w:pStyle w:val="Contents3"/>
            <w:tabs>
              <w:tab w:val="clear" w:pos="8459"/>
              <w:tab w:val="right" w:pos="9026" w:leader="dot"/>
            </w:tabs>
            <w:rPr/>
          </w:pPr>
          <w:hyperlink w:anchor="__RefHeading___Toc2226156_1051229030">
            <w:r>
              <w:rPr>
                <w:webHidden/>
                <w:rStyle w:val="IndexLink"/>
              </w:rPr>
              <w:t>8</w:t>
            </w:r>
            <w:r>
              <w:rPr>
                <w:rStyle w:val="IndexLink"/>
                <w:rtl w:val="true"/>
              </w:rPr>
              <w:t xml:space="preserve"> - </w:t>
            </w:r>
            <w:r>
              <w:rPr>
                <w:rStyle w:val="IndexLink"/>
                <w:rtl w:val="true"/>
              </w:rPr>
              <w:t xml:space="preserve">ما ذكره في كتاب </w:t>
            </w:r>
            <w:r>
              <w:rPr>
                <w:rStyle w:val="IndexLink"/>
                <w:rtl w:val="true"/>
              </w:rPr>
              <w:t>«</w:t>
            </w:r>
            <w:r>
              <w:rPr>
                <w:rStyle w:val="IndexLink"/>
                <w:rtl w:val="true"/>
              </w:rPr>
              <w:t>الذخيرة في علم الكلام</w:t>
            </w:r>
            <w:r>
              <w:rPr>
                <w:rStyle w:val="IndexLink"/>
                <w:rtl w:val="true"/>
              </w:rPr>
              <w:t>»</w:t>
              <w:tab/>
            </w:r>
            <w:r>
              <w:rPr>
                <w:rStyle w:val="IndexLink"/>
              </w:rPr>
              <w:t>285</w:t>
            </w:r>
          </w:hyperlink>
        </w:p>
        <w:p>
          <w:pPr>
            <w:pStyle w:val="Contents4"/>
            <w:tabs>
              <w:tab w:val="clear" w:pos="8176"/>
              <w:tab w:val="right" w:pos="9026" w:leader="dot"/>
            </w:tabs>
            <w:rPr/>
          </w:pPr>
          <w:hyperlink w:anchor="__RefHeading___Toc2226158_105122903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2226160_1051229030">
            <w:r>
              <w:rPr>
                <w:webHidden/>
                <w:rStyle w:val="IndexLink"/>
                <w:rtl w:val="true"/>
              </w:rPr>
              <w:t>ألف</w:t>
            </w:r>
            <w:r>
              <w:rPr>
                <w:rStyle w:val="IndexLink"/>
                <w:rtl w:val="true"/>
              </w:rPr>
              <w:t xml:space="preserve">: </w:t>
            </w:r>
            <w:r>
              <w:rPr>
                <w:rStyle w:val="IndexLink"/>
                <w:rtl w:val="true"/>
              </w:rPr>
              <w:t xml:space="preserve">نقل الغيبة عن الأئمّة الماضين </w:t>
            </w:r>
            <w:r>
              <w:rPr>
                <w:rStyle w:val="IndexLink"/>
                <w:rtl w:val="true"/>
              </w:rPr>
              <w:t>(</w:t>
            </w:r>
            <w:r>
              <w:rPr>
                <w:rStyle w:val="IndexLink"/>
                <w:rtl w:val="true"/>
              </w:rPr>
              <w:t>عليهم السلام</w:t>
            </w:r>
            <w:r>
              <w:rPr>
                <w:rStyle w:val="IndexLink"/>
                <w:rtl w:val="true"/>
              </w:rPr>
              <w:t>):</w:t>
              <w:tab/>
            </w:r>
            <w:r>
              <w:rPr>
                <w:rStyle w:val="IndexLink"/>
              </w:rPr>
              <w:t>285</w:t>
            </w:r>
          </w:hyperlink>
        </w:p>
        <w:p>
          <w:pPr>
            <w:pStyle w:val="Contents5"/>
            <w:tabs>
              <w:tab w:val="clear" w:pos="7892"/>
              <w:tab w:val="right" w:pos="9026" w:leader="dot"/>
            </w:tabs>
            <w:rPr/>
          </w:pPr>
          <w:hyperlink w:anchor="__RefHeading___Toc2226162_1051229030">
            <w:r>
              <w:rPr>
                <w:webHidden/>
                <w:rStyle w:val="IndexLink"/>
                <w:rtl w:val="true"/>
              </w:rPr>
              <w:t>فَصلٌ في الدَّلالةِ على صِحّةِ إمامةِ باقي الأئمّةِ الاثنَي عَشَرَ صَلَواتُ اللّهِ عَلَيهم</w:t>
            </w:r>
            <w:r>
              <w:rPr>
                <w:rStyle w:val="IndexLink"/>
                <w:rtl w:val="true"/>
              </w:rPr>
              <w:tab/>
            </w:r>
            <w:r>
              <w:rPr>
                <w:rStyle w:val="IndexLink"/>
              </w:rPr>
              <w:t>285</w:t>
            </w:r>
          </w:hyperlink>
        </w:p>
        <w:p>
          <w:pPr>
            <w:pStyle w:val="Contents4"/>
            <w:tabs>
              <w:tab w:val="clear" w:pos="8176"/>
              <w:tab w:val="right" w:pos="9026" w:leader="dot"/>
            </w:tabs>
            <w:rPr/>
          </w:pPr>
          <w:hyperlink w:anchor="__RefHeading___Toc2226164_1051229030">
            <w:r>
              <w:rPr>
                <w:webHidden/>
                <w:rStyle w:val="IndexLink"/>
                <w:rtl w:val="true"/>
              </w:rPr>
              <w:t>ب</w:t>
            </w:r>
            <w:r>
              <w:rPr>
                <w:rStyle w:val="IndexLink"/>
                <w:rtl w:val="true"/>
              </w:rPr>
              <w:t xml:space="preserve">: </w:t>
            </w:r>
            <w:r>
              <w:rPr>
                <w:rStyle w:val="IndexLink"/>
                <w:rtl w:val="true"/>
              </w:rPr>
              <w:t>فلسفة الغيبة و فائدة وجوده عليه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2226166_1051229030">
            <w:r>
              <w:rPr>
                <w:webHidden/>
                <w:rStyle w:val="IndexLink"/>
              </w:rPr>
              <w:t>9</w:t>
            </w:r>
            <w:r>
              <w:rPr>
                <w:rStyle w:val="IndexLink"/>
                <w:rtl w:val="true"/>
              </w:rPr>
              <w:t xml:space="preserve"> - </w:t>
            </w:r>
            <w:r>
              <w:rPr>
                <w:rStyle w:val="IndexLink"/>
                <w:rtl w:val="true"/>
              </w:rPr>
              <w:t xml:space="preserve">ما ذكره في كتاب </w:t>
            </w:r>
            <w:r>
              <w:rPr>
                <w:rStyle w:val="IndexLink"/>
                <w:rtl w:val="true"/>
              </w:rPr>
              <w:t>«</w:t>
            </w:r>
            <w:r>
              <w:rPr>
                <w:rStyle w:val="IndexLink"/>
                <w:rtl w:val="true"/>
              </w:rPr>
              <w:t>جمل العلم و العمل</w:t>
            </w:r>
            <w:r>
              <w:rPr>
                <w:rStyle w:val="IndexLink"/>
                <w:rtl w:val="true"/>
              </w:rPr>
              <w:t xml:space="preserve">» </w:t>
            </w:r>
            <w:r>
              <w:rPr>
                <w:rStyle w:val="IndexLink"/>
                <w:rtl w:val="true"/>
              </w:rPr>
              <w:t>و شرحه</w:t>
            </w:r>
            <w:r>
              <w:rPr>
                <w:rStyle w:val="IndexLink"/>
                <w:rtl w:val="true"/>
              </w:rPr>
              <w:tab/>
            </w:r>
            <w:r>
              <w:rPr>
                <w:rStyle w:val="IndexLink"/>
              </w:rPr>
              <w:t>299</w:t>
            </w:r>
          </w:hyperlink>
        </w:p>
        <w:p>
          <w:pPr>
            <w:pStyle w:val="Contents4"/>
            <w:tabs>
              <w:tab w:val="clear" w:pos="8176"/>
              <w:tab w:val="right" w:pos="9026" w:leader="dot"/>
            </w:tabs>
            <w:rPr/>
          </w:pPr>
          <w:hyperlink w:anchor="__RefHeading___Toc2226168_105122903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2226170_1051229030">
            <w:r>
              <w:rPr>
                <w:webHidden/>
                <w:rStyle w:val="IndexLink"/>
                <w:rtl w:val="true"/>
              </w:rPr>
              <w:t>سببُ غَيبةِ الإمامِ الثاني عَشَرَ</w:t>
            </w:r>
            <w:r>
              <w:rPr>
                <w:rStyle w:val="IndexLink"/>
                <w:rtl w:val="true"/>
              </w:rPr>
              <w:tab/>
            </w:r>
            <w:r>
              <w:rPr>
                <w:rStyle w:val="IndexLink"/>
              </w:rPr>
              <w:t>300</w:t>
            </w:r>
          </w:hyperlink>
        </w:p>
        <w:p>
          <w:pPr>
            <w:pStyle w:val="Contents4"/>
            <w:tabs>
              <w:tab w:val="clear" w:pos="8176"/>
              <w:tab w:val="right" w:pos="9026" w:leader="dot"/>
            </w:tabs>
            <w:rPr/>
          </w:pPr>
          <w:hyperlink w:anchor="__RefHeading___Toc2226172_1051229030">
            <w:r>
              <w:rPr>
                <w:webHidden/>
                <w:rStyle w:val="IndexLink"/>
                <w:rtl w:val="true"/>
              </w:rPr>
              <w:t>عَدَمُ ضَياع الشرعِ مع الغَيبةِ‌</w:t>
            </w:r>
            <w:r>
              <w:rPr>
                <w:rStyle w:val="IndexLink"/>
                <w:rtl w:val="true"/>
              </w:rPr>
              <w:tab/>
            </w:r>
            <w:r>
              <w:rPr>
                <w:rStyle w:val="IndexLink"/>
              </w:rPr>
              <w:t>302</w:t>
            </w:r>
          </w:hyperlink>
        </w:p>
        <w:p>
          <w:pPr>
            <w:pStyle w:val="Contents4"/>
            <w:tabs>
              <w:tab w:val="clear" w:pos="8176"/>
              <w:tab w:val="right" w:pos="9026" w:leader="dot"/>
            </w:tabs>
            <w:rPr/>
          </w:pPr>
          <w:hyperlink w:anchor="__RefHeading___Toc2226174_1051229030">
            <w:r>
              <w:rPr>
                <w:webHidden/>
                <w:rStyle w:val="IndexLink"/>
                <w:rtl w:val="true"/>
              </w:rPr>
              <w:t>طولُ غَيبتِه عليه السلامُ و زيادةُ عُمرِه</w:t>
            </w:r>
            <w:r>
              <w:rPr>
                <w:rStyle w:val="IndexLink"/>
                <w:rtl w:val="true"/>
              </w:rPr>
              <w:tab/>
            </w:r>
            <w:r>
              <w:rPr>
                <w:rStyle w:val="IndexLink"/>
              </w:rPr>
              <w:t>304</w:t>
            </w:r>
          </w:hyperlink>
        </w:p>
        <w:p>
          <w:pPr>
            <w:pStyle w:val="Contents3"/>
            <w:tabs>
              <w:tab w:val="clear" w:pos="8459"/>
              <w:tab w:val="right" w:pos="9026" w:leader="dot"/>
            </w:tabs>
            <w:rPr/>
          </w:pPr>
          <w:hyperlink w:anchor="__RefHeading___Toc2226176_1051229030">
            <w:r>
              <w:rPr>
                <w:webHidden/>
                <w:rStyle w:val="IndexLink"/>
              </w:rPr>
              <w:t>10</w:t>
            </w:r>
            <w:r>
              <w:rPr>
                <w:rStyle w:val="IndexLink"/>
                <w:rtl w:val="true"/>
              </w:rPr>
              <w:t xml:space="preserve"> - </w:t>
            </w:r>
            <w:r>
              <w:rPr>
                <w:rStyle w:val="IndexLink"/>
                <w:rtl w:val="true"/>
              </w:rPr>
              <w:t xml:space="preserve">ما ذكره في </w:t>
            </w:r>
            <w:r>
              <w:rPr>
                <w:rStyle w:val="IndexLink"/>
                <w:rtl w:val="true"/>
              </w:rPr>
              <w:t>«</w:t>
            </w:r>
            <w:r>
              <w:rPr>
                <w:rStyle w:val="IndexLink"/>
                <w:rtl w:val="true"/>
              </w:rPr>
              <w:t>أجوبة مسائل متفرّقة من الحديث و غيره</w:t>
            </w:r>
            <w:r>
              <w:rPr>
                <w:rStyle w:val="IndexLink"/>
                <w:rtl w:val="true"/>
              </w:rPr>
              <w:t>»</w:t>
              <w:tab/>
            </w:r>
            <w:r>
              <w:rPr>
                <w:rStyle w:val="IndexLink"/>
              </w:rPr>
              <w:t>307</w:t>
            </w:r>
          </w:hyperlink>
        </w:p>
        <w:p>
          <w:pPr>
            <w:pStyle w:val="Contents4"/>
            <w:tabs>
              <w:tab w:val="clear" w:pos="8176"/>
              <w:tab w:val="right" w:pos="9026" w:leader="dot"/>
            </w:tabs>
            <w:rPr/>
          </w:pPr>
          <w:hyperlink w:anchor="__RefHeading___Toc2226178_105122903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2226180_1051229030">
            <w:r>
              <w:rPr>
                <w:webHidden/>
                <w:rStyle w:val="IndexLink"/>
                <w:rtl w:val="true"/>
              </w:rPr>
              <w:t>ألف</w:t>
            </w:r>
            <w:r>
              <w:rPr>
                <w:rStyle w:val="IndexLink"/>
                <w:rtl w:val="true"/>
              </w:rPr>
              <w:t xml:space="preserve">: </w:t>
            </w:r>
            <w:r>
              <w:rPr>
                <w:rStyle w:val="IndexLink"/>
                <w:rtl w:val="true"/>
              </w:rPr>
              <w:t>كلامه في الرجعة</w:t>
            </w:r>
            <w:r>
              <w:rPr>
                <w:rStyle w:val="IndexLink"/>
                <w:rtl w:val="true"/>
              </w:rPr>
              <w:t>:</w:t>
              <w:tab/>
            </w:r>
            <w:r>
              <w:rPr>
                <w:rStyle w:val="IndexLink"/>
              </w:rPr>
              <w:t>307</w:t>
            </w:r>
          </w:hyperlink>
        </w:p>
        <w:p>
          <w:pPr>
            <w:pStyle w:val="Contents5"/>
            <w:tabs>
              <w:tab w:val="clear" w:pos="7892"/>
              <w:tab w:val="right" w:pos="9026" w:leader="dot"/>
            </w:tabs>
            <w:rPr/>
          </w:pPr>
          <w:hyperlink w:anchor="__RefHeading___Toc2226182_105122903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226184_1051229030">
            <w:r>
              <w:rPr>
                <w:webHidden/>
                <w:rStyle w:val="IndexLink"/>
                <w:rtl w:val="true"/>
              </w:rPr>
              <w:t>قُلنا</w:t>
            </w:r>
            <w:r>
              <w:rPr>
                <w:rStyle w:val="IndexLink"/>
                <w:rtl w:val="true"/>
              </w:rPr>
              <w:t xml:space="preserve">: </w:t>
            </w:r>
            <w:r>
              <w:rPr>
                <w:rStyle w:val="IndexLink"/>
                <w:rtl w:val="true"/>
              </w:rPr>
              <w:t>عن هذا جَوابانِ</w:t>
            </w:r>
            <w:r>
              <w:rPr>
                <w:rStyle w:val="IndexLink"/>
                <w:rtl w:val="true"/>
              </w:rPr>
              <w:t>:</w:t>
              <w:tab/>
            </w:r>
            <w:r>
              <w:rPr>
                <w:rStyle w:val="IndexLink"/>
              </w:rPr>
              <w:t>309</w:t>
            </w:r>
          </w:hyperlink>
        </w:p>
        <w:p>
          <w:pPr>
            <w:pStyle w:val="Contents4"/>
            <w:tabs>
              <w:tab w:val="clear" w:pos="8176"/>
              <w:tab w:val="right" w:pos="9026" w:leader="dot"/>
            </w:tabs>
            <w:rPr/>
          </w:pPr>
          <w:hyperlink w:anchor="__RefHeading___Toc2226186_1051229030">
            <w:r>
              <w:rPr>
                <w:webHidden/>
                <w:rStyle w:val="IndexLink"/>
                <w:rtl w:val="true"/>
              </w:rPr>
              <w:t>ب</w:t>
            </w:r>
            <w:r>
              <w:rPr>
                <w:rStyle w:val="IndexLink"/>
                <w:rtl w:val="true"/>
              </w:rPr>
              <w:t xml:space="preserve">: </w:t>
            </w:r>
            <w:r>
              <w:rPr>
                <w:rStyle w:val="IndexLink"/>
                <w:rtl w:val="true"/>
              </w:rPr>
              <w:t>كلامه في الغيبة</w:t>
            </w:r>
            <w:r>
              <w:rPr>
                <w:rStyle w:val="IndexLink"/>
                <w:rtl w:val="true"/>
              </w:rPr>
              <w:t>:</w:t>
              <w:tab/>
            </w:r>
            <w:r>
              <w:rPr>
                <w:rStyle w:val="IndexLink"/>
              </w:rPr>
              <w:t>311</w:t>
            </w:r>
          </w:hyperlink>
        </w:p>
        <w:p>
          <w:pPr>
            <w:pStyle w:val="Contents4"/>
            <w:tabs>
              <w:tab w:val="clear" w:pos="8176"/>
              <w:tab w:val="right" w:pos="9026" w:leader="dot"/>
            </w:tabs>
            <w:rPr/>
          </w:pPr>
          <w:hyperlink w:anchor="__RefHeading___Toc2226188_1051229030">
            <w:r>
              <w:rPr>
                <w:webHidden/>
                <w:rStyle w:val="IndexLink"/>
                <w:rtl w:val="true"/>
              </w:rPr>
              <w:t>فَصلٌ في الغَيبةِ‌</w:t>
            </w:r>
            <w:r>
              <w:rPr>
                <w:rStyle w:val="IndexLink"/>
                <w:rtl w:val="true"/>
              </w:rPr>
              <w:tab/>
            </w:r>
            <w:r>
              <w:rPr>
                <w:rStyle w:val="IndexLink"/>
              </w:rPr>
              <w:t>311</w:t>
            </w:r>
          </w:hyperlink>
        </w:p>
        <w:p>
          <w:pPr>
            <w:pStyle w:val="Contents4"/>
            <w:tabs>
              <w:tab w:val="clear" w:pos="8176"/>
              <w:tab w:val="right" w:pos="9026" w:leader="dot"/>
            </w:tabs>
            <w:rPr/>
          </w:pPr>
          <w:hyperlink w:anchor="__RefHeading___Toc2226190_1051229030">
            <w:r>
              <w:rPr>
                <w:webHidden/>
                <w:rStyle w:val="IndexLink"/>
                <w:rtl w:val="true"/>
              </w:rPr>
              <w:t xml:space="preserve">فَصلٌ </w:t>
            </w:r>
            <w:r>
              <w:rPr>
                <w:rStyle w:val="IndexLink"/>
                <w:rtl w:val="true"/>
              </w:rPr>
              <w:t>(</w:t>
            </w:r>
            <w:r>
              <w:rPr>
                <w:rStyle w:val="IndexLink"/>
                <w:rtl w:val="true"/>
              </w:rPr>
              <w:t>في الإمامة بَعدَ قائمنا عليه 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2226192_1051229030">
            <w:r>
              <w:rPr>
                <w:webHidden/>
                <w:rStyle w:val="IndexLink"/>
              </w:rPr>
              <w:t>11</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جوابات المسائل الرازية</w:t>
            </w:r>
            <w:r>
              <w:rPr>
                <w:rStyle w:val="IndexLink"/>
                <w:rtl w:val="true"/>
              </w:rPr>
              <w:t>»</w:t>
              <w:tab/>
            </w:r>
            <w:r>
              <w:rPr>
                <w:rStyle w:val="IndexLink"/>
              </w:rPr>
              <w:t>315</w:t>
            </w:r>
          </w:hyperlink>
        </w:p>
        <w:p>
          <w:pPr>
            <w:pStyle w:val="Contents4"/>
            <w:tabs>
              <w:tab w:val="clear" w:pos="8176"/>
              <w:tab w:val="right" w:pos="9026" w:leader="dot"/>
            </w:tabs>
            <w:rPr/>
          </w:pPr>
          <w:hyperlink w:anchor="__RefHeading___Toc2226194_1051229030">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2226196_1051229030">
            <w:r>
              <w:rPr>
                <w:webHidden/>
                <w:rStyle w:val="IndexLink"/>
                <w:rtl w:val="true"/>
              </w:rPr>
              <w:t>المسألةُ الثامنةُ‌</w:t>
            </w:r>
            <w:r>
              <w:rPr>
                <w:rStyle w:val="IndexLink"/>
                <w:rtl w:val="true"/>
              </w:rPr>
              <w:tab/>
            </w:r>
            <w:r>
              <w:rPr>
                <w:rStyle w:val="IndexLink"/>
              </w:rPr>
              <w:t>315</w:t>
            </w:r>
          </w:hyperlink>
        </w:p>
        <w:p>
          <w:pPr>
            <w:pStyle w:val="Contents5"/>
            <w:tabs>
              <w:tab w:val="clear" w:pos="7892"/>
              <w:tab w:val="right" w:pos="9026" w:leader="dot"/>
            </w:tabs>
            <w:rPr/>
          </w:pPr>
          <w:hyperlink w:anchor="__RefHeading___Toc2226198_105122903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2226200_1051229030">
            <w:r>
              <w:rPr>
                <w:webHidden/>
                <w:rStyle w:val="IndexLink"/>
                <w:rtl w:val="true"/>
              </w:rPr>
              <w:t>الجوابُ</w:t>
            </w:r>
            <w:r>
              <w:rPr>
                <w:rStyle w:val="IndexLink"/>
                <w:rtl w:val="true"/>
              </w:rPr>
              <w:t>:</w:t>
              <w:tab/>
            </w:r>
            <w:r>
              <w:rPr>
                <w:rStyle w:val="IndexLink"/>
              </w:rPr>
              <w:t>315</w:t>
            </w:r>
          </w:hyperlink>
        </w:p>
        <w:p>
          <w:pPr>
            <w:pStyle w:val="Contents3"/>
            <w:tabs>
              <w:tab w:val="clear" w:pos="8459"/>
              <w:tab w:val="right" w:pos="9026" w:leader="dot"/>
            </w:tabs>
            <w:rPr/>
          </w:pPr>
          <w:hyperlink w:anchor="__RefHeading___Toc2226202_1051229030">
            <w:r>
              <w:rPr>
                <w:webHidden/>
                <w:rStyle w:val="IndexLink"/>
              </w:rPr>
              <w:t>12</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جواب المسائل الطرابلسيّات الثانية</w:t>
            </w:r>
            <w:r>
              <w:rPr>
                <w:rStyle w:val="IndexLink"/>
                <w:rtl w:val="true"/>
              </w:rPr>
              <w:t>»</w:t>
              <w:tab/>
            </w:r>
            <w:r>
              <w:rPr>
                <w:rStyle w:val="IndexLink"/>
              </w:rPr>
              <w:t>317</w:t>
            </w:r>
          </w:hyperlink>
        </w:p>
        <w:p>
          <w:pPr>
            <w:pStyle w:val="Contents4"/>
            <w:tabs>
              <w:tab w:val="clear" w:pos="8176"/>
              <w:tab w:val="right" w:pos="9026" w:leader="dot"/>
            </w:tabs>
            <w:rPr/>
          </w:pPr>
          <w:hyperlink w:anchor="__RefHeading___Toc2226204_105122903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226206_1051229030">
            <w:r>
              <w:rPr>
                <w:webHidden/>
                <w:rStyle w:val="IndexLink"/>
                <w:rtl w:val="true"/>
              </w:rPr>
              <w:t>المَسأَلَةُ الأُولى</w:t>
            </w:r>
            <w:r>
              <w:rPr>
                <w:rStyle w:val="IndexLink"/>
                <w:rtl w:val="true"/>
              </w:rPr>
              <w:t>:</w:t>
              <w:tab/>
            </w:r>
            <w:r>
              <w:rPr>
                <w:rStyle w:val="IndexLink"/>
              </w:rPr>
              <w:t>317</w:t>
            </w:r>
          </w:hyperlink>
        </w:p>
        <w:p>
          <w:pPr>
            <w:pStyle w:val="Contents5"/>
            <w:tabs>
              <w:tab w:val="clear" w:pos="7892"/>
              <w:tab w:val="right" w:pos="9026" w:leader="dot"/>
            </w:tabs>
            <w:rPr/>
          </w:pPr>
          <w:hyperlink w:anchor="__RefHeading___Toc2226208_105122903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2226210_1051229030">
            <w:r>
              <w:rPr>
                <w:webHidden/>
                <w:rStyle w:val="IndexLink"/>
                <w:rtl w:val="true"/>
              </w:rPr>
              <w:t xml:space="preserve">الجَوابُ </w:t>
            </w:r>
            <w:r>
              <w:rPr>
                <w:rStyle w:val="IndexLink"/>
                <w:rtl w:val="true"/>
              </w:rPr>
              <w:t xml:space="preserve">- </w:t>
            </w:r>
            <w:r>
              <w:rPr>
                <w:rStyle w:val="IndexLink"/>
                <w:rtl w:val="true"/>
              </w:rPr>
              <w:t xml:space="preserve">وَ بِاللهِ التَّوفيقُ </w:t>
            </w:r>
            <w:r>
              <w:rPr>
                <w:rStyle w:val="IndexLink"/>
                <w:rtl w:val="true"/>
              </w:rPr>
              <w:t>-:</w:t>
              <w:tab/>
            </w:r>
            <w:r>
              <w:rPr>
                <w:rStyle w:val="IndexLink"/>
              </w:rPr>
              <w:t>319</w:t>
            </w:r>
          </w:hyperlink>
        </w:p>
        <w:p>
          <w:pPr>
            <w:pStyle w:val="Contents4"/>
            <w:tabs>
              <w:tab w:val="clear" w:pos="8176"/>
              <w:tab w:val="right" w:pos="9026" w:leader="dot"/>
            </w:tabs>
            <w:rPr/>
          </w:pPr>
          <w:hyperlink w:anchor="__RefHeading___Toc2226212_1051229030">
            <w:r>
              <w:rPr>
                <w:webHidden/>
                <w:rStyle w:val="IndexLink"/>
                <w:rtl w:val="true"/>
              </w:rPr>
              <w:t>المَسألَةُ الثَّانيةُ</w:t>
            </w:r>
            <w:r>
              <w:rPr>
                <w:rStyle w:val="IndexLink"/>
                <w:rtl w:val="true"/>
              </w:rPr>
              <w:t>:</w:t>
              <w:tab/>
            </w:r>
            <w:r>
              <w:rPr>
                <w:rStyle w:val="IndexLink"/>
              </w:rPr>
              <w:t>322</w:t>
            </w:r>
          </w:hyperlink>
        </w:p>
        <w:p>
          <w:pPr>
            <w:pStyle w:val="Contents4"/>
            <w:tabs>
              <w:tab w:val="clear" w:pos="8176"/>
              <w:tab w:val="right" w:pos="9026" w:leader="dot"/>
            </w:tabs>
            <w:rPr/>
          </w:pPr>
          <w:hyperlink w:anchor="__RefHeading___Toc2226214_1051229030">
            <w:r>
              <w:rPr>
                <w:webHidden/>
                <w:rStyle w:val="IndexLink"/>
                <w:rtl w:val="true"/>
              </w:rPr>
              <w:t>المَسأَلَةُ الثَّالِثَةُ</w:t>
            </w:r>
            <w:r>
              <w:rPr>
                <w:rStyle w:val="IndexLink"/>
                <w:rtl w:val="true"/>
              </w:rPr>
              <w:t>:</w:t>
              <w:tab/>
            </w:r>
            <w:r>
              <w:rPr>
                <w:rStyle w:val="IndexLink"/>
              </w:rPr>
              <w:t>324</w:t>
            </w:r>
          </w:hyperlink>
        </w:p>
        <w:p>
          <w:pPr>
            <w:pStyle w:val="Contents4"/>
            <w:tabs>
              <w:tab w:val="clear" w:pos="8176"/>
              <w:tab w:val="right" w:pos="9026" w:leader="dot"/>
            </w:tabs>
            <w:rPr/>
          </w:pPr>
          <w:hyperlink w:anchor="__RefHeading___Toc2226216_1051229030">
            <w:r>
              <w:rPr>
                <w:webHidden/>
                <w:rStyle w:val="IndexLink"/>
                <w:rtl w:val="true"/>
              </w:rPr>
              <w:t>المَسألَةُ الرَّابِعَةُ</w:t>
            </w:r>
            <w:r>
              <w:rPr>
                <w:rStyle w:val="IndexLink"/>
                <w:rtl w:val="true"/>
              </w:rPr>
              <w:t>:</w:t>
              <w:tab/>
            </w:r>
            <w:r>
              <w:rPr>
                <w:rStyle w:val="IndexLink"/>
              </w:rPr>
              <w:t>328</w:t>
            </w:r>
          </w:hyperlink>
        </w:p>
        <w:p>
          <w:pPr>
            <w:pStyle w:val="Contents4"/>
            <w:tabs>
              <w:tab w:val="clear" w:pos="8176"/>
              <w:tab w:val="right" w:pos="9026" w:leader="dot"/>
            </w:tabs>
            <w:rPr/>
          </w:pPr>
          <w:hyperlink w:anchor="__RefHeading___Toc2226218_1051229030">
            <w:r>
              <w:rPr>
                <w:webHidden/>
                <w:rStyle w:val="IndexLink"/>
                <w:rtl w:val="true"/>
              </w:rPr>
              <w:t>المَسأَلَةُ الخَامِسَةُ</w:t>
            </w:r>
            <w:r>
              <w:rPr>
                <w:rStyle w:val="IndexLink"/>
                <w:rtl w:val="true"/>
              </w:rPr>
              <w:t>:</w:t>
              <w:tab/>
            </w:r>
            <w:r>
              <w:rPr>
                <w:rStyle w:val="IndexLink"/>
              </w:rPr>
              <w:t>330</w:t>
            </w:r>
          </w:hyperlink>
        </w:p>
        <w:p>
          <w:pPr>
            <w:pStyle w:val="Contents3"/>
            <w:tabs>
              <w:tab w:val="clear" w:pos="8459"/>
              <w:tab w:val="right" w:pos="9026" w:leader="dot"/>
            </w:tabs>
            <w:rPr/>
          </w:pPr>
          <w:hyperlink w:anchor="__RefHeading___Toc2226220_1051229030">
            <w:r>
              <w:rPr>
                <w:webHidden/>
                <w:rStyle w:val="IndexLink"/>
              </w:rPr>
              <w:t>13</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شرح القصيدة المذهّبة للسيّد الحميري</w:t>
            </w:r>
            <w:r>
              <w:rPr>
                <w:rStyle w:val="IndexLink"/>
                <w:rtl w:val="true"/>
              </w:rPr>
              <w:t>»</w:t>
              <w:tab/>
            </w:r>
            <w:r>
              <w:rPr>
                <w:rStyle w:val="IndexLink"/>
              </w:rPr>
              <w:t>335</w:t>
            </w:r>
          </w:hyperlink>
        </w:p>
        <w:p>
          <w:pPr>
            <w:pStyle w:val="Contents3"/>
            <w:tabs>
              <w:tab w:val="clear" w:pos="8459"/>
              <w:tab w:val="right" w:pos="9026" w:leader="dot"/>
            </w:tabs>
            <w:rPr/>
          </w:pPr>
          <w:hyperlink w:anchor="__RefHeading___Toc2226222_1051229030">
            <w:r>
              <w:rPr>
                <w:webHidden/>
                <w:rStyle w:val="IndexLink"/>
              </w:rPr>
              <w:t>14</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جوابات المسائل الموصليّات الثالثة</w:t>
            </w:r>
            <w:r>
              <w:rPr>
                <w:rStyle w:val="IndexLink"/>
                <w:rtl w:val="true"/>
              </w:rPr>
              <w:t>»</w:t>
              <w:tab/>
            </w:r>
            <w:r>
              <w:rPr>
                <w:rStyle w:val="IndexLink"/>
              </w:rPr>
              <w:t>339</w:t>
            </w:r>
          </w:hyperlink>
        </w:p>
        <w:p>
          <w:pPr>
            <w:pStyle w:val="Contents3"/>
            <w:tabs>
              <w:tab w:val="clear" w:pos="8459"/>
              <w:tab w:val="right" w:pos="9026" w:leader="dot"/>
            </w:tabs>
            <w:rPr/>
          </w:pPr>
          <w:hyperlink w:anchor="__RefHeading___Toc2226224_1051229030">
            <w:r>
              <w:rPr>
                <w:webHidden/>
                <w:rStyle w:val="IndexLink"/>
              </w:rPr>
              <w:t>15</w:t>
            </w:r>
            <w:r>
              <w:rPr>
                <w:rStyle w:val="IndexLink"/>
                <w:rtl w:val="true"/>
              </w:rPr>
              <w:t xml:space="preserve"> - </w:t>
            </w:r>
            <w:r>
              <w:rPr>
                <w:rStyle w:val="IndexLink"/>
                <w:rtl w:val="true"/>
              </w:rPr>
              <w:t xml:space="preserve">ما ذكره في مقدّمة كتاب </w:t>
            </w:r>
            <w:r>
              <w:rPr>
                <w:rStyle w:val="IndexLink"/>
                <w:rtl w:val="true"/>
              </w:rPr>
              <w:t>«</w:t>
            </w:r>
            <w:r>
              <w:rPr>
                <w:rStyle w:val="IndexLink"/>
                <w:rtl w:val="true"/>
              </w:rPr>
              <w:t>الانتصار</w:t>
            </w:r>
            <w:r>
              <w:rPr>
                <w:rStyle w:val="IndexLink"/>
                <w:rtl w:val="true"/>
              </w:rPr>
              <w:t>»</w:t>
              <w:tab/>
            </w:r>
            <w:r>
              <w:rPr>
                <w:rStyle w:val="IndexLink"/>
              </w:rPr>
              <w:t>347</w:t>
            </w:r>
          </w:hyperlink>
        </w:p>
        <w:p>
          <w:pPr>
            <w:pStyle w:val="Contents3"/>
            <w:tabs>
              <w:tab w:val="clear" w:pos="8459"/>
              <w:tab w:val="right" w:pos="9026" w:leader="dot"/>
            </w:tabs>
            <w:rPr/>
          </w:pPr>
          <w:hyperlink w:anchor="__RefHeading___Toc2226226_1051229030">
            <w:r>
              <w:rPr>
                <w:webHidden/>
                <w:rStyle w:val="IndexLink"/>
              </w:rPr>
              <w:t>16</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الردّ على أصحاب العدد</w:t>
            </w:r>
            <w:r>
              <w:rPr>
                <w:rStyle w:val="IndexLink"/>
                <w:rtl w:val="true"/>
              </w:rPr>
              <w:t>»</w:t>
              <w:tab/>
            </w:r>
            <w:r>
              <w:rPr>
                <w:rStyle w:val="IndexLink"/>
              </w:rPr>
              <w:t>351</w:t>
            </w:r>
          </w:hyperlink>
        </w:p>
        <w:p>
          <w:pPr>
            <w:pStyle w:val="Contents3"/>
            <w:tabs>
              <w:tab w:val="clear" w:pos="8459"/>
              <w:tab w:val="right" w:pos="9026" w:leader="dot"/>
            </w:tabs>
            <w:rPr/>
          </w:pPr>
          <w:hyperlink w:anchor="__RefHeading___Toc2226228_1051229030">
            <w:r>
              <w:rPr>
                <w:webHidden/>
                <w:rStyle w:val="IndexLink"/>
              </w:rPr>
              <w:t>17</w:t>
            </w:r>
            <w:r>
              <w:rPr>
                <w:rStyle w:val="IndexLink"/>
                <w:rtl w:val="true"/>
              </w:rPr>
              <w:t xml:space="preserve"> - </w:t>
            </w:r>
            <w:r>
              <w:rPr>
                <w:rStyle w:val="IndexLink"/>
                <w:rtl w:val="true"/>
              </w:rPr>
              <w:t xml:space="preserve">ما ذكره في </w:t>
            </w:r>
            <w:r>
              <w:rPr>
                <w:rStyle w:val="IndexLink"/>
                <w:rtl w:val="true"/>
              </w:rPr>
              <w:t>«</w:t>
            </w:r>
            <w:r>
              <w:rPr>
                <w:rStyle w:val="IndexLink"/>
                <w:rtl w:val="true"/>
              </w:rPr>
              <w:t>رسالة في إبطال العمل بأخبار الآحاد</w:t>
            </w:r>
            <w:r>
              <w:rPr>
                <w:rStyle w:val="IndexLink"/>
                <w:rtl w:val="true"/>
              </w:rPr>
              <w:t>»</w:t>
              <w:tab/>
            </w:r>
            <w:r>
              <w:rPr>
                <w:rStyle w:val="IndexLink"/>
              </w:rPr>
              <w:t>353</w:t>
            </w:r>
          </w:hyperlink>
        </w:p>
        <w:p>
          <w:pPr>
            <w:pStyle w:val="Contents3"/>
            <w:tabs>
              <w:tab w:val="clear" w:pos="8459"/>
              <w:tab w:val="right" w:pos="9026" w:leader="dot"/>
            </w:tabs>
            <w:rPr/>
          </w:pPr>
          <w:hyperlink w:anchor="__RefHeading___Toc2226230_1051229030">
            <w:r>
              <w:rPr>
                <w:webHidden/>
                <w:rStyle w:val="IndexLink"/>
              </w:rPr>
              <w:t>18</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جوابات المسائل الرسّيّة الأُولى</w:t>
            </w:r>
            <w:r>
              <w:rPr>
                <w:rStyle w:val="IndexLink"/>
                <w:rtl w:val="true"/>
              </w:rPr>
              <w:t>»</w:t>
              <w:tab/>
            </w:r>
            <w:r>
              <w:rPr>
                <w:rStyle w:val="IndexLink"/>
              </w:rPr>
              <w:t>355</w:t>
            </w:r>
          </w:hyperlink>
        </w:p>
        <w:p>
          <w:pPr>
            <w:pStyle w:val="Contents4"/>
            <w:tabs>
              <w:tab w:val="clear" w:pos="8176"/>
              <w:tab w:val="right" w:pos="9026" w:leader="dot"/>
            </w:tabs>
            <w:rPr/>
          </w:pPr>
          <w:hyperlink w:anchor="__RefHeading___Toc2226232_1051229030">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2226234_1051229030">
            <w:r>
              <w:rPr>
                <w:webHidden/>
                <w:rStyle w:val="IndexLink"/>
                <w:rtl w:val="true"/>
              </w:rPr>
              <w:t>المَسألةُ الحاديةُ و العِشرونَ إثباتُ حُجّيّةِ إجماعِ الطائفةِ‌</w:t>
            </w:r>
            <w:r>
              <w:rPr>
                <w:rStyle w:val="IndexLink"/>
                <w:rtl w:val="true"/>
              </w:rPr>
              <w:tab/>
            </w:r>
            <w:r>
              <w:rPr>
                <w:rStyle w:val="IndexLink"/>
              </w:rPr>
              <w:t>355</w:t>
            </w:r>
          </w:hyperlink>
        </w:p>
        <w:p>
          <w:pPr>
            <w:pStyle w:val="Contents3"/>
            <w:tabs>
              <w:tab w:val="clear" w:pos="8459"/>
              <w:tab w:val="right" w:pos="9026" w:leader="dot"/>
            </w:tabs>
            <w:rPr/>
          </w:pPr>
          <w:hyperlink w:anchor="__RefHeading___Toc2226236_1051229030">
            <w:r>
              <w:rPr>
                <w:webHidden/>
                <w:rStyle w:val="IndexLink"/>
              </w:rPr>
              <w:t>19</w:t>
            </w:r>
            <w:r>
              <w:rPr>
                <w:rStyle w:val="IndexLink"/>
                <w:rtl w:val="true"/>
              </w:rPr>
              <w:t xml:space="preserve"> - </w:t>
            </w:r>
            <w:r>
              <w:rPr>
                <w:rStyle w:val="IndexLink"/>
                <w:rtl w:val="true"/>
              </w:rPr>
              <w:t xml:space="preserve">ما ذكره في كتاب </w:t>
            </w:r>
            <w:r>
              <w:rPr>
                <w:rStyle w:val="IndexLink"/>
                <w:rtl w:val="true"/>
              </w:rPr>
              <w:t>«</w:t>
            </w:r>
            <w:r>
              <w:rPr>
                <w:rStyle w:val="IndexLink"/>
                <w:rtl w:val="true"/>
              </w:rPr>
              <w:t>الذريعة إلى أُصول الشريعة</w:t>
            </w:r>
            <w:r>
              <w:rPr>
                <w:rStyle w:val="IndexLink"/>
                <w:rtl w:val="true"/>
              </w:rPr>
              <w:t>»</w:t>
              <w:tab/>
            </w:r>
            <w:r>
              <w:rPr>
                <w:rStyle w:val="IndexLink"/>
              </w:rPr>
              <w:t>361</w:t>
            </w:r>
          </w:hyperlink>
        </w:p>
        <w:p>
          <w:pPr>
            <w:pStyle w:val="Contents4"/>
            <w:tabs>
              <w:tab w:val="clear" w:pos="8176"/>
              <w:tab w:val="right" w:pos="9026" w:leader="dot"/>
            </w:tabs>
            <w:rPr/>
          </w:pPr>
          <w:hyperlink w:anchor="__RefHeading___Toc2226238_1051229030">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2226240_1051229030">
            <w:r>
              <w:rPr>
                <w:webHidden/>
                <w:rStyle w:val="IndexLink"/>
                <w:rtl w:val="true"/>
              </w:rPr>
              <w:t>بابُ الكلامِ في الإجماعِ‌</w:t>
            </w:r>
            <w:r>
              <w:rPr>
                <w:rStyle w:val="IndexLink"/>
                <w:rtl w:val="true"/>
              </w:rPr>
              <w:tab/>
            </w:r>
            <w:r>
              <w:rPr>
                <w:rStyle w:val="IndexLink"/>
              </w:rPr>
              <w:t>361</w:t>
            </w:r>
          </w:hyperlink>
        </w:p>
        <w:p>
          <w:pPr>
            <w:pStyle w:val="Contents5"/>
            <w:tabs>
              <w:tab w:val="clear" w:pos="7892"/>
              <w:tab w:val="right" w:pos="9026" w:leader="dot"/>
            </w:tabs>
            <w:rPr/>
          </w:pPr>
          <w:hyperlink w:anchor="__RefHeading___Toc2226242_105122903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2226244_1051229030">
            <w:r>
              <w:rPr>
                <w:webHidden/>
                <w:rStyle w:val="IndexLink"/>
                <w:rtl w:val="true"/>
              </w:rPr>
              <w:t>فَصلٌ في الإجماعِ هَل هو حُجّةٌ في شَيءٍ مخصوصٍ أو في كُلِّ شَيءٍ؟</w:t>
            </w:r>
            <w:r>
              <w:rPr>
                <w:rStyle w:val="IndexLink"/>
                <w:rtl w:val="true"/>
              </w:rPr>
              <w:tab/>
            </w:r>
            <w:r>
              <w:rPr>
                <w:rStyle w:val="IndexLink"/>
              </w:rPr>
              <w:t>366</w:t>
            </w:r>
          </w:hyperlink>
        </w:p>
        <w:p>
          <w:pPr>
            <w:pStyle w:val="Contents5"/>
            <w:tabs>
              <w:tab w:val="clear" w:pos="7892"/>
              <w:tab w:val="right" w:pos="9026" w:leader="dot"/>
            </w:tabs>
            <w:rPr/>
          </w:pPr>
          <w:hyperlink w:anchor="__RefHeading___Toc2226246_1051229030">
            <w:r>
              <w:rPr>
                <w:webHidden/>
                <w:rStyle w:val="IndexLink"/>
                <w:rtl w:val="true"/>
              </w:rPr>
              <w:t>فَصلٌ في ذِكرِ مَن يَدخُلُ في الإجماعِ الذي هو حُجّةٌ‌</w:t>
            </w:r>
            <w:r>
              <w:rPr>
                <w:rStyle w:val="IndexLink"/>
                <w:rtl w:val="true"/>
              </w:rPr>
              <w:tab/>
            </w:r>
            <w:r>
              <w:rPr>
                <w:rStyle w:val="IndexLink"/>
              </w:rPr>
              <w:t>370</w:t>
            </w:r>
          </w:hyperlink>
        </w:p>
        <w:p>
          <w:pPr>
            <w:pStyle w:val="Contents3"/>
            <w:tabs>
              <w:tab w:val="clear" w:pos="8459"/>
              <w:tab w:val="right" w:pos="9026" w:leader="dot"/>
            </w:tabs>
            <w:rPr/>
          </w:pPr>
          <w:hyperlink w:anchor="__RefHeading___Toc2226248_1051229030">
            <w:r>
              <w:rPr>
                <w:webHidden/>
                <w:rStyle w:val="IndexLink"/>
              </w:rPr>
              <w:t>20</w:t>
            </w:r>
            <w:r>
              <w:rPr>
                <w:rStyle w:val="IndexLink"/>
                <w:rtl w:val="true"/>
              </w:rPr>
              <w:t xml:space="preserve"> - </w:t>
            </w:r>
            <w:r>
              <w:rPr>
                <w:rStyle w:val="IndexLink"/>
                <w:rtl w:val="true"/>
              </w:rPr>
              <w:t xml:space="preserve">ما ذكره في رسالة </w:t>
            </w:r>
            <w:r>
              <w:rPr>
                <w:rStyle w:val="IndexLink"/>
                <w:rtl w:val="true"/>
              </w:rPr>
              <w:t>«</w:t>
            </w:r>
            <w:r>
              <w:rPr>
                <w:rStyle w:val="IndexLink"/>
                <w:rtl w:val="true"/>
              </w:rPr>
              <w:t>جواب المسائل الميّافارقيات</w:t>
            </w:r>
            <w:r>
              <w:rPr>
                <w:rStyle w:val="IndexLink"/>
                <w:rtl w:val="true"/>
              </w:rPr>
              <w:t>»</w:t>
              <w:tab/>
            </w:r>
            <w:r>
              <w:rPr>
                <w:rStyle w:val="IndexLink"/>
              </w:rPr>
              <w:t>373</w:t>
            </w:r>
          </w:hyperlink>
        </w:p>
        <w:p>
          <w:pPr>
            <w:pStyle w:val="Contents4"/>
            <w:tabs>
              <w:tab w:val="clear" w:pos="8176"/>
              <w:tab w:val="right" w:pos="9026" w:leader="dot"/>
            </w:tabs>
            <w:rPr/>
          </w:pPr>
          <w:hyperlink w:anchor="__RefHeading___Toc2226250_105122903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2226252_1051229030">
            <w:r>
              <w:rPr>
                <w:webHidden/>
                <w:rStyle w:val="IndexLink"/>
                <w:rtl w:val="true"/>
              </w:rPr>
              <w:t>ألف</w:t>
            </w:r>
            <w:r>
              <w:rPr>
                <w:rStyle w:val="IndexLink"/>
                <w:rtl w:val="true"/>
              </w:rPr>
              <w:t xml:space="preserve">: </w:t>
            </w:r>
            <w:r>
              <w:rPr>
                <w:rStyle w:val="IndexLink"/>
                <w:rtl w:val="true"/>
              </w:rPr>
              <w:t>تعيين يوم الظهور و أنّه عليه السلام هل يشاهدنا أم لا؟</w:t>
            </w:r>
            <w:r>
              <w:rPr>
                <w:rStyle w:val="IndexLink"/>
                <w:rtl w:val="true"/>
              </w:rPr>
              <w:tab/>
            </w:r>
            <w:r>
              <w:rPr>
                <w:rStyle w:val="IndexLink"/>
              </w:rPr>
              <w:t>373</w:t>
            </w:r>
          </w:hyperlink>
        </w:p>
        <w:p>
          <w:pPr>
            <w:pStyle w:val="Contents5"/>
            <w:tabs>
              <w:tab w:val="clear" w:pos="7892"/>
              <w:tab w:val="right" w:pos="9026" w:leader="dot"/>
            </w:tabs>
            <w:rPr/>
          </w:pPr>
          <w:hyperlink w:anchor="__RefHeading___Toc2226254_1051229030">
            <w:r>
              <w:rPr>
                <w:webHidden/>
                <w:rStyle w:val="IndexLink"/>
                <w:rtl w:val="true"/>
              </w:rPr>
              <w:t>مَسألة ثانية و عشرونَ</w:t>
            </w:r>
            <w:r>
              <w:rPr>
                <w:rStyle w:val="IndexLink"/>
                <w:rtl w:val="true"/>
              </w:rPr>
              <w:t xml:space="preserve">: </w:t>
            </w:r>
            <w:r>
              <w:rPr>
                <w:rStyle w:val="IndexLink"/>
                <w:rtl w:val="true"/>
              </w:rPr>
              <w:t>لصاحبِ الزمانِ عليه السلام يومٌ معلومٌ يَظهَرُ فيه؟ و هَل يُشاهِدُنا، أم لا؟</w:t>
            </w:r>
            <w:r>
              <w:rPr>
                <w:rStyle w:val="IndexLink"/>
                <w:rtl w:val="true"/>
              </w:rPr>
              <w:tab/>
            </w:r>
            <w:r>
              <w:rPr>
                <w:rStyle w:val="IndexLink"/>
              </w:rPr>
              <w:t>373</w:t>
            </w:r>
          </w:hyperlink>
        </w:p>
        <w:p>
          <w:pPr>
            <w:pStyle w:val="Contents4"/>
            <w:tabs>
              <w:tab w:val="clear" w:pos="8176"/>
              <w:tab w:val="right" w:pos="9026" w:leader="dot"/>
            </w:tabs>
            <w:rPr/>
          </w:pPr>
          <w:hyperlink w:anchor="__RefHeading___Toc2226256_1051229030">
            <w:r>
              <w:rPr>
                <w:webHidden/>
                <w:rStyle w:val="IndexLink"/>
                <w:rtl w:val="true"/>
              </w:rPr>
              <w:t>ب</w:t>
            </w:r>
            <w:r>
              <w:rPr>
                <w:rStyle w:val="IndexLink"/>
                <w:rtl w:val="true"/>
              </w:rPr>
              <w:t xml:space="preserve">: </w:t>
            </w:r>
            <w:r>
              <w:rPr>
                <w:rStyle w:val="IndexLink"/>
                <w:rtl w:val="true"/>
              </w:rPr>
              <w:t>الكلام في الرجعة</w:t>
            </w:r>
            <w:r>
              <w:rPr>
                <w:rStyle w:val="IndexLink"/>
                <w:rtl w:val="true"/>
              </w:rPr>
              <w:t>:</w:t>
              <w:tab/>
            </w:r>
            <w:r>
              <w:rPr>
                <w:rStyle w:val="IndexLink"/>
              </w:rPr>
              <w:t>373</w:t>
            </w:r>
          </w:hyperlink>
        </w:p>
        <w:p>
          <w:pPr>
            <w:pStyle w:val="Contents5"/>
            <w:tabs>
              <w:tab w:val="clear" w:pos="7892"/>
              <w:tab w:val="right" w:pos="9026" w:leader="dot"/>
            </w:tabs>
            <w:rPr/>
          </w:pPr>
          <w:hyperlink w:anchor="__RefHeading___Toc2226258_1051229030">
            <w:r>
              <w:rPr>
                <w:webHidden/>
                <w:rStyle w:val="IndexLink"/>
                <w:rtl w:val="true"/>
              </w:rPr>
              <w:t>المسألة الستّون</w:t>
            </w:r>
            <w:r>
              <w:rPr>
                <w:rStyle w:val="IndexLink"/>
                <w:rtl w:val="true"/>
              </w:rPr>
              <w:t xml:space="preserve">: </w:t>
            </w:r>
            <w:r>
              <w:rPr>
                <w:rStyle w:val="IndexLink"/>
                <w:rtl w:val="true"/>
              </w:rPr>
              <w:t>الاعتقاد في الرجعة عند ظهور القائم عليه السلام و ما في الرجعة</w:t>
            </w:r>
            <w:r>
              <w:rPr>
                <w:rStyle w:val="IndexLink"/>
                <w:rtl w:val="true"/>
              </w:rPr>
              <w:t>:</w:t>
              <w:tab/>
            </w:r>
            <w:r>
              <w:rPr>
                <w:rStyle w:val="IndexLink"/>
              </w:rPr>
              <w:t>373</w:t>
            </w:r>
          </w:hyperlink>
        </w:p>
        <w:p>
          <w:pPr>
            <w:pStyle w:val="Contents2"/>
            <w:tabs>
              <w:tab w:val="clear" w:pos="8743"/>
              <w:tab w:val="right" w:pos="9026" w:leader="dot"/>
            </w:tabs>
            <w:rPr/>
          </w:pPr>
          <w:hyperlink w:anchor="__RefHeading___Toc2226260_1051229030">
            <w:r>
              <w:rPr>
                <w:webHidden/>
                <w:rStyle w:val="IndexLink"/>
                <w:rtl w:val="true"/>
              </w:rPr>
              <w:t>الفهارس العامّة</w:t>
            </w:r>
            <w:r>
              <w:rPr>
                <w:rStyle w:val="IndexLink"/>
                <w:rtl w:val="true"/>
              </w:rPr>
              <w:tab/>
            </w:r>
            <w:r>
              <w:rPr>
                <w:rStyle w:val="IndexLink"/>
              </w:rPr>
              <w:t>375</w:t>
            </w:r>
          </w:hyperlink>
        </w:p>
        <w:p>
          <w:pPr>
            <w:pStyle w:val="Contents3"/>
            <w:tabs>
              <w:tab w:val="clear" w:pos="8459"/>
              <w:tab w:val="right" w:pos="9026" w:leader="dot"/>
            </w:tabs>
            <w:rPr/>
          </w:pPr>
          <w:hyperlink w:anchor="__RefHeading___Toc2226262_1051229030">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2226264_1051229030">
            <w:r>
              <w:rPr>
                <w:webHidden/>
                <w:rStyle w:val="IndexLink"/>
                <w:rtl w:val="true"/>
              </w:rPr>
              <w:t>(</w:t>
            </w:r>
            <w:r>
              <w:rPr>
                <w:rStyle w:val="IndexLink"/>
              </w:rPr>
              <w:t>1</w:t>
            </w:r>
            <w:r>
              <w:rPr>
                <w:rStyle w:val="IndexLink"/>
                <w:rtl w:val="true"/>
              </w:rPr>
              <w:t xml:space="preserve">) </w:t>
            </w:r>
            <w:r>
              <w:rPr>
                <w:rStyle w:val="IndexLink"/>
                <w:rtl w:val="true"/>
              </w:rPr>
              <w:t>فهرس الآيات</w:t>
            </w:r>
            <w:r>
              <w:rPr>
                <w:rStyle w:val="IndexLink"/>
                <w:rtl w:val="true"/>
              </w:rPr>
              <w:tab/>
            </w:r>
            <w:r>
              <w:rPr>
                <w:rStyle w:val="IndexLink"/>
              </w:rPr>
              <w:t>377</w:t>
            </w:r>
          </w:hyperlink>
        </w:p>
        <w:p>
          <w:pPr>
            <w:pStyle w:val="Contents3"/>
            <w:tabs>
              <w:tab w:val="clear" w:pos="8459"/>
              <w:tab w:val="right" w:pos="9026" w:leader="dot"/>
            </w:tabs>
            <w:rPr/>
          </w:pPr>
          <w:hyperlink w:anchor="__RefHeading___Toc2226266_1051229030">
            <w:r>
              <w:rPr>
                <w:webHidden/>
                <w:rStyle w:val="IndexLink"/>
                <w:rtl w:val="true"/>
              </w:rPr>
              <w:t>(</w:t>
            </w:r>
            <w:r>
              <w:rPr>
                <w:rStyle w:val="IndexLink"/>
              </w:rPr>
              <w:t>2</w:t>
            </w:r>
            <w:r>
              <w:rPr>
                <w:rStyle w:val="IndexLink"/>
                <w:rtl w:val="true"/>
              </w:rPr>
              <w:t xml:space="preserve">) </w:t>
            </w:r>
            <w:r>
              <w:rPr>
                <w:rStyle w:val="IndexLink"/>
                <w:rtl w:val="true"/>
              </w:rPr>
              <w:t>فهرس الأحاديث</w:t>
            </w:r>
            <w:r>
              <w:rPr>
                <w:rStyle w:val="IndexLink"/>
                <w:rtl w:val="true"/>
              </w:rPr>
              <w:tab/>
            </w:r>
            <w:r>
              <w:rPr>
                <w:rStyle w:val="IndexLink"/>
              </w:rPr>
              <w:t>380</w:t>
            </w:r>
          </w:hyperlink>
        </w:p>
        <w:p>
          <w:pPr>
            <w:pStyle w:val="Contents3"/>
            <w:tabs>
              <w:tab w:val="clear" w:pos="8459"/>
              <w:tab w:val="right" w:pos="9026" w:leader="dot"/>
            </w:tabs>
            <w:rPr/>
          </w:pPr>
          <w:hyperlink w:anchor="__RefHeading___Toc2226268_1051229030">
            <w:r>
              <w:rPr>
                <w:webHidden/>
                <w:rStyle w:val="IndexLink"/>
                <w:rtl w:val="true"/>
              </w:rPr>
              <w:t>(</w:t>
            </w:r>
            <w:r>
              <w:rPr>
                <w:rStyle w:val="IndexLink"/>
              </w:rPr>
              <w:t>3</w:t>
            </w:r>
            <w:r>
              <w:rPr>
                <w:rStyle w:val="IndexLink"/>
                <w:rtl w:val="true"/>
              </w:rPr>
              <w:t xml:space="preserve">) </w:t>
            </w:r>
            <w:r>
              <w:rPr>
                <w:rStyle w:val="IndexLink"/>
                <w:rtl w:val="true"/>
              </w:rPr>
              <w:t>فهرس الأشعار</w:t>
            </w:r>
            <w:r>
              <w:rPr>
                <w:rStyle w:val="IndexLink"/>
                <w:rtl w:val="true"/>
              </w:rPr>
              <w:tab/>
            </w:r>
            <w:r>
              <w:rPr>
                <w:rStyle w:val="IndexLink"/>
              </w:rPr>
              <w:t>381</w:t>
            </w:r>
          </w:hyperlink>
        </w:p>
        <w:p>
          <w:pPr>
            <w:pStyle w:val="Contents3"/>
            <w:tabs>
              <w:tab w:val="clear" w:pos="8459"/>
              <w:tab w:val="right" w:pos="9026" w:leader="dot"/>
            </w:tabs>
            <w:rPr/>
          </w:pPr>
          <w:hyperlink w:anchor="__RefHeading___Toc2226270_1051229030">
            <w:r>
              <w:rPr>
                <w:webHidden/>
                <w:rStyle w:val="IndexLink"/>
                <w:rtl w:val="true"/>
              </w:rPr>
              <w:t>(</w:t>
            </w:r>
            <w:r>
              <w:rPr>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382</w:t>
            </w:r>
          </w:hyperlink>
        </w:p>
        <w:p>
          <w:pPr>
            <w:pStyle w:val="Contents3"/>
            <w:tabs>
              <w:tab w:val="clear" w:pos="8459"/>
              <w:tab w:val="right" w:pos="9026" w:leader="dot"/>
            </w:tabs>
            <w:rPr/>
          </w:pPr>
          <w:hyperlink w:anchor="__RefHeading___Toc2226272_1051229030">
            <w:r>
              <w:rPr>
                <w:webHidden/>
                <w:rStyle w:val="IndexLink"/>
                <w:rtl w:val="true"/>
              </w:rPr>
              <w:t>(</w:t>
            </w:r>
            <w:r>
              <w:rPr>
                <w:rStyle w:val="IndexLink"/>
              </w:rPr>
              <w:t>5</w:t>
            </w:r>
            <w:r>
              <w:rPr>
                <w:rStyle w:val="IndexLink"/>
                <w:rtl w:val="true"/>
              </w:rPr>
              <w:t xml:space="preserve">) </w:t>
            </w:r>
            <w:r>
              <w:rPr>
                <w:rStyle w:val="IndexLink"/>
                <w:rtl w:val="true"/>
              </w:rPr>
              <w:t>فهرس الأماكن</w:t>
            </w:r>
            <w:r>
              <w:rPr>
                <w:rStyle w:val="IndexLink"/>
                <w:rtl w:val="true"/>
              </w:rPr>
              <w:tab/>
            </w:r>
            <w:r>
              <w:rPr>
                <w:rStyle w:val="IndexLink"/>
              </w:rPr>
              <w:t>388</w:t>
            </w:r>
          </w:hyperlink>
        </w:p>
        <w:p>
          <w:pPr>
            <w:pStyle w:val="Contents3"/>
            <w:tabs>
              <w:tab w:val="clear" w:pos="8459"/>
              <w:tab w:val="right" w:pos="9026" w:leader="dot"/>
            </w:tabs>
            <w:rPr/>
          </w:pPr>
          <w:hyperlink w:anchor="__RefHeading___Toc2226274_1051229030">
            <w:r>
              <w:rPr>
                <w:webHidden/>
                <w:rStyle w:val="IndexLink"/>
                <w:rtl w:val="true"/>
              </w:rPr>
              <w:t>(</w:t>
            </w:r>
            <w:r>
              <w:rPr>
                <w:rStyle w:val="IndexLink"/>
              </w:rPr>
              <w:t>6</w:t>
            </w:r>
            <w:r>
              <w:rPr>
                <w:rStyle w:val="IndexLink"/>
                <w:rtl w:val="true"/>
              </w:rPr>
              <w:t xml:space="preserve">) </w:t>
            </w:r>
            <w:r>
              <w:rPr>
                <w:rStyle w:val="IndexLink"/>
                <w:rtl w:val="true"/>
              </w:rPr>
              <w:t>فهرس الأديان و الفرق و المذاهب</w:t>
            </w:r>
            <w:r>
              <w:rPr>
                <w:rStyle w:val="IndexLink"/>
                <w:rtl w:val="true"/>
              </w:rPr>
              <w:tab/>
            </w:r>
            <w:r>
              <w:rPr>
                <w:rStyle w:val="IndexLink"/>
              </w:rPr>
              <w:t>389</w:t>
            </w:r>
          </w:hyperlink>
        </w:p>
        <w:p>
          <w:pPr>
            <w:pStyle w:val="Contents3"/>
            <w:tabs>
              <w:tab w:val="clear" w:pos="8459"/>
              <w:tab w:val="right" w:pos="9026" w:leader="dot"/>
            </w:tabs>
            <w:rPr/>
          </w:pPr>
          <w:hyperlink w:anchor="__RefHeading___Toc2226276_1051229030">
            <w:r>
              <w:rPr>
                <w:webHidden/>
                <w:rStyle w:val="IndexLink"/>
                <w:rtl w:val="true"/>
              </w:rPr>
              <w:t>(</w:t>
            </w:r>
            <w:r>
              <w:rPr>
                <w:rStyle w:val="IndexLink"/>
              </w:rPr>
              <w:t>7</w:t>
            </w:r>
            <w:r>
              <w:rPr>
                <w:rStyle w:val="IndexLink"/>
                <w:rtl w:val="true"/>
              </w:rPr>
              <w:t xml:space="preserve">) </w:t>
            </w:r>
            <w:r>
              <w:rPr>
                <w:rStyle w:val="IndexLink"/>
                <w:rtl w:val="true"/>
              </w:rPr>
              <w:t>فهرس الجماعات و القبائل</w:t>
            </w:r>
            <w:r>
              <w:rPr>
                <w:rStyle w:val="IndexLink"/>
                <w:rtl w:val="true"/>
              </w:rPr>
              <w:tab/>
            </w:r>
            <w:r>
              <w:rPr>
                <w:rStyle w:val="IndexLink"/>
              </w:rPr>
              <w:t>392</w:t>
            </w:r>
          </w:hyperlink>
        </w:p>
        <w:p>
          <w:pPr>
            <w:pStyle w:val="Contents3"/>
            <w:tabs>
              <w:tab w:val="clear" w:pos="8459"/>
              <w:tab w:val="right" w:pos="9026" w:leader="dot"/>
            </w:tabs>
            <w:rPr/>
          </w:pPr>
          <w:hyperlink w:anchor="__RefHeading___Toc2226278_1051229030">
            <w:r>
              <w:rPr>
                <w:webHidden/>
                <w:rStyle w:val="IndexLink"/>
                <w:rtl w:val="true"/>
              </w:rPr>
              <w:t>(</w:t>
            </w:r>
            <w:r>
              <w:rPr>
                <w:rStyle w:val="IndexLink"/>
              </w:rPr>
              <w:t>8</w:t>
            </w:r>
            <w:r>
              <w:rPr>
                <w:rStyle w:val="IndexLink"/>
                <w:rtl w:val="true"/>
              </w:rPr>
              <w:t xml:space="preserve">) </w:t>
            </w:r>
            <w:r>
              <w:rPr>
                <w:rStyle w:val="IndexLink"/>
                <w:rtl w:val="true"/>
              </w:rPr>
              <w:t>فهرس الأيّام و الوقائع</w:t>
            </w:r>
            <w:r>
              <w:rPr>
                <w:rStyle w:val="IndexLink"/>
                <w:rtl w:val="true"/>
              </w:rPr>
              <w:tab/>
            </w:r>
            <w:r>
              <w:rPr>
                <w:rStyle w:val="IndexLink"/>
              </w:rPr>
              <w:t>399</w:t>
            </w:r>
          </w:hyperlink>
        </w:p>
        <w:p>
          <w:pPr>
            <w:pStyle w:val="Contents3"/>
            <w:tabs>
              <w:tab w:val="clear" w:pos="8459"/>
              <w:tab w:val="right" w:pos="9026" w:leader="dot"/>
            </w:tabs>
            <w:rPr/>
          </w:pPr>
          <w:hyperlink w:anchor="__RefHeading___Toc2226280_1051229030">
            <w:r>
              <w:rPr>
                <w:webHidden/>
                <w:rStyle w:val="IndexLink"/>
                <w:rtl w:val="true"/>
              </w:rPr>
              <w:t>(</w:t>
            </w:r>
            <w:r>
              <w:rPr>
                <w:rStyle w:val="IndexLink"/>
              </w:rPr>
              <w:t>9</w:t>
            </w:r>
            <w:r>
              <w:rPr>
                <w:rStyle w:val="IndexLink"/>
                <w:rtl w:val="true"/>
              </w:rPr>
              <w:t xml:space="preserve">) </w:t>
            </w:r>
            <w:r>
              <w:rPr>
                <w:rStyle w:val="IndexLink"/>
                <w:rtl w:val="true"/>
              </w:rPr>
              <w:t>فهرس الأشياء و الحيوانات</w:t>
            </w:r>
            <w:r>
              <w:rPr>
                <w:rStyle w:val="IndexLink"/>
                <w:rtl w:val="true"/>
              </w:rPr>
              <w:tab/>
            </w:r>
            <w:r>
              <w:rPr>
                <w:rStyle w:val="IndexLink"/>
              </w:rPr>
              <w:t>401</w:t>
            </w:r>
          </w:hyperlink>
        </w:p>
        <w:p>
          <w:pPr>
            <w:pStyle w:val="Contents3"/>
            <w:tabs>
              <w:tab w:val="clear" w:pos="8459"/>
              <w:tab w:val="right" w:pos="9026" w:leader="dot"/>
            </w:tabs>
            <w:rPr/>
          </w:pPr>
          <w:hyperlink w:anchor="__RefHeading___Toc2226282_1051229030">
            <w:r>
              <w:rPr>
                <w:webHidden/>
                <w:rStyle w:val="IndexLink"/>
                <w:rtl w:val="true"/>
              </w:rPr>
              <w:t>(</w:t>
            </w:r>
            <w:r>
              <w:rPr>
                <w:rStyle w:val="IndexLink"/>
              </w:rPr>
              <w:t>10</w:t>
            </w:r>
            <w:r>
              <w:rPr>
                <w:rStyle w:val="IndexLink"/>
                <w:rtl w:val="true"/>
              </w:rPr>
              <w:t xml:space="preserve">) </w:t>
            </w:r>
            <w:r>
              <w:rPr>
                <w:rStyle w:val="IndexLink"/>
                <w:rtl w:val="true"/>
              </w:rPr>
              <w:t>فهرس الكتب الواردة في المتن</w:t>
            </w:r>
            <w:r>
              <w:rPr>
                <w:rStyle w:val="IndexLink"/>
                <w:rtl w:val="true"/>
              </w:rPr>
              <w:tab/>
            </w:r>
            <w:r>
              <w:rPr>
                <w:rStyle w:val="IndexLink"/>
              </w:rPr>
              <w:t>402</w:t>
            </w:r>
          </w:hyperlink>
        </w:p>
        <w:p>
          <w:pPr>
            <w:pStyle w:val="Contents3"/>
            <w:tabs>
              <w:tab w:val="clear" w:pos="8459"/>
              <w:tab w:val="right" w:pos="9026" w:leader="dot"/>
            </w:tabs>
            <w:rPr/>
          </w:pPr>
          <w:hyperlink w:anchor="__RefHeading___Toc2226284_1051229030">
            <w:r>
              <w:rPr>
                <w:webHidden/>
                <w:rStyle w:val="IndexLink"/>
                <w:rtl w:val="true"/>
              </w:rPr>
              <w:t>(</w:t>
            </w:r>
            <w:r>
              <w:rPr>
                <w:rStyle w:val="IndexLink"/>
              </w:rPr>
              <w:t>11</w:t>
            </w:r>
            <w:r>
              <w:rPr>
                <w:rStyle w:val="IndexLink"/>
                <w:rtl w:val="true"/>
              </w:rPr>
              <w:t xml:space="preserve">) </w:t>
            </w:r>
            <w:r>
              <w:rPr>
                <w:rStyle w:val="IndexLink"/>
                <w:rtl w:val="true"/>
              </w:rPr>
              <w:t>فهرس مصادر التحقيق</w:t>
            </w:r>
            <w:r>
              <w:rPr>
                <w:rStyle w:val="IndexLink"/>
                <w:rtl w:val="true"/>
              </w:rPr>
              <w:tab/>
            </w:r>
            <w:r>
              <w:rPr>
                <w:rStyle w:val="IndexLink"/>
              </w:rPr>
              <w:t>403</w:t>
            </w:r>
          </w:hyperlink>
        </w:p>
        <w:p>
          <w:pPr>
            <w:pStyle w:val="Contents3"/>
            <w:tabs>
              <w:tab w:val="clear" w:pos="8459"/>
              <w:tab w:val="right" w:pos="9026" w:leader="dot"/>
            </w:tabs>
            <w:rPr/>
          </w:pPr>
          <w:hyperlink w:anchor="__RefHeading___Toc2226286_1051229030">
            <w:r>
              <w:rPr>
                <w:webHidden/>
                <w:rStyle w:val="IndexLink"/>
                <w:rtl w:val="true"/>
              </w:rPr>
              <w:t>(</w:t>
            </w:r>
            <w:r>
              <w:rPr>
                <w:rStyle w:val="IndexLink"/>
              </w:rPr>
              <w:t>12</w:t>
            </w:r>
            <w:r>
              <w:rPr>
                <w:rStyle w:val="IndexLink"/>
                <w:rtl w:val="true"/>
              </w:rPr>
              <w:t xml:space="preserve">) </w:t>
            </w:r>
            <w:r>
              <w:rPr>
                <w:rStyle w:val="IndexLink"/>
                <w:rtl w:val="true"/>
              </w:rPr>
              <w:t>فهرس المطالب</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6_97067"/>
      <w:bookmarkStart w:id="1" w:name="pg7486_97067"/>
      <w:bookmarkEnd w:id="1"/>
    </w:p>
    <w:p>
      <w:pPr>
        <w:pStyle w:val="Heading2"/>
        <w:numPr>
          <w:ilvl w:val="1"/>
          <w:numId w:val="1"/>
        </w:numPr>
        <w:rPr/>
      </w:pPr>
      <w:bookmarkStart w:id="2" w:name="pg7486_97067"/>
      <w:bookmarkStart w:id="3" w:name="__RefHeading___Toc2225882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فی‌الغیبه و ملحقاته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مرتضی‌علی‌بن الحسین الموسوی علم‌الهدی؛ تحقیق مهدی المهریزی؛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الموتمرالدولی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مهدی،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Mahrizi, Mahdi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5946878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588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المُقنِعُ فِی‌الغَیبَة وَمُلحَقَاتُهُ</w:t>
      </w:r>
    </w:p>
    <w:p>
      <w:pPr>
        <w:pStyle w:val="BookText"/>
        <w:rPr/>
      </w:pPr>
      <w:r>
        <w:rPr>
          <w:rFonts w:ascii="Amiri" w:hAnsi="Amiri" w:eastAsia="Amiri" w:cs="Amiri"/>
          <w:color w:val="111111"/>
          <w:sz w:val="28"/>
          <w:sz w:val="28"/>
          <w:szCs w:val="28"/>
          <w:rtl w:val="true"/>
          <w:lang w:bidi="ar-SA"/>
        </w:rPr>
        <w:t>الشّریفُ المُرتَضی عَلی‌بن الحسین الموسوی علم‌الهدی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مهدی المهریزی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مولفات الشریف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86_97071"/>
      <w:bookmarkStart w:id="8" w:name="pg7486_97071"/>
      <w:bookmarkEnd w:id="8"/>
    </w:p>
    <w:p>
      <w:pPr>
        <w:pStyle w:val="Heading2"/>
        <w:numPr>
          <w:ilvl w:val="1"/>
          <w:numId w:val="1"/>
        </w:numPr>
        <w:rPr/>
      </w:pPr>
      <w:bookmarkStart w:id="9" w:name="pg7486_97071"/>
      <w:bookmarkStart w:id="10" w:name="__RefHeading___Toc2225886_105122903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المهدويّة بين المسلمين؛ تاريخها و مناهجها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و منهجه في الأبحاث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بكتاب 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نماذج من تصاوير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المقنع في الغيبة</w:t>
      </w:r>
    </w:p>
    <w:p>
      <w:pPr>
        <w:pStyle w:val="BookText"/>
        <w:rPr/>
      </w:pPr>
      <w:r>
        <w:rPr>
          <w:rFonts w:ascii="Amiri" w:hAnsi="Amiri" w:eastAsia="Amiri" w:cs="Amiri"/>
          <w:color w:val="111111"/>
          <w:sz w:val="28"/>
          <w:sz w:val="28"/>
          <w:szCs w:val="28"/>
          <w:rtl w:val="true"/>
          <w:lang w:bidi="ar-SA"/>
        </w:rPr>
        <w:t xml:space="preserve">الزيادة المكمَّل بها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في 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التبّانيّات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غيبة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الرازية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الطرابلسيّات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 المذهّبة للسيّد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الموصليّات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أصحاب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إبطال العمل بأخبار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الرسية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الميّافارقيات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12" w:name="pg7486_97073"/>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225888_1051229030"/>
      <w:bookmarkStart w:id="14" w:name="_Toc4"/>
      <w:bookmarkEnd w:id="13"/>
      <w:r>
        <w:rPr>
          <w:rtl w:val="true"/>
        </w:rPr>
        <w:t>مقدّمة التحقيق</w:t>
      </w:r>
      <w:bookmarkEnd w:id="14"/>
    </w:p>
    <w:p>
      <w:pPr>
        <w:pStyle w:val="Heading3"/>
        <w:numPr>
          <w:ilvl w:val="2"/>
          <w:numId w:val="1"/>
        </w:numPr>
        <w:rPr/>
      </w:pPr>
      <w:bookmarkStart w:id="15" w:name="__RefHeading___Toc2225890_105122903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طرق الشريف المرتضى أنواع العلوم و المعارف، حتّى حاز من أمجاد التأليف التليد و الطارف، و أنهل من معينه كلّ واردٍ و غارف، و عرفت جملةٌ من مصنّفاته بالزيادة، و قد بلغت المنى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المقنع في الغيبة، و الذي يعدّ من أقدم المصنّفات في بابه، و أوائل التصنيف في مجاله، و ممّا يزيد في نفاسته معاصرته للحقبة الأُولى من الغيبة الكبرى، و سوف يلي الكلام عن الكتاب و موضوعه في ثلاث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المهدويّة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و مناهجها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و منهجه في الأبحاث المهدويّة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بكتاب المقنع</w:t>
      </w:r>
      <w:r>
        <w:rPr>
          <w:rFonts w:eastAsia="Amiri" w:cs="Amiri" w:ascii="Amiri" w:hAnsi="Amiri"/>
          <w:color w:val="111111"/>
          <w:sz w:val="28"/>
          <w:szCs w:val="28"/>
          <w:rtl w:val="true"/>
          <w:lang w:bidi="ar-SA"/>
        </w:rPr>
        <w:t xml:space="preserve">. </w:t>
      </w:r>
      <w:bookmarkStart w:id="17" w:name="pg7486_97074"/>
    </w:p>
    <w:p>
      <w:pPr>
        <w:pStyle w:val="Heading3"/>
        <w:numPr>
          <w:ilvl w:val="2"/>
          <w:numId w:val="1"/>
        </w:numPr>
        <w:rPr/>
      </w:pPr>
      <w:bookmarkStart w:id="18" w:name="__RefHeading___Toc2225892_1051229030"/>
      <w:bookmarkStart w:id="19" w:name="_Toc6"/>
      <w:bookmarkEnd w:id="17"/>
      <w:bookmarkEnd w:id="18"/>
      <w:r>
        <w:rPr>
          <w:rtl w:val="true"/>
        </w:rPr>
        <w:t>الفصل الأوَّل الدراسات المهدويّة بين المسلمين؛ تاريخها و مناهجها</w:t>
      </w:r>
      <w:bookmarkEnd w:id="19"/>
    </w:p>
    <w:p>
      <w:pPr>
        <w:pStyle w:val="Heading4"/>
        <w:numPr>
          <w:ilvl w:val="3"/>
          <w:numId w:val="1"/>
        </w:numPr>
        <w:rPr/>
      </w:pPr>
      <w:bookmarkStart w:id="20" w:name="__RefHeading___Toc2225894_105122903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تعدّ مسألة المهدويَّة من المسائل التي حظيت باهتمام المسلمين منذ القرون الأُولى؛ نظراً لكثرة ورودها في كلمات النبيّ الأكرم صلّى اللّه عليه و آله و سلّم، و الأئمّة من بعده عليهم السلام، و احتوائها على مسائل تعدّ بعضها من أهمّ مخاوف البشريّة في جميع العصور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العدالة و مستقبل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بعضها الآخر تشتمل على مسائل إعجازيّة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طول عمر الإمام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وضع الكثير من الكتب و الرسائل لجمع هذه الأحاديث في مواضيع 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عجّل اللّه تعالى فرجه، الغيبة، أشراط الساعة، الدجّال، الفتن و الملاحم، صاحب الزمان، و آخر الزمان،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اختصّ جزء من المصادر الحديثيَّة القديمة عند الشيعة و السنّة لجمع هذه الأحاديث، و يمكن لنا أن نشير إلى المصنّفات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المهدي،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القسم الثاني من المجلّد الثاني،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خروج المهدي،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الفتن، كتاب المهدي، كتاب الملاحم،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22" w:name="pg7486_97075"/>
    </w:p>
    <w:p>
      <w:pPr>
        <w:pStyle w:val="BookText"/>
        <w:rPr/>
      </w:pPr>
      <w:bookmarkEnd w:id="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ما جاء في المهدي،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في القرن الثالث مصنَّفات مستقلّة في موضوع المهدويَّة بين جميع الفرق الإسلاميَّة، و قد طبع البعض من هذه المصنَّفات، و البعض الآخر لا يزال مفقوداً أو مخطوطاً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قائمة سرديّة بهذه الأعمال، مع التفريق بما صنِّف حتّى زمن الشريف المرتضى</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225896_1051229030"/>
      <w:bookmarkStart w:id="24" w:name="_Toc8"/>
      <w:bookmarkEnd w:id="23"/>
      <w:r>
        <w:rPr>
          <w:rtl w:val="true"/>
        </w:rPr>
        <w:t>المصنّفات المهدويّة في القرن الثالث</w:t>
      </w:r>
      <w:bookmarkEnd w:id="2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مجلّدان، للحافظ أبي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البخاري و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هذا الكتاب عدَّة مرَّات في القاهرة و بيروت، و لها مخطوطات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المصنَّف المنهج الحديثي في كتابه هذا، و قد جمع في مصنَّفه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يشتمل المجلّد الأوّل على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المجلّد الثاني على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المواضيع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الظهور، السفياني، اسم المهدي و نسبه، سيرة المهدي، خروج الدجال، نزول عيسى عليه السلام، خروج دابَّة الأرض</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المفقودة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لعليّ بن حسن الجرمي المعروف بالطاطري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من رؤساء فرقة الواقفة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لمحمَّد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هو من كبار الرواة الشيعة الإماميّة الاثنا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في الغيبة على مذهب الواقفة، لعبد اللّه بن جبلة بن حيان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فقهاء الواقفة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هشام الناشري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هو من الشيعة الاثني عشريّة، و من أصحاب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هو من الرواة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 عليه السلام،</w:t>
      </w:r>
      <w:r>
        <w:rPr>
          <w:rStyle w:val="FootnoteAnchor"/>
          <w:rtl w:val="true"/>
        </w:rPr>
        <w:footnoteReference w:id="8"/>
      </w:r>
      <w:r>
        <w:rPr>
          <w:rFonts w:ascii="Amiri" w:hAnsi="Amiri" w:eastAsia="Amiri" w:cs="Amiri"/>
          <w:color w:val="111111"/>
          <w:sz w:val="28"/>
          <w:sz w:val="28"/>
          <w:szCs w:val="28"/>
          <w:rtl w:val="true"/>
          <w:lang w:bidi="ar-SA"/>
        </w:rPr>
        <w:t xml:space="preserve">لعبّاد بن يعقوب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الزركلي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 المنتظر عليه السلام،</w:t>
      </w:r>
      <w:r>
        <w:rPr>
          <w:rStyle w:val="FootnoteAnchor"/>
          <w:rtl w:val="true"/>
        </w:rPr>
        <w:footnoteReference w:id="9"/>
      </w:r>
      <w:r>
        <w:rPr>
          <w:rFonts w:ascii="Amiri" w:hAnsi="Amiri" w:eastAsia="Amiri" w:cs="Amiri"/>
          <w:color w:val="111111"/>
          <w:sz w:val="28"/>
          <w:sz w:val="28"/>
          <w:szCs w:val="28"/>
          <w:rtl w:val="true"/>
          <w:lang w:bidi="ar-SA"/>
        </w:rPr>
        <w:t xml:space="preserve">و قد عدَّه البعض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إبطاء القائم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قد احتمل الشيخ آقا بزرك الطهراني أنَّ هذه المصنَّفات هي التي سوف تذكر فيما يلي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القائم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هذه المصنَّفات كلّها من تآليف الفضل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أعلام الشيعة الاثني عشريّة، و من أصحاب الإمام الجواد و الإمام الهادي، و الإمام العسكري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هو من كبار فرقة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لإبراهيم بن إسحاق الأحمري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Style w:val="FootnoteAnchor"/>
          <w:rtl w:val="true"/>
        </w:rPr>
        <w:footnoteReference w:id="20"/>
      </w:r>
      <w:r>
        <w:rPr>
          <w:rFonts w:ascii="Amiri" w:hAnsi="Amiri" w:eastAsia="Amiri" w:cs="Amiri"/>
          <w:color w:val="111111"/>
          <w:sz w:val="28"/>
          <w:sz w:val="28"/>
          <w:szCs w:val="28"/>
          <w:rtl w:val="true"/>
          <w:lang w:bidi="ar-SA"/>
        </w:rPr>
        <w:t xml:space="preserve">أبو العنبس محمَّد بن إسحاق ابن أبي العنبس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من ندماء المتوكّل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الجواب عن أبي الحسن عليّ بن أحمد بشار؛ و كتاب الأشهاد لأبي زيد العلوي،</w:t>
      </w:r>
      <w:r>
        <w:rPr>
          <w:rStyle w:val="FootnoteAnchor"/>
          <w:rtl w:val="true"/>
        </w:rPr>
        <w:footnoteReference w:id="21"/>
      </w:r>
      <w:r>
        <w:rPr>
          <w:rFonts w:ascii="Amiri" w:hAnsi="Amiri" w:eastAsia="Amiri" w:cs="Amiri"/>
          <w:color w:val="111111"/>
          <w:sz w:val="28"/>
          <w:sz w:val="28"/>
          <w:szCs w:val="28"/>
          <w:rtl w:val="true"/>
          <w:lang w:bidi="ar-SA"/>
        </w:rPr>
        <w:t xml:space="preserve">لمحمَّد بن عبد الرحمن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كبار متكلّمي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الأحاديث الواردة في المهديّ عليه السلام،</w:t>
      </w:r>
      <w:r>
        <w:rPr>
          <w:rStyle w:val="FootnoteAnchor"/>
          <w:rtl w:val="true"/>
        </w:rPr>
        <w:footnoteReference w:id="22"/>
      </w:r>
      <w:r>
        <w:rPr>
          <w:rFonts w:ascii="Amiri" w:hAnsi="Amiri" w:eastAsia="Amiri" w:cs="Amiri"/>
          <w:color w:val="111111"/>
          <w:sz w:val="28"/>
          <w:sz w:val="28"/>
          <w:szCs w:val="28"/>
          <w:rtl w:val="true"/>
          <w:lang w:bidi="ar-SA"/>
        </w:rPr>
        <w:t xml:space="preserve">للحافظ أبي بكر ابن أبي خثيمة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فقهاء و محدّثي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23"/>
      </w:r>
      <w:r>
        <w:rPr>
          <w:rFonts w:ascii="Amiri" w:hAnsi="Amiri" w:eastAsia="Amiri" w:cs="Amiri"/>
          <w:color w:val="111111"/>
          <w:sz w:val="28"/>
          <w:sz w:val="28"/>
          <w:szCs w:val="28"/>
          <w:rtl w:val="true"/>
          <w:lang w:bidi="ar-SA"/>
        </w:rPr>
        <w:t xml:space="preserve">لمحمَّد بن الحسن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محدَّثي الشيعة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Style w:val="FootnoteAnchor"/>
          <w:rtl w:val="true"/>
        </w:rPr>
        <w:footnoteReference w:id="24"/>
      </w:r>
      <w:r>
        <w:rPr>
          <w:rFonts w:ascii="Amiri" w:hAnsi="Amiri" w:eastAsia="Amiri" w:cs="Amiri"/>
          <w:color w:val="111111"/>
          <w:sz w:val="28"/>
          <w:sz w:val="28"/>
          <w:szCs w:val="28"/>
          <w:rtl w:val="true"/>
          <w:lang w:bidi="ar-SA"/>
        </w:rPr>
        <w:t xml:space="preserve">لأبي يحيى زكريّا بن يحيى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محدّثي أهل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25"/>
      </w:r>
      <w:r>
        <w:rPr>
          <w:rFonts w:ascii="Amiri" w:hAnsi="Amiri" w:eastAsia="Amiri" w:cs="Amiri"/>
          <w:color w:val="111111"/>
          <w:sz w:val="28"/>
          <w:sz w:val="28"/>
          <w:szCs w:val="28"/>
          <w:rtl w:val="true"/>
          <w:lang w:bidi="ar-SA"/>
        </w:rPr>
        <w:t>لحسين بن سعيد بن حماد بن مهران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شيعيٌّ إماميٌّ اثنا عشري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Style w:val="FootnoteAnchor"/>
          <w:rtl w:val="true"/>
        </w:rPr>
        <w:footnoteReference w:id="26"/>
      </w:r>
      <w:r>
        <w:rPr>
          <w:rFonts w:ascii="Amiri" w:hAnsi="Amiri" w:eastAsia="Amiri" w:cs="Amiri"/>
          <w:color w:val="111111"/>
          <w:sz w:val="28"/>
          <w:sz w:val="28"/>
          <w:szCs w:val="28"/>
          <w:rtl w:val="true"/>
          <w:lang w:bidi="ar-SA"/>
        </w:rPr>
        <w:t>لأبي الحسن عليّ بن محمّد بن عليّ السواق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شيعيٌّ واقفي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27"/>
      </w:r>
      <w:r>
        <w:rPr>
          <w:rFonts w:ascii="Amiri" w:hAnsi="Amiri" w:eastAsia="Amiri" w:cs="Amiri"/>
          <w:color w:val="111111"/>
          <w:sz w:val="28"/>
          <w:sz w:val="28"/>
          <w:szCs w:val="28"/>
          <w:rtl w:val="true"/>
          <w:lang w:bidi="ar-SA"/>
        </w:rPr>
        <w:t>محمّد بن عبد اللّه بن مهران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من علماء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أبي محمّد و التوقيعات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إلى صاحب الأمر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الحيرة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مسائله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هذه المصنَّفات كلّها 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أعلام الشيعة الاثني عشريّة، و من أصحاب الإمام الرضا و الإمام الهادي و الإمام العسكري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Style w:val="FootnoteAnchor"/>
          <w:rtl w:val="true"/>
        </w:rPr>
        <w:footnoteReference w:id="32"/>
      </w:r>
      <w:r>
        <w:rPr>
          <w:rFonts w:ascii="Amiri" w:hAnsi="Amiri" w:eastAsia="Amiri" w:cs="Amiri"/>
          <w:color w:val="111111"/>
          <w:sz w:val="28"/>
          <w:sz w:val="28"/>
          <w:szCs w:val="28"/>
          <w:rtl w:val="true"/>
          <w:lang w:bidi="ar-SA"/>
        </w:rPr>
        <w:t>لإسماعيل بن صالح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الشيعة الاثني عشريّة، و من أصحاب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كلاهما من مصنَّفات عليّ بن 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الشيعة الفَطَحيّة، و من أصحاب الإمام الهادي و الإمام العسكري عليهما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خروج القائم و ملاحم،</w:t>
      </w:r>
      <w:r>
        <w:rPr>
          <w:rStyle w:val="FootnoteAnchor"/>
          <w:rtl w:val="true"/>
        </w:rPr>
        <w:footnoteReference w:id="35"/>
      </w:r>
      <w:r>
        <w:rPr>
          <w:rFonts w:ascii="Amiri" w:hAnsi="Amiri" w:eastAsia="Amiri" w:cs="Amiri"/>
          <w:color w:val="111111"/>
          <w:sz w:val="28"/>
          <w:sz w:val="28"/>
          <w:szCs w:val="28"/>
          <w:rtl w:val="true"/>
          <w:lang w:bidi="ar-SA"/>
        </w:rPr>
        <w:t>لحسن بن محمَّد بن أحمد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المؤلّف شيعيٌّ 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القائم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كلاهما لعليّ بن مهزيار الأهوازي، و هو من أعلام الشيعة الاثني عشريّة، و من أصحاب الإمام الرضا و الإمام الجواد و الإمام الهادي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صاحب الزمان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وقت خروج القائم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هذه المصنّفات الثلاثة لمحمّد بن الحسن بن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الشيعة الإماميّة الاثنا عشريّة، و من أصحاب الإمام الكاظم و الإمام الرضا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41"/>
      </w:r>
      <w:r>
        <w:rPr>
          <w:rFonts w:ascii="Amiri" w:hAnsi="Amiri" w:eastAsia="Amiri" w:cs="Amiri"/>
          <w:color w:val="111111"/>
          <w:sz w:val="28"/>
          <w:sz w:val="28"/>
          <w:szCs w:val="28"/>
          <w:rtl w:val="true"/>
          <w:lang w:bidi="ar-SA"/>
        </w:rPr>
        <w:t>لإسماعيل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الإمام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42"/>
      </w:r>
      <w:r>
        <w:rPr>
          <w:rFonts w:ascii="Amiri" w:hAnsi="Amiri" w:eastAsia="Amiri" w:cs="Amiri"/>
          <w:color w:val="111111"/>
          <w:sz w:val="28"/>
          <w:sz w:val="28"/>
          <w:szCs w:val="28"/>
          <w:rtl w:val="true"/>
          <w:lang w:bidi="ar-SA"/>
        </w:rPr>
        <w:t xml:space="preserve">لمحمّد بن أُورَمَة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القائم،</w:t>
      </w:r>
      <w:r>
        <w:rPr>
          <w:rStyle w:val="FootnoteAnchor"/>
          <w:rtl w:val="true"/>
        </w:rPr>
        <w:footnoteReference w:id="43"/>
      </w:r>
      <w:r>
        <w:rPr>
          <w:rFonts w:ascii="Amiri" w:hAnsi="Amiri" w:eastAsia="Amiri" w:cs="Amiri"/>
          <w:color w:val="111111"/>
          <w:sz w:val="28"/>
          <w:sz w:val="28"/>
          <w:szCs w:val="28"/>
          <w:rtl w:val="true"/>
          <w:lang w:bidi="ar-SA"/>
        </w:rPr>
        <w:t>لمعلّى بن محمّد البصري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الشيعة الإماميّة، و من أصحاب الأئمَّة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القائم الصغير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و قد ورد أيضاً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هذه المصنَّفات الأربع لحسن بن عليّ بن أبي حمزة البطائني، و هو من كبار فرقة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Style w:val="FootnoteAnchor"/>
          <w:rtl w:val="true"/>
        </w:rPr>
        <w:footnoteReference w:id="48"/>
      </w:r>
      <w:r>
        <w:rPr>
          <w:rFonts w:ascii="Amiri" w:hAnsi="Amiri" w:eastAsia="Amiri" w:cs="Amiri"/>
          <w:color w:val="111111"/>
          <w:sz w:val="28"/>
          <w:sz w:val="28"/>
          <w:szCs w:val="28"/>
          <w:rtl w:val="true"/>
          <w:lang w:bidi="ar-SA"/>
        </w:rPr>
        <w:t>لعليّ بن عمر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الشيعة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w:t>
      </w:r>
      <w:r>
        <w:rPr>
          <w:rStyle w:val="FootnoteAnchor"/>
          <w:rtl w:val="true"/>
        </w:rPr>
        <w:footnoteReference w:id="49"/>
      </w:r>
      <w:r>
        <w:rPr>
          <w:rFonts w:ascii="Amiri" w:hAnsi="Amiri" w:eastAsia="Amiri" w:cs="Amiri"/>
          <w:color w:val="111111"/>
          <w:sz w:val="28"/>
          <w:sz w:val="28"/>
          <w:szCs w:val="28"/>
          <w:rtl w:val="true"/>
          <w:lang w:bidi="ar-SA"/>
        </w:rPr>
        <w:t>لمحمَّد بن عيسى بن عبيد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محدّثي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التنبيه،</w:t>
      </w:r>
      <w:r>
        <w:rPr>
          <w:rStyle w:val="FootnoteAnchor"/>
          <w:rtl w:val="true"/>
        </w:rPr>
        <w:footnoteReference w:id="50"/>
      </w:r>
      <w:r>
        <w:rPr>
          <w:rFonts w:ascii="Amiri" w:hAnsi="Amiri" w:eastAsia="Amiri" w:cs="Amiri"/>
          <w:color w:val="111111"/>
          <w:sz w:val="28"/>
          <w:sz w:val="28"/>
          <w:szCs w:val="28"/>
          <w:rtl w:val="true"/>
          <w:lang w:bidi="ar-SA"/>
        </w:rPr>
        <w:t>لأبي سهل إسماعيل بن عليّ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كبار متكلّمي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Style w:val="FootnoteAnchor"/>
          <w:rtl w:val="true"/>
        </w:rPr>
        <w:footnoteReference w:id="51"/>
      </w:r>
      <w:r>
        <w:rPr>
          <w:rFonts w:ascii="Amiri" w:hAnsi="Amiri" w:eastAsia="Amiri" w:cs="Amiri"/>
          <w:color w:val="111111"/>
          <w:sz w:val="28"/>
          <w:sz w:val="28"/>
          <w:szCs w:val="28"/>
          <w:rtl w:val="true"/>
          <w:lang w:bidi="ar-SA"/>
        </w:rPr>
        <w:t>لأبي 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كان خادماً للإمام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52"/>
      </w:r>
      <w:r>
        <w:rPr>
          <w:rFonts w:ascii="Amiri" w:hAnsi="Amiri" w:eastAsia="Amiri" w:cs="Amiri"/>
          <w:color w:val="111111"/>
          <w:sz w:val="28"/>
          <w:sz w:val="28"/>
          <w:szCs w:val="28"/>
          <w:rtl w:val="true"/>
          <w:lang w:bidi="ar-SA"/>
        </w:rPr>
        <w:t>لأبي محمّد العَمْرَكي بن عليّ البُوْفَكي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أعلام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 w:name="pg7486_97082"/>
    </w:p>
    <w:p>
      <w:pPr>
        <w:pStyle w:val="BookText"/>
        <w:rPr/>
      </w:pPr>
      <w:bookmarkEnd w:id="25"/>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53"/>
      </w:r>
      <w:r>
        <w:rPr>
          <w:rFonts w:ascii="Amiri" w:hAnsi="Amiri" w:eastAsia="Amiri" w:cs="Amiri"/>
          <w:color w:val="111111"/>
          <w:sz w:val="28"/>
          <w:sz w:val="28"/>
          <w:szCs w:val="28"/>
          <w:rtl w:val="true"/>
          <w:lang w:bidi="ar-SA"/>
        </w:rPr>
        <w:t>لأحمد بن ميثم 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الشيعة الاثني عشريّة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54"/>
      </w:r>
      <w:r>
        <w:rPr>
          <w:rFonts w:ascii="Amiri" w:hAnsi="Amiri" w:eastAsia="Amiri" w:cs="Amiri"/>
          <w:color w:val="111111"/>
          <w:sz w:val="28"/>
          <w:sz w:val="28"/>
          <w:szCs w:val="28"/>
          <w:rtl w:val="true"/>
          <w:lang w:bidi="ar-SA"/>
        </w:rPr>
        <w:t>لأبي عبد اللّه محمّد بن عباس بن عيسى الغاضري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Style w:val="FootnoteAnchor"/>
          <w:rtl w:val="true"/>
        </w:rPr>
        <w:footnoteReference w:id="55"/>
      </w:r>
      <w:r>
        <w:rPr>
          <w:rFonts w:ascii="Amiri" w:hAnsi="Amiri" w:eastAsia="Amiri" w:cs="Amiri"/>
          <w:color w:val="111111"/>
          <w:sz w:val="28"/>
          <w:sz w:val="28"/>
          <w:szCs w:val="28"/>
          <w:rtl w:val="true"/>
          <w:lang w:bidi="ar-SA"/>
        </w:rPr>
        <w:t>لأبي يحيى أحمد بن داود بن سعيد الفزاري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كبار محدّثي أهل السنّة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225898_1051229030"/>
      <w:bookmarkStart w:id="27" w:name="_Toc9"/>
      <w:bookmarkEnd w:id="26"/>
      <w:r>
        <w:rPr>
          <w:rtl w:val="true"/>
        </w:rPr>
        <w:t>المصنَّفات المهدويَّة في القرن الرابع</w:t>
      </w:r>
      <w:bookmarkEnd w:id="27"/>
    </w:p>
    <w:p>
      <w:pPr>
        <w:pStyle w:val="Heading5"/>
        <w:numPr>
          <w:ilvl w:val="4"/>
          <w:numId w:val="1"/>
        </w:numPr>
        <w:rPr/>
      </w:pPr>
      <w:bookmarkStart w:id="28" w:name="__RefHeading___Toc2225900_1051229030"/>
      <w:bookmarkStart w:id="29" w:name="_Toc10"/>
      <w:bookmarkEnd w:id="28"/>
      <w:r>
        <w:rPr>
          <w:rtl w:val="true"/>
        </w:rPr>
        <w:t>الف</w:t>
      </w:r>
      <w:r>
        <w:rPr>
          <w:rtl w:val="true"/>
        </w:rPr>
        <w:t xml:space="preserve">) </w:t>
      </w:r>
      <w:r>
        <w:rPr>
          <w:rtl w:val="true"/>
        </w:rPr>
        <w:t>المصنَّفات الموجودة</w:t>
      </w:r>
      <w:r>
        <w:rPr>
          <w:rtl w:val="true"/>
        </w:rPr>
        <w:t>:</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لأبي الحسن أحمد بن جعفر بن محمّد 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ذكره السيّد ابن طاوس في كتاب الطرائف، و منه مخطوطة في مكتبة المسجد الأعظم بقم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 نسخة أُخرى في مكتبة مجلس الشورى الإسلامي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طبع هذا الكتاب بتحقيق الشيخ عبد الكريم العقيلي في 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منشورات دار السيرة، و المؤلّف من كبار علماء أهل السنّة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هذا الكتاب عدّة </w:t>
      </w:r>
    </w:p>
    <w:p>
      <w:pPr>
        <w:pStyle w:val="BookText"/>
        <w:rPr/>
      </w:pPr>
      <w:r>
        <w:rPr>
          <w:rFonts w:ascii="Amiri" w:hAnsi="Amiri" w:eastAsia="Amiri" w:cs="Amiri"/>
          <w:color w:val="111111"/>
          <w:sz w:val="28"/>
          <w:sz w:val="28"/>
          <w:szCs w:val="28"/>
          <w:rtl w:val="true"/>
          <w:lang w:bidi="ar-SA"/>
        </w:rPr>
        <w:t>مرّات، و ترجم أيضاً مرّات عديدة إلى الفارسيّة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قد تمّ فهرسة ما يربو على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على أقلّ تقدير في المكتبات الإيرانيّة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تعرّض الشيخ الصدوق في كتابه هذا إلى غيبة الأنبياء، و روايات الغيبة عن الأئمَّة الاثني عشر، و التوقيعات، و المعمّرين، و مسائل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يشتمل الكتاب على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 لم يَكْتَفِ الشيخ الصدوق بنقل الروايات فحسب، بل أورد في بدايات الأبواب و نهاياته توضيحات و تعليقات حول الأحاديث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يشتمل الكتاب على مقدّمة مسهبة حول مباحث الإمامة، و الإجابة عن الشبهات في أكثر من مئة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محمَّد بن إبراهيم بن جعفر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يرى 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عبارة النعماني أنّ سنة تأليف الكتاب بعد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من هذا الكتاب عشرة نسخ في مكتبات إيران،</w:t>
      </w:r>
      <w:r>
        <w:rPr>
          <w:rStyle w:val="FootnoteAnchor"/>
          <w:rtl w:val="true"/>
        </w:rPr>
        <w:footnoteReference w:id="62"/>
      </w:r>
      <w:r>
        <w:rPr>
          <w:rFonts w:ascii="Amiri" w:hAnsi="Amiri" w:eastAsia="Amiri" w:cs="Amiri"/>
          <w:color w:val="111111"/>
          <w:sz w:val="28"/>
          <w:sz w:val="28"/>
          <w:szCs w:val="28"/>
          <w:rtl w:val="true"/>
          <w:lang w:bidi="ar-SA"/>
        </w:rPr>
        <w:t>و قد طبع هذا الكتاب عدّة مرّات، و ترجم إلى الفارسيّة أكثر من مرّة</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تأليف الكتاب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جمع فيه مصنِّفه خمس مئة حديث حول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0" w:name="pg7486_97084"/>
    </w:p>
    <w:p>
      <w:pPr>
        <w:pStyle w:val="Heading5"/>
        <w:numPr>
          <w:ilvl w:val="4"/>
          <w:numId w:val="1"/>
        </w:numPr>
        <w:rPr/>
      </w:pPr>
      <w:bookmarkStart w:id="31" w:name="__RefHeading___Toc2225902_1051229030"/>
      <w:bookmarkStart w:id="32" w:name="_Toc11"/>
      <w:bookmarkEnd w:id="30"/>
      <w:bookmarkEnd w:id="31"/>
      <w:r>
        <w:rPr>
          <w:rtl w:val="true"/>
        </w:rPr>
        <w:t>ب</w:t>
      </w:r>
      <w:r>
        <w:rPr>
          <w:rtl w:val="true"/>
        </w:rPr>
        <w:t xml:space="preserve">) </w:t>
      </w:r>
      <w:r>
        <w:rPr>
          <w:rtl w:val="true"/>
        </w:rPr>
        <w:t>المصنَّفات المفقودة</w:t>
      </w:r>
      <w:r>
        <w:rPr>
          <w:rtl w:val="true"/>
        </w:rPr>
        <w:t>:</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كلامه في الملاحم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كلاهما لأبي أحمد عزيز بن يحيى بن أحمد بن عيسى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محدّثي الشيعة الإماميَّة، و من أصحاب الإمام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كلّها لمحمّد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من كبار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Style w:val="FootnoteAnchor"/>
          <w:rtl w:val="true"/>
        </w:rPr>
        <w:footnoteReference w:id="69"/>
      </w:r>
      <w:r>
        <w:rPr>
          <w:rFonts w:ascii="Amiri" w:hAnsi="Amiri" w:eastAsia="Amiri" w:cs="Amiri"/>
          <w:color w:val="111111"/>
          <w:sz w:val="28"/>
          <w:sz w:val="28"/>
          <w:szCs w:val="28"/>
          <w:rtl w:val="true"/>
          <w:lang w:bidi="ar-SA"/>
        </w:rPr>
        <w:t xml:space="preserve">، لمحمّد بن عليّ بن أبي العذافر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المهدي عليه السلام،</w:t>
      </w:r>
      <w:r>
        <w:rPr>
          <w:rStyle w:val="FootnoteAnchor"/>
          <w:rtl w:val="true"/>
        </w:rPr>
        <w:footnoteReference w:id="70"/>
      </w:r>
      <w:r>
        <w:rPr>
          <w:rFonts w:ascii="Amiri" w:hAnsi="Amiri" w:eastAsia="Amiri" w:cs="Amiri"/>
          <w:color w:val="111111"/>
          <w:sz w:val="28"/>
          <w:sz w:val="28"/>
          <w:szCs w:val="28"/>
          <w:rtl w:val="true"/>
          <w:lang w:bidi="ar-SA"/>
        </w:rPr>
        <w:t xml:space="preserve">لأبي الحسن أحمد بن جعفر بن محمّد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الحيرة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كلاهما لسلامة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 حكم الغيبة،</w:t>
      </w:r>
      <w:r>
        <w:rPr>
          <w:rStyle w:val="FootnoteAnchor"/>
          <w:rtl w:val="true"/>
        </w:rPr>
        <w:footnoteReference w:id="73"/>
      </w:r>
      <w:r>
        <w:rPr>
          <w:rFonts w:ascii="Amiri" w:hAnsi="Amiri" w:eastAsia="Amiri" w:cs="Amiri"/>
          <w:color w:val="111111"/>
          <w:sz w:val="28"/>
          <w:sz w:val="28"/>
          <w:szCs w:val="28"/>
          <w:rtl w:val="true"/>
          <w:lang w:bidi="ar-SA"/>
        </w:rPr>
        <w:t xml:space="preserve">لأبي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ذكر قائم آل محمّد،</w:t>
      </w:r>
      <w:r>
        <w:rPr>
          <w:rStyle w:val="FootnoteAnchor"/>
          <w:rtl w:val="true"/>
        </w:rPr>
        <w:footnoteReference w:id="74"/>
      </w:r>
      <w:r>
        <w:rPr>
          <w:rFonts w:ascii="Amiri" w:hAnsi="Amiri" w:eastAsia="Amiri" w:cs="Amiri"/>
          <w:color w:val="111111"/>
          <w:sz w:val="28"/>
          <w:sz w:val="28"/>
          <w:szCs w:val="28"/>
          <w:rtl w:val="true"/>
          <w:lang w:bidi="ar-SA"/>
        </w:rPr>
        <w:t xml:space="preserve">لأبي سعيد أحمد بن رميح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تاريخ النبيّ و الأئمّة، لأبي عبد اللّه الحسين بن حمدان الجنبلاني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الجزء الثاني من هذا الكتاب بالإمام المهدي عليه السلام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هو من جملة المصنّفين الذين أدرج ترجمتهم الشيخ الطوسي في الفهرست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الغيبة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الأشفية في معاني الغيبة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كلاهما للحسن بن حمزة العلوي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المؤلّف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و ذكر القائم،</w:t>
      </w:r>
      <w:r>
        <w:rPr>
          <w:rStyle w:val="FootnoteAnchor"/>
          <w:rtl w:val="true"/>
        </w:rPr>
        <w:footnoteReference w:id="79"/>
      </w:r>
      <w:r>
        <w:rPr>
          <w:rFonts w:ascii="Amiri" w:hAnsi="Amiri" w:eastAsia="Amiri" w:cs="Amiri"/>
          <w:color w:val="111111"/>
          <w:sz w:val="28"/>
          <w:sz w:val="28"/>
          <w:szCs w:val="28"/>
          <w:rtl w:val="true"/>
          <w:lang w:bidi="ar-SA"/>
        </w:rPr>
        <w:t xml:space="preserve">للحسن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المؤلّف من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الأوّلة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الثانية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الثالثة في الغيبة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السرّ المكتوم إلى الوقت المعلوم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علامات آخر الزمان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الكتاب السيّد هاشم البحراني، و صاحب رياض العلماء، و صرّح الأخير بأنّه غير كمال الدين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هذه المصنَّفات التسع كلّها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لها 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الدولة في ظهور المهدي عليه السلام،</w:t>
      </w:r>
      <w:r>
        <w:rPr>
          <w:rStyle w:val="FootnoteAnchor"/>
          <w:rtl w:val="true"/>
        </w:rPr>
        <w:footnoteReference w:id="87"/>
      </w:r>
      <w:r>
        <w:rPr>
          <w:rFonts w:ascii="Amiri" w:hAnsi="Amiri" w:eastAsia="Amiri" w:cs="Amiri"/>
          <w:color w:val="111111"/>
          <w:sz w:val="28"/>
          <w:sz w:val="28"/>
          <w:szCs w:val="28"/>
          <w:rtl w:val="true"/>
          <w:lang w:bidi="ar-SA"/>
        </w:rPr>
        <w:t xml:space="preserve">لأحمد بن إبراهيم بن جزّار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طبيبٌ مغربيّ، و من أتباع 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المهدي عليه السلام،</w:t>
      </w:r>
      <w:r>
        <w:rPr>
          <w:rStyle w:val="FootnoteAnchor"/>
          <w:rtl w:val="true"/>
        </w:rPr>
        <w:footnoteReference w:id="88"/>
      </w:r>
      <w:r>
        <w:rPr>
          <w:rFonts w:ascii="Amiri" w:hAnsi="Amiri" w:eastAsia="Amiri" w:cs="Amiri"/>
          <w:color w:val="111111"/>
          <w:sz w:val="28"/>
          <w:sz w:val="28"/>
          <w:szCs w:val="28"/>
          <w:rtl w:val="true"/>
          <w:lang w:bidi="ar-SA"/>
        </w:rPr>
        <w:t>لعيسى بن مهران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89"/>
      </w:r>
      <w:r>
        <w:rPr>
          <w:rFonts w:ascii="Amiri" w:hAnsi="Amiri" w:eastAsia="Amiri" w:cs="Amiri"/>
          <w:color w:val="111111"/>
          <w:sz w:val="28"/>
          <w:sz w:val="28"/>
          <w:szCs w:val="28"/>
          <w:rtl w:val="true"/>
          <w:lang w:bidi="ar-SA"/>
        </w:rPr>
        <w:t>لأبي القاسم عليّ بن الحسن بن القاسم اليشكري، المعروف بابن الطبّال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مشايخ التلّعكبري في الكوفة، و من علماء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90"/>
      </w:r>
      <w:r>
        <w:rPr>
          <w:rFonts w:ascii="Amiri" w:hAnsi="Amiri" w:eastAsia="Amiri" w:cs="Amiri"/>
          <w:color w:val="111111"/>
          <w:sz w:val="28"/>
          <w:sz w:val="28"/>
          <w:szCs w:val="28"/>
          <w:rtl w:val="true"/>
          <w:lang w:bidi="ar-SA"/>
        </w:rPr>
        <w:t>لأبي جعفر محمّد بن أحمد بن يحيى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علماء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91"/>
      </w:r>
      <w:r>
        <w:rPr>
          <w:rFonts w:ascii="Amiri" w:hAnsi="Amiri" w:eastAsia="Amiri" w:cs="Amiri"/>
          <w:color w:val="111111"/>
          <w:sz w:val="28"/>
          <w:sz w:val="28"/>
          <w:szCs w:val="28"/>
          <w:rtl w:val="true"/>
          <w:lang w:bidi="ar-SA"/>
        </w:rPr>
        <w:t>لإبراهيم بن حكم بن ظهير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Style w:val="FootnoteAnchor"/>
          <w:rtl w:val="true"/>
        </w:rPr>
        <w:footnoteReference w:id="92"/>
      </w:r>
      <w:r>
        <w:rPr>
          <w:rFonts w:ascii="Amiri" w:hAnsi="Amiri" w:eastAsia="Amiri" w:cs="Amiri"/>
          <w:color w:val="111111"/>
          <w:sz w:val="28"/>
          <w:sz w:val="28"/>
          <w:szCs w:val="28"/>
          <w:rtl w:val="true"/>
          <w:lang w:bidi="ar-SA"/>
        </w:rPr>
        <w:t>لأبي الحسن عليّ بن أبي صالح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Style w:val="FootnoteAnchor"/>
          <w:rtl w:val="true"/>
        </w:rPr>
        <w:footnoteReference w:id="93"/>
      </w:r>
      <w:r>
        <w:rPr>
          <w:rFonts w:ascii="Amiri" w:hAnsi="Amiri" w:eastAsia="Amiri" w:cs="Amiri"/>
          <w:color w:val="111111"/>
          <w:sz w:val="28"/>
          <w:sz w:val="28"/>
          <w:szCs w:val="28"/>
          <w:rtl w:val="true"/>
          <w:lang w:bidi="ar-SA"/>
        </w:rPr>
        <w:t>لعليّ بن محمّد بن عمر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Style w:val="FootnoteAnchor"/>
          <w:rtl w:val="true"/>
        </w:rPr>
        <w:footnoteReference w:id="94"/>
      </w:r>
      <w:r>
        <w:rPr>
          <w:rFonts w:ascii="Amiri" w:hAnsi="Amiri" w:eastAsia="Amiri" w:cs="Amiri"/>
          <w:color w:val="111111"/>
          <w:sz w:val="28"/>
          <w:sz w:val="28"/>
          <w:szCs w:val="28"/>
          <w:rtl w:val="true"/>
          <w:lang w:bidi="ar-SA"/>
        </w:rPr>
        <w:t>لمحمّد بن قاسم،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متكلّمي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w:t>
      </w:r>
      <w:r>
        <w:rPr>
          <w:rStyle w:val="FootnoteAnchor"/>
          <w:rtl w:val="true"/>
        </w:rPr>
        <w:footnoteReference w:id="95"/>
      </w:r>
      <w:r>
        <w:rPr>
          <w:rFonts w:ascii="Amiri" w:hAnsi="Amiri" w:eastAsia="Amiri" w:cs="Amiri"/>
          <w:color w:val="111111"/>
          <w:sz w:val="28"/>
          <w:sz w:val="28"/>
          <w:szCs w:val="28"/>
          <w:rtl w:val="true"/>
          <w:lang w:bidi="ar-SA"/>
        </w:rPr>
        <w:t>لأبي الحسن عليّ بن محمّد بن إبراهيم الكليني الرازي،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Style w:val="FootnoteAnchor"/>
          <w:rtl w:val="true"/>
        </w:rPr>
        <w:footnoteReference w:id="96"/>
      </w:r>
      <w:r>
        <w:rPr>
          <w:rFonts w:ascii="Amiri" w:hAnsi="Amiri" w:eastAsia="Amiri" w:cs="Amiri"/>
          <w:color w:val="111111"/>
          <w:sz w:val="28"/>
          <w:sz w:val="28"/>
          <w:szCs w:val="28"/>
          <w:rtl w:val="true"/>
          <w:lang w:bidi="ar-SA"/>
        </w:rPr>
        <w:t>لحنظلة بن زكريّا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الشفاء و الجلاء في الغيبة،</w:t>
      </w:r>
      <w:r>
        <w:rPr>
          <w:rStyle w:val="FootnoteAnchor"/>
          <w:rtl w:val="true"/>
        </w:rPr>
        <w:footnoteReference w:id="97"/>
      </w:r>
      <w:r>
        <w:rPr>
          <w:rFonts w:ascii="Amiri" w:hAnsi="Amiri" w:eastAsia="Amiri" w:cs="Amiri"/>
          <w:color w:val="111111"/>
          <w:sz w:val="28"/>
          <w:sz w:val="28"/>
          <w:szCs w:val="28"/>
          <w:rtl w:val="true"/>
          <w:lang w:bidi="ar-SA"/>
        </w:rPr>
        <w:t>لأحمد بن عليّ بن خضيب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كشف الحيرة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 الحجّة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يحتمل اتّحادهما، و هما لمحمّد بن أحمد بن عبد اللّه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الأدلّة في ما يلزم خصوم الإماميّة دفعه عن الغيبة و الغائب،</w:t>
      </w:r>
      <w:r>
        <w:rPr>
          <w:rStyle w:val="FootnoteAnchor"/>
          <w:rtl w:val="true"/>
        </w:rPr>
        <w:footnoteReference w:id="100"/>
      </w:r>
      <w:r>
        <w:rPr>
          <w:rFonts w:ascii="Amiri" w:hAnsi="Amiri" w:eastAsia="Amiri" w:cs="Amiri"/>
          <w:color w:val="111111"/>
          <w:sz w:val="28"/>
          <w:sz w:val="28"/>
          <w:szCs w:val="28"/>
          <w:rtl w:val="true"/>
          <w:lang w:bidi="ar-SA"/>
        </w:rPr>
        <w:t>لأحمد بن حسين بن عبد اللّه المهراني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الداء عن قلوب الإخوان في معنى الغيبة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التحيُّر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كلاهما لمحمّد بن أحمد بن جنيد، من علماء الشيعة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روى من طرق أصحاب الحديث أنّ المهدي من ولد الحسين عليهما السلام، و فيه أخبار القائم،</w:t>
      </w:r>
      <w:r>
        <w:rPr>
          <w:rStyle w:val="FootnoteAnchor"/>
          <w:rtl w:val="true"/>
        </w:rPr>
        <w:footnoteReference w:id="103"/>
      </w:r>
      <w:r>
        <w:rPr>
          <w:rFonts w:ascii="Amiri" w:hAnsi="Amiri" w:eastAsia="Amiri" w:cs="Amiri"/>
          <w:color w:val="111111"/>
          <w:sz w:val="28"/>
          <w:sz w:val="28"/>
          <w:szCs w:val="28"/>
          <w:rtl w:val="true"/>
          <w:lang w:bidi="ar-SA"/>
        </w:rPr>
        <w:t>لأبي عليّ أحمد بن محمّد بن أحمد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3" w:name="pg7486_97089"/>
    </w:p>
    <w:p>
      <w:pPr>
        <w:pStyle w:val="BookText"/>
        <w:rPr/>
      </w:pPr>
      <w:bookmarkEnd w:id="33"/>
      <w:r>
        <w:rPr>
          <w:rFonts w:ascii="Amiri" w:hAnsi="Amiri" w:eastAsia="Amiri" w:cs="Amiri"/>
          <w:color w:val="111111"/>
          <w:sz w:val="28"/>
          <w:sz w:val="28"/>
          <w:szCs w:val="28"/>
          <w:rtl w:val="true"/>
          <w:lang w:bidi="ar-SA"/>
        </w:rPr>
        <w:t>و هو من علماء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Style w:val="FootnoteAnchor"/>
          <w:rtl w:val="true"/>
        </w:rPr>
        <w:footnoteReference w:id="104"/>
      </w:r>
      <w:r>
        <w:rPr>
          <w:rFonts w:ascii="Amiri" w:hAnsi="Amiri" w:eastAsia="Amiri" w:cs="Amiri"/>
          <w:color w:val="111111"/>
          <w:sz w:val="28"/>
          <w:sz w:val="28"/>
          <w:szCs w:val="28"/>
          <w:rtl w:val="true"/>
          <w:lang w:bidi="ar-SA"/>
        </w:rPr>
        <w:t>لأبي صالح أحمد بن عيسى السليلي، من علماء السنّة، و قد روى عنه ابن طاوس في كتابه الملاحم و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أبي عمرو و أبي جعفر العَمْريّين،</w:t>
      </w:r>
      <w:r>
        <w:rPr>
          <w:rStyle w:val="FootnoteAnchor"/>
          <w:rtl w:val="true"/>
        </w:rPr>
        <w:footnoteReference w:id="105"/>
      </w:r>
      <w:r>
        <w:rPr>
          <w:rFonts w:ascii="Amiri" w:hAnsi="Amiri" w:eastAsia="Amiri" w:cs="Amiri"/>
          <w:color w:val="111111"/>
          <w:sz w:val="28"/>
          <w:sz w:val="28"/>
          <w:szCs w:val="28"/>
          <w:rtl w:val="true"/>
          <w:lang w:bidi="ar-SA"/>
        </w:rPr>
        <w:t xml:space="preserve">لأبي نصر هبة اللّه بن أحمد بن محمّد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العبّاس بن نوح قد عوّل عليه في الحكاية في كتابه أخبار الوكلاء، و كان هذا الرجل كثيراً لزيارات و آخر زيارة حضرها معنا يوم الغدير سنة أربع مئة بمشهد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225904_1051229030"/>
      <w:bookmarkStart w:id="35" w:name="_Toc12"/>
      <w:bookmarkEnd w:id="34"/>
      <w:r>
        <w:rPr>
          <w:rtl w:val="true"/>
        </w:rPr>
        <w:t>المصنّفات المهدويّة في القرن الخامس</w:t>
      </w:r>
      <w:bookmarkEnd w:id="35"/>
    </w:p>
    <w:p>
      <w:pPr>
        <w:pStyle w:val="Heading5"/>
        <w:numPr>
          <w:ilvl w:val="4"/>
          <w:numId w:val="1"/>
        </w:numPr>
        <w:rPr/>
      </w:pPr>
      <w:bookmarkStart w:id="36" w:name="__RefHeading___Toc2225906_1051229030"/>
      <w:bookmarkStart w:id="37" w:name="_Toc13"/>
      <w:bookmarkEnd w:id="36"/>
      <w:r>
        <w:rPr>
          <w:rtl w:val="true"/>
        </w:rPr>
        <w:t>الف</w:t>
      </w:r>
      <w:r>
        <w:rPr>
          <w:rtl w:val="true"/>
        </w:rPr>
        <w:t xml:space="preserve">) </w:t>
      </w:r>
      <w:r>
        <w:rPr>
          <w:rtl w:val="true"/>
        </w:rPr>
        <w:t>المصنّفات الموجودة</w:t>
      </w:r>
      <w:r>
        <w:rPr>
          <w:rtl w:val="true"/>
        </w:rPr>
        <w:t>:</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في الغيبة،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أوَّلاً في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طبع في مصنّفات الشيخ المفيد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الشيخ المفيد في كتابه هذا عن عشرة أسئلة حول الإمام المهدي عليه السلام،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الغيبة، طول عمره، علامات الظهور، و اللقاء معه،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الكتاب مخطوطات كثيرة، و قد ترجم إلى الفارسيّة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انتقاد و پاسخ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الأولى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أوّلاً في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طبع ضمن خمس رسائل في إثبات الحجّة في قم المقدّسة في ضمن عدّة رسائل للشيخ المفيد، كما طبع في ضمن </w:t>
      </w:r>
    </w:p>
    <w:p>
      <w:pPr>
        <w:pStyle w:val="BookText"/>
        <w:rPr/>
      </w:pPr>
      <w:r>
        <w:rPr>
          <w:rFonts w:ascii="Amiri" w:hAnsi="Amiri" w:eastAsia="Amiri" w:cs="Amiri"/>
          <w:color w:val="111111"/>
          <w:sz w:val="28"/>
          <w:sz w:val="28"/>
          <w:szCs w:val="28"/>
          <w:rtl w:val="true"/>
          <w:lang w:bidi="ar-SA"/>
        </w:rPr>
        <w:t xml:space="preserve">مصنّفات الشيخ المفيد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المجلّد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هذه الرسالة 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الثانية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هذه الرسالة نظير سابقتها في النجف الأشرف و قم المقدّسة، و ضمن مصنّفات الشيخ المفيد، و قد ذكرها المحقّق الطباطبائي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الجوابات في خروج المهدي</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الثالثة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هذه الرسالة في المجلّد السابع من مجموعة مصنّفات الشيخ المفيد أيضاً، و هي حول أصحاب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الرابعة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هذه الرسالة في الإجابة عن الشبهة حول علّة غيبة الإمام المهدي عليه السلام، و هي أنّه لو كان العلّة في غيبته عليه السلام هي كثرة أعدائه و خوف القتل، فقد عاش آباؤه عليهم السلام في ظروفٍ أصعب بكثير لم يمنعهم عن الحضور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الرسالة في ضمن مجموعة مصنّفات الشيخ المفيد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لها مخطوطات عديدة، منها ما في المكتبة المرعشية،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17/12807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25/255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16/243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5/12807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المصنّفات الخمس الأخيرة للشيخ المفيد محمّد بن محمّد بن النعمان العكبري 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الغيبة، للقاضي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أعلام متكلّمي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8" w:name="pg7486_97091"/>
    </w:p>
    <w:p>
      <w:pPr>
        <w:pStyle w:val="BookText"/>
        <w:rPr/>
      </w:pPr>
      <w:bookmarkEnd w:id="38"/>
      <w:r>
        <w:rPr>
          <w:rFonts w:ascii="Amiri" w:hAnsi="Amiri" w:eastAsia="Amiri" w:cs="Amiri"/>
          <w:color w:val="111111"/>
          <w:sz w:val="28"/>
          <w:sz w:val="28"/>
          <w:szCs w:val="28"/>
          <w:rtl w:val="true"/>
          <w:lang w:bidi="ar-SA"/>
        </w:rPr>
        <w:t>أهل السنّة، توجد نسخة منه في الفاتيكان،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في المهدي عليه السلام، لأبي نعيم أحمد بن عبد 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الرسالة نسخ خطيّة في النجف الأشرف و قم المقدّسة، و قد أدرجها جملة من المؤلّفين كاملةً في مصنّفاتهم، كالسيوطي، و الإربلي، و البحراني،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ترجمها إلى الفارسيّة في القرن العاشر الهجري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الحسن علي بن حسن الزواره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المعاصرين حجّت البلاغي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طبع هذا الكتاب بتحقيق علي جلال باقر في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225908_1051229030"/>
      <w:bookmarkStart w:id="40" w:name="_Toc14"/>
      <w:bookmarkEnd w:id="39"/>
      <w:r>
        <w:rPr>
          <w:rtl w:val="true"/>
        </w:rPr>
        <w:t>ب</w:t>
      </w:r>
      <w:r>
        <w:rPr>
          <w:rtl w:val="true"/>
        </w:rPr>
        <w:t xml:space="preserve">) </w:t>
      </w:r>
      <w:r>
        <w:rPr>
          <w:rtl w:val="true"/>
        </w:rPr>
        <w:t>المصنّفات المفقودة</w:t>
      </w:r>
      <w:r>
        <w:rPr>
          <w:rtl w:val="true"/>
        </w:rPr>
        <w:t>:</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وكلاء الأئمّة الأربعة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صاحب الزمان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كلاهما لأبي عبد اللّه أحمد بن محمّد 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علماء الشيعة، و قد عدّهما جواد عليّ كتاباً مستقلاًّ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الطلحي في الغيبة</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الغيبة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احتمل بعضهم أن يكون هذا الكتاب إحدى رسائل الشيخ المفيد في الغيبة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الكتاب نسخة في مكتبة آية اللّه المرعشي</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الفارقيين في الغيبة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ذكر هذا الكتاب بأسماء أُخرى،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جوابات الفريقين في الغيبة، جوابات الميّافارقين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هذه المصنَّفات الأربع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الوكلاء الأربعة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الأبواب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عدّهما جواد عليّ كتاباً واحداً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هما لأبي العبّاس أحمد بن عليّ بن نوح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 عليه السلام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المهدي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يوسف بن يحيى المقدسي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عقد الدرر</w:t>
      </w:r>
      <w:r>
        <w:rPr>
          <w:rFonts w:eastAsia="Amiri" w:cs="Amiri" w:ascii="Amiri" w:hAnsi="Amiri"/>
          <w:color w:val="111111"/>
          <w:sz w:val="28"/>
          <w:szCs w:val="28"/>
          <w:rtl w:val="true"/>
          <w:lang w:bidi="ar-SA"/>
        </w:rPr>
        <w:t>.</w:t>
      </w:r>
      <w:r>
        <w:rPr>
          <w:rStyle w:val="FootnoteAnchor"/>
        </w:rPr>
        <w:footnoteReference w:id="12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عنه الحافظ أبو عبد اللّه الكنجي في كتابه البيان في أخبار صاحب الزمان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و نعوته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أورده السيّد ابن طاوس في الطرائف، و فهرس أبوابه، وعدّ أحاديثه، فكانت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عنه الحافظ أبو عبد اللّه الكنجي في كتابه البيان في أخبار صاحب الزمان خمسة عشر حديثاً،</w:t>
      </w:r>
      <w:r>
        <w:rPr>
          <w:rStyle w:val="FootnoteAnchor"/>
          <w:rtl w:val="true"/>
        </w:rPr>
        <w:footnoteReference w:id="125"/>
      </w:r>
      <w:r>
        <w:rPr>
          <w:rFonts w:ascii="Amiri" w:hAnsi="Amiri" w:eastAsia="Amiri" w:cs="Amiri"/>
          <w:color w:val="111111"/>
          <w:sz w:val="28"/>
          <w:sz w:val="28"/>
          <w:szCs w:val="28"/>
          <w:rtl w:val="true"/>
          <w:lang w:bidi="ar-SA"/>
        </w:rPr>
        <w:t>كما نقل عنه يوسف بن يحيى المقدسي الشافعي ثلاثة عشر حديثاً في كتابه عقد الدرر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المهدي عليه السلام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هذه المصنّفات السبع الأخيرة كلّها للحافظ أبي نعيم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علماء أهل السنّة البارزين و المكثرين في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حركة التأليف كانت و لا تزال مستمرّة على هذا النحو إلى العصر الحاضر، و المصنّفات التي دوّنت تضاعف حجمها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يومنا هذا فإنّ مسألة المهدويّة دُرست من جهات مختلفة و بأغراض شتّى، و مناهج متعدّدة، و عنيت بأنظار الباحثين و المؤلّفين، و اتّسع العمل عليها بشكلٍ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1" w:name="pg7486_97094"/>
    </w:p>
    <w:p>
      <w:pPr>
        <w:pStyle w:val="BookText"/>
        <w:rPr/>
      </w:pPr>
      <w:bookmarkEnd w:id="41"/>
      <w:r>
        <w:rPr>
          <w:rFonts w:ascii="Amiri" w:hAnsi="Amiri" w:eastAsia="Amiri" w:cs="Amiri"/>
          <w:color w:val="111111"/>
          <w:sz w:val="28"/>
          <w:sz w:val="28"/>
          <w:szCs w:val="28"/>
          <w:rtl w:val="true"/>
          <w:lang w:bidi="ar-SA"/>
        </w:rPr>
        <w:t>مضاعف بالنسبة للقرون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لنا أن نقسّم الدراسات المعاصرة إلى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الرسائل و الكتب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المصنّفات الانتقاديّة تارةً، و المغرضة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الرسائل و الأطاريح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المجلات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المعاجم و دوائر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الاستشراقيّة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225910_1051229030"/>
      <w:bookmarkStart w:id="43" w:name="_Toc15"/>
      <w:bookmarkEnd w:id="42"/>
      <w:r>
        <w:rPr>
          <w:rtl w:val="true"/>
        </w:rPr>
        <w:t>المناهج في الدراسات المهدويّة</w:t>
      </w:r>
      <w:bookmarkEnd w:id="43"/>
    </w:p>
    <w:p>
      <w:pPr>
        <w:pStyle w:val="Heading5"/>
        <w:numPr>
          <w:ilvl w:val="4"/>
          <w:numId w:val="1"/>
        </w:numPr>
        <w:rPr/>
      </w:pPr>
      <w:bookmarkStart w:id="44" w:name="__RefHeading___Toc2225912_1051229030"/>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تبيّن القراءة التحليليّة في الدراسات و الأبحاث المنشورة حول المهدويّة الاختلافات في نوع البحث و طريقة التعامل مع المسألة، و إنّ هذه الاختلافات كسائر المجالات البحثيّة في العلوم البشريّة تارةً تنشأ من الاختلاف في المباني و المناهج، و أُخرى تنشأ من الاختلاف في الملكات، و سائر العوامل الفرديّة، و الجدير بالتأمّل من بين هذه الاختلافات هو النوع الأوّل الناشئ من الاختلاف في المباني و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جملة من المحقّقين اعتمدوا في الأغلب على التعاليم الوحيانيّة، و بناءً عليه سوف نطلق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الآخر يستفيد من العلوم العقليّة مع الاعتماد على التعاليم الوحيانيّة، و هو ما نطلق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ثالث يجعل المشاهدات الشهوديّة أصلاً في الأبحاث المهدويّة، و سوف ندرس هذا المنهج في ضمن الكلام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سوف نسعى في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التعريف الإجمالي بهذه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الشواهد، و العصور التاريخيّة و التطوّرات، و التعريف بأعلامها، و ما تركوه من مصنّفات، و الأهمّ من ذلك الأفكار و النظريّات لكلّ واحدة منها</w:t>
      </w:r>
      <w:r>
        <w:rPr>
          <w:rFonts w:eastAsia="Amiri" w:cs="Amiri" w:ascii="Amiri" w:hAnsi="Amiri"/>
          <w:color w:val="111111"/>
          <w:sz w:val="28"/>
          <w:szCs w:val="28"/>
          <w:rtl w:val="true"/>
          <w:lang w:bidi="ar-SA"/>
        </w:rPr>
        <w:t xml:space="preserve">. </w:t>
      </w:r>
      <w:bookmarkStart w:id="46" w:name="pg7486_97095"/>
    </w:p>
    <w:p>
      <w:pPr>
        <w:pStyle w:val="Heading5"/>
        <w:numPr>
          <w:ilvl w:val="4"/>
          <w:numId w:val="1"/>
        </w:numPr>
        <w:rPr/>
      </w:pPr>
      <w:bookmarkStart w:id="47" w:name="__RefHeading___Toc2225914_1051229030"/>
      <w:bookmarkStart w:id="48" w:name="_Toc17"/>
      <w:bookmarkEnd w:id="46"/>
      <w:bookmarkEnd w:id="47"/>
      <w:r>
        <w:rPr>
          <w:rtl w:val="true"/>
        </w:rPr>
        <w:t>الأوّل</w:t>
      </w:r>
      <w:r>
        <w:rPr>
          <w:rtl w:val="true"/>
        </w:rPr>
        <w:t xml:space="preserve">: </w:t>
      </w:r>
      <w:r>
        <w:rPr>
          <w:rtl w:val="true"/>
        </w:rPr>
        <w:t>المنهج النقلي</w:t>
      </w:r>
      <w:bookmarkEnd w:id="48"/>
    </w:p>
    <w:p>
      <w:pPr>
        <w:pStyle w:val="Heading6"/>
        <w:numPr>
          <w:ilvl w:val="5"/>
          <w:numId w:val="1"/>
        </w:numPr>
        <w:rPr/>
      </w:pPr>
      <w:bookmarkStart w:id="49" w:name="__RefHeading___Toc2225916_1051229030"/>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إنّ أقدم المناهج في التعامل مع المسألة المهدويّة هو المنهج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جمع الأحاديث و تبويبها أُولى الجهود الفكريّة التي بذلت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المصادر الأوّليّة للشيعة و السنّة ك الكافي و الصحاح الستّة في باب المهدويّة 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هذا المنهج اعتماداً أساسيّاً على التعاليم الوحيانيّة، و لعلّه يرجع إلى أنّ أصحاب هذا المنهج يرون المهدويّة من الأسرار الإلهيّة و الأُمور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لهذا المنهج النصيب الأكبر من الروّاد منذ بداية التأليف فيه إلى العصر الحاضر، فقد أُلّفت في القرون الأُولى مصنّفات كثيرة، و حتّى قبل مولد الإمام المهدي عليه السلام، و هي التي تربو على ثمانين مصنّفاً، و إنّ كتاب الغيبة للشيخ النعماني و كمال الدين للشيخ الصدوق هما أقدم المصنّفات الواصلة إلينا من القرن الرابع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اهتمامات المصنِّفَيْن في تأليف الكتابَيْن هو تبيين عقائد الشيعة حول الإمام الثاني عشر، و دفع الحيرة، و إزالة الشبهة عنها، و إليك التعريف بهما</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225918_1051229030"/>
      <w:bookmarkStart w:id="52" w:name="_Toc19"/>
      <w:bookmarkEnd w:id="51"/>
      <w:r>
        <w:rPr>
          <w:rtl w:val="true"/>
        </w:rPr>
        <w:t>الكتاب الأوّل</w:t>
      </w:r>
      <w:r>
        <w:rPr>
          <w:rtl w:val="true"/>
        </w:rPr>
        <w:t xml:space="preserve">: </w:t>
      </w:r>
      <w:r>
        <w:rPr>
          <w:rtl w:val="true"/>
        </w:rPr>
        <w:t>كتاب الغيبة للنعماني</w:t>
      </w:r>
      <w:bookmarkEnd w:id="52"/>
    </w:p>
    <w:p>
      <w:pPr>
        <w:pStyle w:val="BookText"/>
        <w:rPr/>
      </w:pPr>
      <w:r>
        <w:rPr>
          <w:rFonts w:ascii="Amiri" w:hAnsi="Amiri" w:eastAsia="Amiri" w:cs="Amiri"/>
          <w:color w:val="111111"/>
          <w:sz w:val="28"/>
          <w:sz w:val="28"/>
          <w:szCs w:val="28"/>
          <w:rtl w:val="true"/>
          <w:lang w:bidi="ar-SA"/>
        </w:rPr>
        <w:t>يقول الشيخ محمّد بن إبراهيم بن جعفر النعماني،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بعد الحمد للّه و الصلاة على نبيّه و آله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رأينا طوائف من العصابة المنسوبة إلى التشيّع، المنتمية إلى نبيّها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بالإمامة التي جعلها اللّه برحمته دين الحقّ، و لسان الصدق، و زيناً لمن دخل فيها، و نجاةً و جمالاً لمن كان من أهلها، و فاز بذمّتها، و تمسّك بعقدتها، و وفى لها بشروطها، من المواظبة على الصلوات، و إيتاء الزكوات، و المسابقة إلى الخيرات، و اجتناب الفواحش و المنكرات، و التنزّه عن سائر المحظورات، و مراقبة اللّه تقدّس ذكره في الملأ و الخلوات، و تشغل </w:t>
      </w:r>
    </w:p>
    <w:p>
      <w:pPr>
        <w:pStyle w:val="BookText"/>
        <w:rPr/>
      </w:pPr>
      <w:r>
        <w:rPr>
          <w:rFonts w:ascii="Amiri" w:hAnsi="Amiri" w:eastAsia="Amiri" w:cs="Amiri"/>
          <w:color w:val="111111"/>
          <w:sz w:val="28"/>
          <w:sz w:val="28"/>
          <w:szCs w:val="28"/>
          <w:rtl w:val="true"/>
          <w:lang w:bidi="ar-SA"/>
        </w:rPr>
        <w:t xml:space="preserve">القلوب و إتعاب الأنفس و الأبدان في حيازة القربات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تفرّقت كلمها، و تشعّبت مذاهبها، و استهانت بفرائض اللّه عزّ و جلّ، و خفت إلى محارم اللّه تعالى، فطال بعضها علوّاً، و انخفض بعضها تقصيراً، و شكوا جميعاً إلّاالقليل في إمام زمانهم، و ولي أمرهم، و حجّة ربّهم التي اختارها بعلمه، كما 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من أمرهم للمحنة الواقعة بهذه الغيبة التي سبق من رسول اللّه صلّى اللّه عليه و آله ذكرها، و تقدّم من أمير المؤمنين عليه السلام خبرها، و نطق في المأثور من خطبه و المرويّ عنه من كلامه و حديثه، بالتحذير من فتنتها، و حمل أهل العلم و الرواية عن الأئمّة من ولده عليهم السلام واحداً بعد واحد أخبارها، حتّى ما منهم أحد إلّاو قدم القول فيها، و حقّق كونها، و وصف امتحان اللّه تبارك و تعالى اسمه خلقه بها بما أوجبته قبائح الأفعال و مساوئ الأعمال، و الشحّ المطاع، و العاجل الفاني، المؤثّر على الدائم الباقي، و الشهوات المتبعة، و الحقوق المضيّعة التي اكتسبت سخط اللّه عزّ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الشكّ و الارتياب قادحين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 عليه السلام في كلامه لكميل بن زياد في صفة طالبي العلم و حملته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منقاداً لأهل الحقّ لا بصيرة له، ينقدح الشكّ في قلبه لأوّل عارض من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أدّاهم ذلك إلى التيه و الحيرة و العمى و الضلالة، و لم يَبْقَ منهم إلّاالقليل النزر الذين ثبتوا على دين اللّه، و تمسّكوا بحبل اللّه، و لم يحيدوا عن صراط اللّه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فيهم وصف الفرقة الثابتة على الحقّ التي لا تزعزعها الرياح، و لا يضرّها الفتن، و لا يغرّها لمع السراب، و لم تدخل في دين اللّه بالرجال فتخرج منه بهم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قام الشيخ النعماني بتبويب كتابه إلى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 قد ذكر أسانيد الروايات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3" w:name="pg7486_97097"/>
    </w:p>
    <w:p>
      <w:pPr>
        <w:pStyle w:val="BookText"/>
        <w:rPr/>
      </w:pPr>
      <w:bookmarkEnd w:id="53"/>
      <w:r>
        <w:rPr>
          <w:rFonts w:ascii="Amiri" w:hAnsi="Amiri" w:eastAsia="Amiri" w:cs="Amiri"/>
          <w:color w:val="111111"/>
          <w:sz w:val="28"/>
          <w:sz w:val="28"/>
          <w:szCs w:val="28"/>
          <w:rtl w:val="true"/>
          <w:lang w:bidi="ar-SA"/>
        </w:rPr>
        <w:t>بصورة كاملة، و أشار في مقدّمة الكتاب بصورة ضمنيّة إلى أنّ الروايات الواردة في هذا الكتاب صحيحة</w:t>
      </w:r>
      <w:r>
        <w:rPr>
          <w:rFonts w:eastAsia="Amiri" w:cs="Amiri" w:ascii="Amiri" w:hAnsi="Amiri"/>
          <w:color w:val="111111"/>
          <w:sz w:val="28"/>
          <w:szCs w:val="28"/>
          <w:rtl w:val="true"/>
          <w:lang w:bidi="ar-SA"/>
        </w:rPr>
        <w:t>.</w:t>
      </w:r>
      <w:r>
        <w:rPr>
          <w:rStyle w:val="FootnoteAnchor"/>
          <w:rtl w:val="true"/>
        </w:rPr>
        <w:footnoteReference w:id="131"/>
      </w:r>
    </w:p>
    <w:p>
      <w:pPr>
        <w:pStyle w:val="Heading6"/>
        <w:numPr>
          <w:ilvl w:val="5"/>
          <w:numId w:val="1"/>
        </w:numPr>
        <w:rPr/>
      </w:pPr>
      <w:bookmarkStart w:id="54" w:name="__RefHeading___Toc2225920_1051229030"/>
      <w:bookmarkStart w:id="55" w:name="_Toc20"/>
      <w:bookmarkEnd w:id="54"/>
      <w:r>
        <w:rPr>
          <w:rtl w:val="true"/>
        </w:rPr>
        <w:t>الكتاب الثاني</w:t>
      </w:r>
      <w:r>
        <w:rPr>
          <w:rtl w:val="true"/>
        </w:rPr>
        <w:t xml:space="preserve">: </w:t>
      </w:r>
      <w:r>
        <w:rPr>
          <w:rtl w:val="true"/>
        </w:rPr>
        <w:t>كمال الدين وتمام النعمة للشيخ الصدوق</w:t>
      </w:r>
      <w:bookmarkEnd w:id="55"/>
    </w:p>
    <w:p>
      <w:pPr>
        <w:pStyle w:val="BookText"/>
        <w:rPr/>
      </w:pPr>
      <w:r>
        <w:rPr>
          <w:rFonts w:ascii="Amiri" w:hAnsi="Amiri" w:eastAsia="Amiri" w:cs="Amiri"/>
          <w:color w:val="111111"/>
          <w:sz w:val="28"/>
          <w:sz w:val="28"/>
          <w:szCs w:val="28"/>
          <w:rtl w:val="true"/>
          <w:lang w:bidi="ar-SA"/>
        </w:rPr>
        <w:t>لقد ذكر الشيخ الصدوق في مقدّمة كتابه أنّ الغرض من تأليف الكتاب أُمور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الحيرة عن شيعة نيسابور في مسألة إمام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لقاؤه بالشيخ نجم الدين أبي سعيد محمّد بن الحسن بن الصلت القمّي، و هو من أُسرة شيعيّةٍ عريقة، و قد جاء من بخارى إلى قم، و قد أصيب بالحيرة في طول الغيبة من سماع كلمات الفلاسفة و أهل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الحجّة له في عالم الرؤيا أن يكتب كتاباً في الغيبة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يشتمل الكتاب على خمسة أبواب، و مقدّمة مسهبة 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تكلّم فيها عن لزوم وجود الحجّة، و نقد نظريّات سائر الفرق حول موضوع المهدويّة خاصّة الزيديّة، و الجواب عن بعض متكلّمي الشيعة، كابن قبة الرازي في هذا المجال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الصدوق مضافاً إلى إيراده أسانيد الأحاديث بصورةٍ كاملة، يؤكّد في أكثر من مرّة أنّ اعتماده واستناده في هذه المسألة على الأحاديث الصحيحة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في ختام المقدّمة حيث يشير إلى فصول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صحّحنا النصوص على القائم الثاني عشر من الأئمّة عليهم السلام من اللّه تعالى ذكره و من رسوله و الأئمّة الأحد عشر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الحديث و ما شاكله من أخبار المعمّرين و غيرهم ممّا اعتمد في أمر الغيبة و وقوعها؛ لأنّ الغيبة إنّما صحّت لي بما صح عن النبيّ و الأئمّة من ذلك بالأخبار التي بمثلها صحّ الإسلام و شرائعه و أحكامه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هو يؤكّد في 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صحّة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منهجه في تحقيق مسألة الغيبة، و الأُمور المتعلّقة بها، المبتنية على السنّة الصادرة من النبيّ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أنّ منهجه هو الاعتماد على المصادر الروائيّة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القرن الرابع و ما تلاه من القرون كان هذا المنهج سائداً بين المحقّقين من الشيعة و السنّة في موضوع المهدويّة إلى يومنا هذا، و نشير هنا إلى جملة من المصنّفات التي أُلّفت على هذا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أخبار صاحب الزمان، لمحمّد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و هو المهدي عليه السلام، ليوسف بن يحيى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العرف الوردي في أخبار المهدي عليه السلام، 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المختصر في علامات المهدي المنتظر عليه السلام، لابن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البيان في أخبار مهدي آخر الزمان، لعليّ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المشرب الوردي في المهدي عليه السلام، لنور الدين عليّ بن سلطان محمّد القاري الهروي، المشهور بالملا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في ما نزل في القائم الحجّة،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 تأليف مصنّفات كثيرة في العصر الراهن، اعتماداً على الروايات، و بصبغة نقليّة، و من أهمّها كتاب منتخب الأثر في الإمام الثاني عشر، لآية اللّه الشيخ لطف اللّه الصافي الگلبايگاني، و قد تمّ تأليفه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خصائص هذا الكتاب هو الالتفات إلى الشبهات المعاصرة حول مسألة المهدويّة كشبهات الفرقة البهائيّة، و التتبّع في مصادر متعدّدة هو الآخر من خصائص هذا الكتاب، كما أنّ من مميّزاته الهوامش التوضيحيّة في شرح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يذكر في مقدّمة الكتاب إلى هذا المنهج و اعتباره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المسائل النقليّة التي لا طريق لإثباتها إلّاالسمع ما يكون الإيمان به أولى من الإيمان بظهور المهدى عليه السلام لو لم نقل بكونه أولى من بعضها؛ لأنّ البشارات الواردة فيه قد بلغت مرتبة التواتر، مع أنّ الأحاديث المنقولة في كثير ممّا اعتقده المسلمون و غيرهم لم يبلغ تلك المرتبة، بل لا توجد لبعض ذلك إلّارواية واحدة، و مع ذلك يعد عندهم من الأُمور المسلّمة، فإذاً كيف يصحّ للمسلم المؤمن بما جاء به الرسول صلّى اللّه عليه و آله و أخبر به أنْ يرتاب في ظهوره عليه السلام مع هذه الروايات الكثيرة؟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تخدش هذه الأخبار بضعف السند في بعضها و غرابة المضامين و استبعاد وقوعها في بعضٍ آخر؛ فإنّ ضعف السند في بعضها لا يضرّ بغيره </w:t>
      </w:r>
      <w:bookmarkStart w:id="56" w:name="pg7486_97100"/>
    </w:p>
    <w:p>
      <w:pPr>
        <w:pStyle w:val="BookText"/>
        <w:rPr/>
      </w:pPr>
      <w:bookmarkEnd w:id="56"/>
      <w:r>
        <w:rPr>
          <w:rFonts w:ascii="Amiri" w:hAnsi="Amiri" w:eastAsia="Amiri" w:cs="Amiri"/>
          <w:color w:val="111111"/>
          <w:sz w:val="28"/>
          <w:sz w:val="28"/>
          <w:szCs w:val="28"/>
          <w:rtl w:val="true"/>
          <w:lang w:bidi="ar-SA"/>
        </w:rPr>
        <w:t>ممّا هو في غاية الصحّة و المتانة سنداً و متناً، و إلّايلزم رفع اليد عن جميع الأحاديث الصحيحة لمكان بعض الأخبار الضعيفة، مع أنّ اشتهارها بين كافّة المسلمين، و كون أكثر مخرّجيهامن أئمّة الإسلام و أكابر العلماء و أساتذة فنّ الحديث موجب للقطع بمضمونها، هذا مضافاً إلى أنّ ضعف السند إنّما يكون قادحاً إذا لم يكن الخبر متواتراً و ما في المتواتر منه، فليس ذلك شرعاً في اعتباره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قد تمّ تدوين الكتاب على عشرة فصول، يشتمل كلّ فصلٍ على أبواب</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225922_1051229030"/>
      <w:bookmarkStart w:id="58" w:name="_Toc21"/>
      <w:bookmarkEnd w:id="57"/>
      <w:r>
        <w:rPr>
          <w:rtl w:val="true"/>
        </w:rPr>
        <w:t>الثاني</w:t>
      </w:r>
      <w:r>
        <w:rPr>
          <w:rtl w:val="true"/>
        </w:rPr>
        <w:t xml:space="preserve">: </w:t>
      </w:r>
      <w:r>
        <w:rPr>
          <w:rtl w:val="true"/>
        </w:rPr>
        <w:t xml:space="preserve">المنهج النقلي </w:t>
      </w:r>
      <w:r>
        <w:rPr>
          <w:rtl w:val="true"/>
        </w:rPr>
        <w:t xml:space="preserve">- </w:t>
      </w:r>
      <w:r>
        <w:rPr>
          <w:rtl w:val="true"/>
        </w:rPr>
        <w:t>العقلي</w:t>
      </w:r>
      <w:bookmarkEnd w:id="58"/>
    </w:p>
    <w:p>
      <w:pPr>
        <w:pStyle w:val="BookText"/>
        <w:rPr/>
      </w:pPr>
      <w:r>
        <w:rPr>
          <w:rFonts w:ascii="Amiri" w:hAnsi="Amiri" w:eastAsia="Amiri" w:cs="Amiri"/>
          <w:color w:val="111111"/>
          <w:sz w:val="28"/>
          <w:sz w:val="28"/>
          <w:szCs w:val="28"/>
          <w:rtl w:val="true"/>
          <w:lang w:bidi="ar-SA"/>
        </w:rPr>
        <w:t>و هو الثاني من مناهج علماء المسلمين في التعامل مع المسألة المهدويّة، و قد بدأ في القرن الخامس، و من حوزة بغداد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من روّاد هذا المنهج متكلّموا بغداد، كالشيخ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دام هذا المنهج في القرون اللاحقة، ففي القرن السابع كان الخواجة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القرن الحادي عشر الشيخ 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سلكا نفس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سلكه في العصر الحاضر علماء، كالشهيد السيّد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آية الشيخ عبد اللّه الجوادي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القواعد و الأُصول العقليّة المستفادة منها في هذا المجال قد تطوّر في مرور الزمن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المسلك تمّ الاعتماد على العقل الكلامي المحض تارةً، و أُخرى على العقل الفلسفي المحض، و ثالثة بما فوق ذلك و هو العلوم التجربيّة البشريّة و البيانات العقلانيّة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سوف نبيّن فيما يلي جهود ستّة من أعلام هذا المنهج خلال ألف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الشيخ المفيد من أوّل متكلّمي الشيعة ممّن واجه مسألة المهدويّة بهذا المنهج من خلال رسائله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خلاف من سبقه من العلماء كالنعماني و الصدوق، اتّخذ المنهج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الذي كان متداولاً في سائر المسائل الدينيّة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خلّف لنا خمس مصنّفات في موضوع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أكبرها حجماً هو كتاب الفصول العشرة في الغيبة، التي تمّ تأليفه في خلال سنتي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يعني في أواخر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طرح في كتابه هذا عشر مسائل من البحوث المهدويّة، و بحثها كمنهج المتكلّمين اتّكالاً على الأدلّة العقليّة، و الآيات القرآنيّة، و الشواهد التاريخيّة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ثاني الشخصيّات التي تابع هذا المنهج بقوّة، و نبحث عن منهجه في الفصل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الشيخ الطوسي في كتابه الغيبة من النقل، كما استفاد من الأدلّة العقليّة الكلاميّة، و قد أشار إلى منهجه في مقدّمة كتابه قائلاً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مجيبٌ إلى ما رسمه الشيخُ الجليل، أطال اللّه بقاءه من إملاء كلام في غيبة صاحب الزمان، و سبب غيبته، و العلّة التي لأجلها طالت غيبته، و امتداد استتاره، مع شدّة الحاجة إليه، و انتشار الحيل، و وقوع الهرج و المرج، و كثرة الفساد في الأرض، و ظهوره في البرّ و البحر، و لِمَ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المانع منه، و ما المحوج إليه، و الجواب عن كلّ ما يسأل في ذلك من شبه المخالفين، و مطاعن المعاندين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مجيبٌ إلى ما سأله، و ممتثل ما رسمه، مع ضيق الوقت، و شعث الفكر، و عوائق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صوارف الحدثان، و أتكلّم بجملٍ يزول معها الريب و تنحسم به الشبه، و لا أطول الكلام فيه فيمل، فإنّ كتبي في الإمامة و كتب شيوخنا مبسوطة في هذا المعنى في غاية الاستقصاء، و أتكلّم عن كلّ ما يسأل في هذا الباب من الأسئلة المختلفة، و أردف ذلك بطرفٍ من الأخبار الدالّة على صحّة ما نذكره، ليكون ذلك تأكيداً لما نذكره، و تأنيساً للمتمسّكين بالأخبار، و المتعلّقين بظواهر الأحوال، فإنّ كثيراً من الناس يخفى عليهم الكلام اللطيف الذي يتعلّق بهذا الباب، و ربما لم يتبيّنه، و أجعل للفريقَيْن طريقاً إلى ما نختاره و نلتمسه، و من اللّه تعالى استمدّ المعونة و التوفيق، فهما المرجوّان من جهته، و المطلوبان من قبله، و هو حسبي و نعم الوكيل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الملّا صدرا في كتابه شرح أُصول الكافي بعدّة قواعد عقليّة على إثبات الإمامة، و قد سرى هذا الاستدلال و الاستفادة من القواعد العقليّة في بحث الإمامة إلى مسألة المهدويّة، و قد روّج بعد ذلك؛ بحيث تمّ الاستدلال بالأدلّة العقليّة مع ملاحظة ما أفاده الملّا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يطرح برهان العلّة الغائيّة، و يطبق عليه بعض الأحاديث قائلاً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هذا الحديث على حقيقة ما مرّ ذكره منّا، من أنّ وجود النبيّ صلّى اللّه عليه و آله أو الإمام عليه السلام ليس بمجرّد أنّ الخلق محتاجون إليه في إصلاح دينهم و دنياهم، و إن كان ذلك أمراً مترتّباً على وجوده ضرورةً، بل إنّما قامت بوجوده الأرض و من فيها؛ لكون وجوده الكوني علّة غائيّة لوجودها، فلا تقوم الأرض و من فيها لحظةً إلّابوجود الإنسان الكامل</w:t>
      </w:r>
      <w:r>
        <w:rPr>
          <w:rFonts w:eastAsia="Amiri" w:cs="Amiri" w:ascii="Amiri" w:hAnsi="Amiri"/>
          <w:color w:val="111111"/>
          <w:sz w:val="28"/>
          <w:szCs w:val="28"/>
          <w:rtl w:val="true"/>
          <w:lang w:bidi="ar-SA"/>
        </w:rPr>
        <w:t>.</w:t>
      </w:r>
      <w:r>
        <w:rPr>
          <w:rStyle w:val="FootnoteAnchor"/>
        </w:rPr>
        <w:footnoteReference w:id="13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يقول في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مرّ ذكره من أنّ وجوده سببٌ لوجودها، و بقاؤه سببٌ لبقائها، و لا يبقى المسبّب بدون سببه، كما هو قاعدة العلّة و المعلول</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القاعدة الثانية التي يستند إليها الملّا صدرا هي قاعدة برهان الأشرف، حيث يشرحه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أنّ ترتيب سلسلة الوجود الصادرة من الأوّل سبحانه إنّما يكون أبداً من الأشرف إلى الأخس و من الأعلى إلى الأدنى، و من نظر في أحوال الموجودات و نسبة بعضها إلى بعض عرف أنّ الأدنى و الأنقص لا يوجد إلّا بسبب الأعلى و الأكمل سببيّة ذاتيّة، و تقدّماً طبيعيّاً، و إن كان وجود الأدنى و الأنقص يصير مبدأ متهيّاً للمادة لفيضان الأعلى و الأكمل، فالحيوان سببٌ ذاتيٌ لوجود النطفة متقدّم عليها تقدّماً بالذات، و كذا النبات للبذر، أمّا النطفة فهي سببٌ معدٌّ لوجود الحيوان متقدّمة عليه تقدّماً بالزمان لا بالذات، و كذا البذر للنبات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 الحال في باب التقدّم و التأخّر في الوجود بين النوع الشريف و النوع الخسيس كما وصفناه، قال تعالى مخاطباً للانسان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لكونه أشرف الأكوان الأرضيّة، فصار سبباً لوجودها و غاية ذاتية لخلقها، فلو ارتقع الإنسان عن الأرض أرتفع سائر الأكوان من الجماد و النبات و الحيوان، فكذلك لو ارتفع الحجّة عن الأرض ارتفع الناس كلّه، فثبت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في الأرض إلّا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اثنان لكان أحدهما الحجّة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العصر المتأخّر فإنّ من أوّل العلماء ممّن استفاد من العلوم العقليّة في تبيين التعاليم الوحيانيّة في مسألة المهدويّة هو الشهيد آية اللّه السيّد محمّد باقر الصدر في كتابه بحث حول المهدي عليه السلام، حيث يجيب في هذا الكتاب عن سبع أسئلة حول المهدويّة،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تأتّى للمهدي عليه السلام هذا العمر الطويل؟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كل هذا الحرص على إطالة عمره؟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توّج بالإمامة في الصِغَر؟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نؤمن بأنّ المهدي عليه السلام قد وجد؟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يظهر القائد إذن؟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للفرد كلّ هذا الدور؟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طريقة التغيير في اليوم الموعود؟</w:t>
      </w:r>
    </w:p>
    <w:p>
      <w:pPr>
        <w:pStyle w:val="BookText"/>
        <w:rPr/>
      </w:pPr>
      <w:r>
        <w:rPr>
          <w:rFonts w:ascii="Amiri" w:hAnsi="Amiri" w:eastAsia="Amiri" w:cs="Amiri"/>
          <w:color w:val="111111"/>
          <w:sz w:val="28"/>
          <w:sz w:val="28"/>
          <w:szCs w:val="28"/>
          <w:rtl w:val="true"/>
          <w:lang w:bidi="ar-SA"/>
        </w:rPr>
        <w:t>و قد أجاب السيّد الصدر عن هذه الأسئلة السبع في ثمان مباحث، و في الحقيقة إنّ الإجابة عن السؤال الأوّل طرح في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استفاد في كلّ واحدة من هذه المواضيع من الفلسفة و التاريخ و الطبيعة و الاجتماع و القوانين الحاكمة على التاريخ 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حسب تناسب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في بحث وجود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ثنائيّة منهجه في البحث قائلاً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تجسيد هذه الفكرة في الإمام الثاني عشر عليه الصلاة و السلام فهذا ما توجد مبرّرات كافية و واضحة للاقتناع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تلخيص هذه المبرّرات في دليلين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فبالدليل الإسلامي نثبت وجود القائد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بالدليل العلمي نبرهن على أنّ المهدي ليس مجرّد أُسطورة و افتراض، بل هو حقيقةٌ ثبت وجودها بالتجربة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فيتمثّل في مئات الروايات الواردة عن رسول اللّه صلّى اللّه عليه و آله و سلم و الأئمّة من أهل البيت عليهم السلام، و التي تدلّ على تعيين المهدي عليه السلام، و كونه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التاسع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الخلفاء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الروايات تحدّد تلك الفكرة العامة و تشخّصها في الإمام الثاني عشر من أئمّة أهل البيت عليهم السلام، و هي روايات بلغت درجة كبيرة من الكثرة و الانتشار على الرغم من تحفّظ الأئمّة عليهم السلام و احتياطهم في طرح ذلك على المستوى العام، وقاية للخلف الصالح من الاغتيال أو الإجهاز السريع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الكثرة العدديّة للروايات هي الأساس الوحيد لقبولها، بل هناك إضافة إلى ذلك مزايا و قرائن تبرهن على صحّتها، فالحديث النبوي الشريف عن الأئمّة أو الخلفاء أو الأُمراء بعده و أنّهم اثنا عشر إماماً أو خليفة أو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متن الحديث في طرقه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أحصى بعض المؤلّفين رواياته فبلغت أكثر من مئتين و سبعين رواية مأخوذة من أشهر كتب الحديث عند الشيعة و السنّة بما في ذلك البخاري و مسلم و الترمذي و أبي داود و مسند أحمد و مستدرك الحاكم على الصحيحين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هنا أنّ البخاري الذي نقل هذا الحديث كان معاصراً للإمام الجواد و </w:t>
      </w:r>
    </w:p>
    <w:p>
      <w:pPr>
        <w:pStyle w:val="BookText"/>
        <w:rPr/>
      </w:pPr>
      <w:r>
        <w:rPr>
          <w:rFonts w:ascii="Amiri" w:hAnsi="Amiri" w:eastAsia="Amiri" w:cs="Amiri"/>
          <w:color w:val="111111"/>
          <w:sz w:val="28"/>
          <w:sz w:val="28"/>
          <w:szCs w:val="28"/>
          <w:rtl w:val="true"/>
          <w:lang w:bidi="ar-SA"/>
        </w:rPr>
        <w:t>الإمامين الهادي و العسكري، و في ذلك مغزى كبير، لأنّه يبرهن على أنّ هذا الحديث قد سجّل عن النبيّ صلّى اللّه عليه و آله و سلم قبل أن يتحقّق مضمونه، و تكتمل فكرة الأئمّة الاثني عشر فعلاً، و هذا يعني أنّه لا يوجد أيّ مجالٍ للشكّ في أن يكون نقل الحديث متأثّراً بالواقع الإمامي الاثني عشري و انعكاساً له، لأنّ الأحاديث المزيّفة التي تنسب إلى النبيّ صلّى اللّه عليه و آله و سلّم، و هي انعكاسات أو تبريرات لواقع متأخّر زمنيّاً لا تسبق في ظهورها و تسجيلها في كتب الحديث، ذلك الواقع الذي تشكّل انعكاساً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دُمْنا قد ملكنا الدليل المادّي على أنّ الحديث المذكور سبق التسلسل التاريخي للأئمّة الاثني عشر، و ضبط في كتب الحديث قبل تكامل الواقع الإمامي الاثني عشري، أمكننا أن نتأكّد من أنّ هذا الحديث ليس انعكاساً لواقع و إنّما هو تعبير عن حقيقة ربّانيّة نطق بها من لا ينطق عن هوى،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الخلفاء بعدي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الواقع الإمامي الاثني عشري ابتداءً من الإمام عليّ و انتهاء بالمهدي، ليكون التطبيق الوحيد المعقول لذلك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يتكوّن من تجربة عاشتها أُمّة من الناس فترة امتدّت سبعين سنة تقريباً، و هي فترة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لتوضيح ذلك نمهد بإعطاء فكرة موجزة عن الغيبة الصغرى</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الجوادي الآملي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العصر الراهن فقد تعرّض آية اللّه الجوادي الآملي إلى مسألة المهدويّة بهذا المنهج أيضاً، فقد قال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مهدي موجود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 الموجود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إثبات كون الشخص هو المهدي لا يتمّ بالعقل الصرف؛ لأنّ الحكمة و الكلام يبيّنان الخطوط العامّة للإمامة و أوصافه و شرائطه و ما يتعلّق به، و لم تتعهّد بإثبات سمة خاصّة لشخصٍ مخصوص؛ كما أنّ الفقه في تعيين مرجع التقليد يبحث عن ضرورة أصل وجود المرجع من جهة، و خصائصه و أوصافه و شروطه من جهة أُخرى، إلّاأن يتعيّن من قبل الثقات من أهل الخبرة أوّلاً، و رجوع عموم الناس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بالاستعانة من العقل و الاستمداد من النقل يثبت أنّ فكرة المهدويّة الشخصيّة متمثّلة بالإمام الحجّة ابن الحسن المهدي الموجود الموعود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يشتمل الكتاب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 و حتّى المدينة الفاضلة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قسم يشتمل على فصول، و مجموعها في الكتاب تسع فصول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منهج الكتاب الظاهري هو المنهج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النقلي، و لكن يبدو بوضوح الركون إلى أُسس الحكمة المتعالية، و بعض المباحث العرفانيّة في الكتاب خاصّة الفصل الثالث من القسم الأوّل، كما يمكن ملاحظة مباحث أُخرى من قبيل الإنسان الكامل و وحدة الإنسان الكامل في هذا المجال</w:t>
      </w:r>
      <w:r>
        <w:rPr>
          <w:rFonts w:eastAsia="Amiri" w:cs="Amiri" w:ascii="Amiri" w:hAnsi="Amiri"/>
          <w:color w:val="111111"/>
          <w:sz w:val="28"/>
          <w:szCs w:val="28"/>
          <w:rtl w:val="true"/>
          <w:lang w:bidi="ar-SA"/>
        </w:rPr>
        <w:t>.</w:t>
      </w:r>
      <w:r>
        <w:rPr>
          <w:rStyle w:val="FootnoteAnchor"/>
        </w:rPr>
        <w:footnoteReference w:id="14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9" w:name="pg7486_97108"/>
    </w:p>
    <w:p>
      <w:pPr>
        <w:pStyle w:val="Heading5"/>
        <w:numPr>
          <w:ilvl w:val="4"/>
          <w:numId w:val="1"/>
        </w:numPr>
        <w:rPr/>
      </w:pPr>
      <w:bookmarkStart w:id="60" w:name="__RefHeading___Toc2225924_1051229030"/>
      <w:bookmarkStart w:id="61" w:name="_Toc22"/>
      <w:bookmarkEnd w:id="59"/>
      <w:bookmarkEnd w:id="60"/>
      <w:r>
        <w:rPr>
          <w:rtl w:val="true"/>
        </w:rPr>
        <w:t>الثالث</w:t>
      </w:r>
      <w:r>
        <w:rPr>
          <w:rtl w:val="true"/>
        </w:rPr>
        <w:t xml:space="preserve">: </w:t>
      </w:r>
      <w:r>
        <w:rPr>
          <w:rtl w:val="true"/>
        </w:rPr>
        <w:t xml:space="preserve">المنهج العرفاني </w:t>
      </w:r>
      <w:r>
        <w:rPr>
          <w:rtl w:val="true"/>
        </w:rPr>
        <w:t xml:space="preserve">- </w:t>
      </w:r>
      <w:r>
        <w:rPr>
          <w:rtl w:val="true"/>
        </w:rPr>
        <w:t>الصوفي</w:t>
      </w:r>
      <w:bookmarkEnd w:id="61"/>
    </w:p>
    <w:p>
      <w:pPr>
        <w:pStyle w:val="Heading6"/>
        <w:numPr>
          <w:ilvl w:val="5"/>
          <w:numId w:val="1"/>
        </w:numPr>
        <w:rPr/>
      </w:pPr>
      <w:bookmarkStart w:id="62" w:name="__RefHeading___Toc2225926_1051229030"/>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و كما أسلفنا سابقاً فإنّ أحد المناهج في البحث عن المسألة المهدويّة بين المسلمين هو المنهج العرفاني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و الذي ظهر في القرن السابع، و قد طرح العرفاء و الفلاسفة مسألة المهدويّة عن طريق التعاليم الأصليّة في العرفان و التصوف، من قبيل تعاليم الإنسان الكامل و ختم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روّاد هذا المنهج فيما بينهم في الاعتقاد بالمهدويّة النوعيّة و الشخصيّة، ممّا سوف نشير إلى ذلك لاحقاً، و إليك نظريّات خمسة من شخصيّاتهم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محيي الدين ابن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عربي مؤسّس العرفان النظري بين المسلمين هو أوّل من تعرّض من هذه الجهة إلى مسألة المهدويّة، و قد طرحها في أكثر من موضع من مصنّفاته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في عبارات ابن عربي تصريحٌ منه بأنّ الإمام المهدي عليه السلام الموعود هو خاتم الأولياء، حيث يقول في معرفة وزراء المهدي عليه السلام الظاهر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خليفة يخرج و قد امتلأت الأرض جوراً و ظلماً، فيملؤها قسطاً و عدلاً لو لم يَبْقَ من الدنيا إلّايومٌ واحد طوّل اللّه ذلك اليوم حتّى يلي هذا الخليفة من عترة رسول اللّه صلّى اللّه عليه و آله من ولد فاطمة يواطئ اسمه اسم رسول اللّه صلّى اللّه عليه و آله جدّه الحسين بن عليّ بن أبي طالب يبايع بين الركن و المقام يشبه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بالذكر أنّ هذه العبارة مع وجودها في مخطوطاته القديمة تمّ حذفها من بعض الطبعات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بوصف الإمام المهدي عليه السلام، و ذكر شمائله و فضائله، و وصف أعوانه و أنصاره، و كيفيّة خروجه، ثمّ يختم كلامه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خَتْمَ الأولياءِ شَهيدُ وَ عينُ إمامِ العالمينَ فَقيدُ</w:t>
      </w:r>
    </w:p>
    <w:p>
      <w:pPr>
        <w:pStyle w:val="BookText"/>
        <w:rPr/>
      </w:pPr>
      <w:r>
        <w:rPr>
          <w:rFonts w:ascii="Amiri" w:hAnsi="Amiri" w:eastAsia="Amiri" w:cs="Amiri"/>
          <w:color w:val="111111"/>
          <w:sz w:val="28"/>
          <w:sz w:val="28"/>
          <w:szCs w:val="28"/>
          <w:rtl w:val="true"/>
          <w:lang w:bidi="ar-SA"/>
        </w:rPr>
        <w:t>هوَ السيِّدُ المَهديُّ من آلِ أحمدٍ هوَ الصَّارمُ الهِنديُّ حينَ يُبيدُ</w:t>
      </w:r>
    </w:p>
    <w:p>
      <w:pPr>
        <w:pStyle w:val="BookText"/>
        <w:rPr/>
      </w:pPr>
      <w:r>
        <w:rPr>
          <w:rFonts w:ascii="Amiri" w:hAnsi="Amiri" w:eastAsia="Amiri" w:cs="Amiri"/>
          <w:color w:val="111111"/>
          <w:sz w:val="28"/>
          <w:sz w:val="28"/>
          <w:szCs w:val="28"/>
          <w:rtl w:val="true"/>
          <w:lang w:bidi="ar-SA"/>
        </w:rPr>
        <w:t>هوَ الشَّمسُ يجلو كُلّ غمٍّ و ظُلمةٍ هوَ الوابلُ الوَسْميُّ حينَ يَجودُ</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ختم الولاية المحمّديّة فهي لرجلٍ من العرب من أكرمها أصلاً ويداً، و هو في زماننا اليوم موجود عرفت به سنة خمس و تسعين و خمس مئة، و رأيت العلّامة التي له قد أخفاها الحقّ فيه عن عيون عباده، و كشفها لي بمدينة فاس، حتّى رأيت خاتم الولاية منه، و هو خاتم النبوّة المطلقة لا يعلمها كثير من الناس</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العطّار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العطار النيشابوري أنّه كما ختم اللّه النبوّة برسوله المصطفى صلّى اللّه عليه و آله، كذلك ختم الولاية بعد عليّ المرتضى بالإمام المهدي عليهما السلام، و هو الهادي و المرشد إلى دين اللّه،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جميع انبياي هر زمان شد نبوت ختم بر احمد بدان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ختم ولايت بر عليّ است نور رحمت از كلام او جلي است </w:t>
      </w:r>
    </w:p>
    <w:p>
      <w:pPr>
        <w:pStyle w:val="BookText"/>
        <w:rPr/>
      </w:pPr>
      <w:r>
        <w:rPr>
          <w:rFonts w:ascii="Amiri" w:hAnsi="Amiri" w:eastAsia="Amiri" w:cs="Amiri"/>
          <w:color w:val="111111"/>
          <w:sz w:val="28"/>
          <w:sz w:val="28"/>
          <w:szCs w:val="28"/>
          <w:rtl w:val="true"/>
          <w:lang w:bidi="ar-SA"/>
        </w:rPr>
        <w:t>بعد حيدر ختم بر مهدي بود آن كه در دين خدا هادي بود</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 هزاران اوليا رو بر زمين از خدا خواهند مهدي را يقين</w:t>
      </w:r>
    </w:p>
    <w:p>
      <w:pPr>
        <w:pStyle w:val="BookText"/>
        <w:rPr/>
      </w:pPr>
      <w:r>
        <w:rPr>
          <w:rFonts w:ascii="IRNazanin" w:hAnsi="IRNazanin" w:eastAsia="IRNazanin"/>
          <w:color w:val="111111"/>
          <w:sz w:val="28"/>
          <w:sz w:val="28"/>
          <w:szCs w:val="28"/>
          <w:rtl w:val="true"/>
          <w:lang w:bidi="fa-IR"/>
        </w:rPr>
        <w:t>يا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ام از غيب آر تا جهان عدل گردد آشكار</w:t>
      </w:r>
    </w:p>
    <w:p>
      <w:pPr>
        <w:pStyle w:val="BookText"/>
        <w:rPr/>
      </w:pPr>
      <w:r>
        <w:rPr>
          <w:rFonts w:ascii="Amiri" w:hAnsi="Amiri" w:eastAsia="Amiri" w:cs="Amiri"/>
          <w:color w:val="111111"/>
          <w:sz w:val="28"/>
          <w:sz w:val="28"/>
          <w:szCs w:val="28"/>
          <w:rtl w:val="true"/>
          <w:lang w:bidi="ar-SA"/>
        </w:rPr>
        <w:t>مهدي و هادي و تاج انبيا بهترينِ خلق و برج اوليا</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المولوي أنّ الولاية شأنٌ من شؤون الحقّ الذاتيّة، و منشأ الظهور، و مبدأ التعيّنات و بروز الحقائق الخلقيّة، كما أنّ حضوره بين عالم العين، و بين الأُمّة سببٌ لاتّحادهم و وحدتهم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المولوي أنّ لكلّ برهةٍ من تاريخ البشريّة وليٌّ من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هذا الولي موجبٌ لامتحان الناس، امتحاناً يستمرّ إلى يوم القيامة، و إنّ هذا الامتحان الذي يجري بيد أولياء اللّه، ينجو منه من كان خلوقاً متواضعاً مسلّماً لأولياء اللّه، و على خلاف ذلك فمن ضعفت نفسه و لم يتحمّل وجود أولياء اللّه سوف يتكسّر كما تتكسّر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قائد الحقّ و قائمه هو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هر دوري ولي اي قائم است تا قيامت، آزمايش دائم است</w:t>
      </w:r>
    </w:p>
    <w:p>
      <w:pPr>
        <w:pStyle w:val="BookText"/>
        <w:rPr/>
      </w:pPr>
      <w:r>
        <w:rPr>
          <w:rFonts w:ascii="Amiri" w:hAnsi="Amiri" w:eastAsia="Amiri" w:cs="Amiri"/>
          <w:color w:val="111111"/>
          <w:sz w:val="28"/>
          <w:sz w:val="28"/>
          <w:szCs w:val="28"/>
          <w:rtl w:val="true"/>
          <w:lang w:bidi="ar-SA"/>
        </w:rPr>
        <w:t>هر كه را خوي نكو باشد برست هر كسي كاو شيشه دل باشد شكست</w:t>
      </w:r>
    </w:p>
    <w:p>
      <w:pPr>
        <w:pStyle w:val="BookText"/>
        <w:rPr/>
      </w:pPr>
      <w:r>
        <w:rPr>
          <w:rFonts w:ascii="IRNazanin" w:hAnsi="IRNazanin" w:eastAsia="IRNazanin"/>
          <w:color w:val="111111"/>
          <w:sz w:val="28"/>
          <w:sz w:val="28"/>
          <w:szCs w:val="28"/>
          <w:rtl w:val="true"/>
          <w:lang w:bidi="fa-IR"/>
        </w:rPr>
        <w:t>پس امام حي قائم آن ولي است خواه از نسل عمر، خواه از عليّ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 وهادي وي است اي راه جو هم نهان و هم نشسته پيش رو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چو نور است و خرد جبريل اوست آن وليِّ كم از او قنديل اوست</w:t>
      </w:r>
    </w:p>
    <w:p>
      <w:pPr>
        <w:pStyle w:val="BookText"/>
        <w:rPr/>
      </w:pPr>
      <w:r>
        <w:rPr>
          <w:rFonts w:ascii="Amiri" w:hAnsi="Amiri" w:eastAsia="Amiri" w:cs="Amiri"/>
          <w:color w:val="111111"/>
          <w:sz w:val="28"/>
          <w:sz w:val="28"/>
          <w:szCs w:val="28"/>
          <w:rtl w:val="true"/>
          <w:lang w:bidi="ar-SA"/>
        </w:rPr>
        <w:t>وان كه زين قنديل كم مشكات هاست نور را در مرتبت ترتيب هاست</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 قد ذكر عدّةٌ من شرّاح المثنوي في شرح هذه الأبيات استناداً إلى آيات القرآن الكريم، و منها الآية السادسة من سورة الأحزاب، و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في تقسيم الولاية إلى تكوينيّة و تشريعيّة، و التكوينيّة إلى الوجوديّة و التعيينيّة، و قالوا إن كان مراد المولوي من كلامه هذا الولاية التكوينيّة الوجوديّة فمعنى هذه الأبيات صحيحةٌ خاليةٌ عن الإشكال، و تتوافق مع عقائد الشيعة الإماميّة، و إن كان مراده الولاية التكوينيّة التعيينيّة فالكلام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كانَ مقصوده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و هادي وي است اي راه 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مقصوده من المهدي و الهادي هو الإنسان الإلهي المتّصف بالهداية، فكذلك يتّفق مع الولاية التكوينيّة، و هو ما ذكرناه من أنّ للّه أولياء هم حججه على الناس سواء كانوا ظاهرين أو مستورين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مقصوده الإمام المهدي عليه السلام الوارد في الأخبار و مصادر جميع الفرق الإسلاميّة، فهذا الكلام غير صحيحٍ، لأنّه متشخّص بناءً على ما ورد في المصادر، و أنّ له ظهور كظهور نبيّ الإسلام</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الأبيات و إن لم تكن صريحةٌ في الإمام المهدي عليه السلام بذاته،</w:t>
      </w:r>
      <w:r>
        <w:rPr>
          <w:rStyle w:val="FootnoteAnchor"/>
          <w:rtl w:val="true"/>
        </w:rPr>
        <w:footnoteReference w:id="153"/>
      </w:r>
      <w:r>
        <w:rPr>
          <w:rFonts w:ascii="Amiri" w:hAnsi="Amiri" w:eastAsia="Amiri" w:cs="Amiri"/>
          <w:color w:val="111111"/>
          <w:sz w:val="28"/>
          <w:sz w:val="28"/>
          <w:szCs w:val="28"/>
          <w:rtl w:val="true"/>
          <w:lang w:bidi="ar-SA"/>
        </w:rPr>
        <w:t>إلّاأنّ أبياته الأُخرى التي وردت في ديوان الشمس التبريزي لهي صريحةٌ في تشخيص الإمام المهدي، و هي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تقى آي و نقي در مهر او عهدي بخوان</w:t>
      </w:r>
    </w:p>
    <w:p>
      <w:pPr>
        <w:pStyle w:val="BookText"/>
        <w:rPr/>
      </w:pPr>
      <w:r>
        <w:rPr>
          <w:rFonts w:ascii="IRNazanin" w:hAnsi="IRNazanin" w:eastAsia="IRNazanin"/>
          <w:color w:val="111111"/>
          <w:sz w:val="28"/>
          <w:sz w:val="28"/>
          <w:szCs w:val="28"/>
          <w:rtl w:val="true"/>
          <w:lang w:bidi="fa-IR"/>
        </w:rPr>
        <w:t>با عسكري رازي بگو اللّه مولانا علي</w:t>
      </w:r>
    </w:p>
    <w:p>
      <w:pPr>
        <w:pStyle w:val="BookText"/>
        <w:rPr/>
      </w:pPr>
      <w:r>
        <w:rPr>
          <w:rFonts w:ascii="IRNazanin" w:hAnsi="IRNazanin" w:eastAsia="IRNazanin"/>
          <w:color w:val="111111"/>
          <w:sz w:val="28"/>
          <w:sz w:val="28"/>
          <w:szCs w:val="28"/>
          <w:rtl w:val="true"/>
          <w:lang w:bidi="fa-IR"/>
        </w:rPr>
        <w:t>مهدي سوار آخرين بر خصم بگشايد كمين</w:t>
      </w:r>
    </w:p>
    <w:p>
      <w:pPr>
        <w:pStyle w:val="BookText"/>
        <w:rPr/>
      </w:pPr>
      <w:r>
        <w:rPr>
          <w:rFonts w:ascii="IRNazanin" w:hAnsi="IRNazanin" w:eastAsia="IRNazanin"/>
          <w:color w:val="111111"/>
          <w:sz w:val="28"/>
          <w:sz w:val="28"/>
          <w:szCs w:val="28"/>
          <w:rtl w:val="true"/>
          <w:lang w:bidi="fa-IR"/>
        </w:rPr>
        <w:t>آن شاه چون پيدا شود اللّه مولانا علي</w:t>
      </w:r>
    </w:p>
    <w:p>
      <w:pPr>
        <w:pStyle w:val="BookText"/>
        <w:rPr/>
      </w:pPr>
      <w:r>
        <w:rPr>
          <w:rFonts w:ascii="Amiri" w:hAnsi="Amiri" w:eastAsia="Amiri" w:cs="Amiri"/>
          <w:color w:val="111111"/>
          <w:sz w:val="28"/>
          <w:sz w:val="28"/>
          <w:szCs w:val="28"/>
          <w:rtl w:val="true"/>
          <w:lang w:bidi="ar-SA"/>
        </w:rPr>
        <w:t>اقرار كن اظهار كن مولاي رومي اين سخن</w:t>
      </w:r>
    </w:p>
    <w:p>
      <w:pPr>
        <w:pStyle w:val="BookText"/>
        <w:rPr/>
      </w:pPr>
      <w:r>
        <w:rPr>
          <w:rFonts w:ascii="Amiri" w:hAnsi="Amiri" w:eastAsia="Amiri" w:cs="Amiri"/>
          <w:color w:val="111111"/>
          <w:sz w:val="28"/>
          <w:sz w:val="28"/>
          <w:szCs w:val="28"/>
          <w:rtl w:val="true"/>
          <w:lang w:bidi="ar-SA"/>
        </w:rPr>
        <w:t>هر لحظه سِرِّ من لذُن اللّه مولانا علي</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عبد الرحمن الجامي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الجامي أنّ الولاية باطن النبوّة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مظهر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صاحب الزمان هو ما يعتقده الشيعة أنّه المهدي الموعود، يقول الجامي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صاحب الزمان هو الولي الذي اذا خرج تظهر الولاية، و تتبيّن الحقائق، و ينكشف الغطاء، و إلى الآن البحث في المدارس قائمٌ على العلم الظاهر، و الحقائق مخفيّة، لأنّه كان عصر النبوّة، و النبوّة تضع الصور، و الآن دور ظهور الولاية، و إذا ظهرت الولاية تظهر الحقائق و تستر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في المدارس بحث الحقائق، حقيقة الإسلام، حقيقة الإيمان، حقيقة الصلاة، حقيقة الصوم و الحجّ، حقيقة الجنّة و البرزخ و الصراط و الثواب و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سِرِّ قَدَر طعمۀ أبدال شود اين جملۀ قيل و قال، پامال شود</w:t>
      </w:r>
    </w:p>
    <w:p>
      <w:pPr>
        <w:pStyle w:val="BookText"/>
        <w:rPr/>
      </w:pPr>
      <w:r>
        <w:rPr>
          <w:rFonts w:ascii="IRNazanin" w:hAnsi="IRNazanin" w:eastAsia="IRNazanin"/>
          <w:color w:val="111111"/>
          <w:sz w:val="28"/>
          <w:sz w:val="28"/>
          <w:szCs w:val="28"/>
          <w:rtl w:val="true"/>
          <w:lang w:bidi="fa-IR"/>
        </w:rPr>
        <w:t>هم مفتي شرع را جگر خون گردد هم خواجه عقل را زبان لال شود</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الدولة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و الثامن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بعض تراث علاء الدولة السمناني حول إمام الزمان و الإمام المهدي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4" w:name="pg7486_97113"/>
    </w:p>
    <w:p>
      <w:pPr>
        <w:pStyle w:val="BookText"/>
        <w:rPr/>
      </w:pPr>
      <w:bookmarkEnd w:id="64"/>
      <w:r>
        <w:rPr>
          <w:rFonts w:ascii="Amiri" w:hAnsi="Amiri" w:eastAsia="Amiri" w:cs="Amiri"/>
          <w:color w:val="111111"/>
          <w:sz w:val="28"/>
          <w:sz w:val="28"/>
          <w:szCs w:val="28"/>
          <w:rtl w:val="true"/>
          <w:lang w:bidi="ar-SA"/>
        </w:rPr>
        <w:t>ما لا يتوافق مع سائر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فذلكة القول و بقرينة ما ورد في كتاب بيان الإحسان يمكن أن نستنتج أنّ السمناني يعتقد بخاتمية الولاية بالإمام المهدي عليه السلام، حيث يصفه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قطب الأقطاب، و هما من صفات العامّة و المشهورة للولىّ الخاتم عند الصوفيّة</w:t>
      </w:r>
      <w:r>
        <w:rPr>
          <w:rFonts w:eastAsia="Amiri" w:cs="Amiri" w:ascii="Amiri" w:hAnsi="Amiri"/>
          <w:color w:val="111111"/>
          <w:sz w:val="28"/>
          <w:szCs w:val="28"/>
          <w:rtl w:val="true"/>
          <w:lang w:bidi="ar-SA"/>
        </w:rPr>
        <w:t>.</w:t>
      </w:r>
      <w:r>
        <w:rPr>
          <w:rStyle w:val="FootnoteAnchor"/>
          <w:rtl w:val="true"/>
        </w:rPr>
        <w:footnoteReference w:id="156"/>
      </w:r>
    </w:p>
    <w:p>
      <w:pPr>
        <w:pStyle w:val="Heading6"/>
        <w:numPr>
          <w:ilvl w:val="5"/>
          <w:numId w:val="1"/>
        </w:numPr>
        <w:rPr/>
      </w:pPr>
      <w:bookmarkStart w:id="65" w:name="__RefHeading___Toc2225928_1051229030"/>
      <w:bookmarkStart w:id="66" w:name="_Toc24"/>
      <w:bookmarkEnd w:id="65"/>
      <w:r>
        <w:rPr>
          <w:rtl w:val="true"/>
        </w:rPr>
        <w:t>إيماء العرفاء إلى روايات المهدويّة</w:t>
      </w:r>
      <w:bookmarkEnd w:id="66"/>
    </w:p>
    <w:p>
      <w:pPr>
        <w:pStyle w:val="BookText"/>
        <w:rPr/>
      </w:pPr>
      <w:r>
        <w:rPr>
          <w:rFonts w:ascii="Amiri" w:hAnsi="Amiri" w:eastAsia="Amiri" w:cs="Amiri"/>
          <w:color w:val="111111"/>
          <w:sz w:val="28"/>
          <w:sz w:val="28"/>
          <w:szCs w:val="28"/>
          <w:rtl w:val="true"/>
          <w:lang w:bidi="ar-SA"/>
        </w:rPr>
        <w:t xml:space="preserve">لقد اعتنى العرفاء و الصوفيّة إلى المسألة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طريق ختم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التعاليم الدينيّة و النبويّة و هي الروايات، و إليك نماذج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عقد ابن العربي باباً في الفتوحات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الثالث و الستون و ثلاث مئة في معرفة منزل وزراء المهدي الظاهر في آخر الزمان الذي بشر به رسول اللّه صلّى اللّه عليه و آله و هو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مضمون الروايات المنقولة عن النبي صلّى اللّه عليه و آله في اسم المهدي و سيرته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عقد عمر بن شجاع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الصوفي الكبير في الموصل، و مرشد أتابك بن لؤلؤ الزنكي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النعيم المقيم فصلاً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محمّد المنتظر ابن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فيه روايات عن سيرته، و مولده و كلماته، و صرّح بكونه حيَّاً و من المعمّرين، و أنّه الإمام و المهدي و الهادي لأُمّة رسول اللّه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العرفاء الذين اعتنوا بأخبار الإمام المهدي عليه السلام هو نور الدين الجامي في كتابه شواهد النبوّة، فقد عقد فيه 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محمّد بن حسن بن علي بن محمّد بن عليّ الرضا، لقبه الإماميّة بالحجّة و القائم و المهدي المنتظر و صاحب </w:t>
      </w:r>
    </w:p>
    <w:p>
      <w:pPr>
        <w:pStyle w:val="BookText"/>
        <w:rPr/>
      </w:pPr>
      <w:r>
        <w:rPr>
          <w:rFonts w:ascii="Amiri" w:hAnsi="Amiri" w:eastAsia="Amiri" w:cs="Amiri"/>
          <w:color w:val="111111"/>
          <w:sz w:val="28"/>
          <w:sz w:val="28"/>
          <w:szCs w:val="28"/>
          <w:rtl w:val="true"/>
          <w:lang w:bidi="ar-SA"/>
        </w:rPr>
        <w:t>الزمان، و هو عندهم خاتم الاثني عشر إماماً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العامّة الصوفيّة هو عبد الوهّاب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اليواقيت و الجواهر، حيث بحث فيه عن علامات و وقائع ما قبل الظهور، و كيفيّة خروج الإمام المهدي، و نزول عيسى عليه السلام، و اسمه و اسم أبيه، و كيفيّة مولده، و كأنّه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 عن الفتوحات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يحتوي على كثير من الروايات التي وردت في كتب الخاصّة و العامّة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المولى علاء الدولة السمناني كسائر علماء الصوفيّة، يطرح العقيدة الإسلاميّة عن الموعود، من طرق الصوفيّة، كما يبحث عن مضمون الأحاديث النبويّة و سائر أئمّة أهل البيت عليهم السلام حول الإمام المهدي عليه السلام</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 السمناني يؤكّد على أنّ الإمام المهدي عليه السلام قد ورث من النبيّ صلّى اللّه عليه و آله مواريثه الخَلقيّة و الخُلقيّة و المعنويّة،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الصلبي و القلبي و اللساني، و صاحب سِرِّ رسول اللّه صلّى اللّه عليه و آله، ممّا لم يعتقده في سائر الأئمّة ممّن سبق الإمام المهدي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يورد السمناني معتقده عن أئمّة أهل البيت عليهم السلام في المجلس الثالث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العشرين في كتابه،</w:t>
      </w:r>
      <w:r>
        <w:rPr>
          <w:rStyle w:val="FootnoteAnchor"/>
          <w:rtl w:val="true"/>
        </w:rPr>
        <w:footnoteReference w:id="162"/>
      </w:r>
      <w:r>
        <w:rPr>
          <w:rFonts w:ascii="Amiri" w:hAnsi="Amiri" w:eastAsia="Amiri" w:cs="Amiri"/>
          <w:color w:val="111111"/>
          <w:sz w:val="28"/>
          <w:sz w:val="28"/>
          <w:szCs w:val="28"/>
          <w:rtl w:val="true"/>
          <w:lang w:bidi="ar-SA"/>
        </w:rPr>
        <w:t>و يرى أنّ الإمام المهدي عليه السلام صاحب علوم غريبة، و له جميع مقامات الأئمّة الاثني عشر عليهم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المهدي، لصدر الدين القونوي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مثنوي عجايب أو علامات الظهور، لشاه نعمة اللّه الولي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المهديّة، لشاه نعمة اللّه الولي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67" w:name="pg7486_97116"/>
    </w:p>
    <w:p>
      <w:pPr>
        <w:pStyle w:val="Heading3"/>
        <w:numPr>
          <w:ilvl w:val="2"/>
          <w:numId w:val="1"/>
        </w:numPr>
        <w:rPr/>
      </w:pPr>
      <w:bookmarkStart w:id="68" w:name="__RefHeading___Toc2225930_1051229030"/>
      <w:bookmarkStart w:id="69" w:name="_Toc25"/>
      <w:bookmarkEnd w:id="67"/>
      <w:bookmarkEnd w:id="68"/>
      <w:r>
        <w:rPr>
          <w:rtl w:val="true"/>
        </w:rPr>
        <w:t>الفصل الثاني الشريف المرتضى و منهجه في الأبحاث المهدويّة</w:t>
      </w:r>
      <w:bookmarkEnd w:id="69"/>
    </w:p>
    <w:p>
      <w:pPr>
        <w:pStyle w:val="Heading4"/>
        <w:numPr>
          <w:ilvl w:val="3"/>
          <w:numId w:val="1"/>
        </w:numPr>
        <w:rPr/>
      </w:pPr>
      <w:bookmarkStart w:id="70" w:name="__RefHeading___Toc2225932_1051229030"/>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لقد تعرّض الشريف المرتضى رحمه اللّه في اثني و عشرين موضعاً من تراثه و مصنّفاته المتبقّية، و الواصلة إلينا إلى الأبحاث المهدويّة و ما يتعلّق بها كالغيبة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المواضع ثلاث منها تصانيف مستقلّة، و سائرها وردت في طيّات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المصنّفات المستقلّة فهي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في الغيبة، و هو الكتاب الذي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المقنع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غيبة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المصنّفات التي وردت فيها الأبحاث المهدويّة، سواء الأبحاث المستقلّة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الأبحاث الضمنيّة،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تاريخ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غيبة الحجّة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كتاب المقنع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كتاب المقنع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العمل، مع شرح جمل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الطرابلسيّات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قصيدة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إبطال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لمعرفة المواضيع التي تعرّض إليها الشريف المرتضى من الأبحاث المهدويّة نشير إجمالاً إلى محتوى ما ورد في هذه المصنّفات الاثنتي عشرة حسب الترتيب التاريخي؛ و في هذه النظرة العابرة يتبيّن لنا تاريخ البحث و السير التاريخي لفكر الشريف المرتضى من جهة، و الأجواء الفكريّة و الثقافيّة للشيعة في تلك الحقبة الزمنيّة من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الشريف المرتضى موضوع الغيبة في كتابه الشافي في ما يقارب المئة </w:t>
      </w:r>
    </w:p>
    <w:p>
      <w:pPr>
        <w:pStyle w:val="BookText"/>
        <w:rPr/>
      </w:pPr>
      <w:r>
        <w:rPr>
          <w:rFonts w:ascii="Amiri" w:hAnsi="Amiri" w:eastAsia="Amiri" w:cs="Amiri"/>
          <w:color w:val="111111"/>
          <w:sz w:val="28"/>
          <w:sz w:val="28"/>
          <w:szCs w:val="28"/>
          <w:rtl w:val="true"/>
          <w:lang w:bidi="ar-SA"/>
        </w:rPr>
        <w:t>صفحة، و يحتوي المجلّد الأوّل على أكثر المطالب من المجلّدات الأربع،</w:t>
      </w:r>
      <w:r>
        <w:rPr>
          <w:rStyle w:val="FootnoteAnchor"/>
          <w:rtl w:val="true"/>
        </w:rPr>
        <w:footnoteReference w:id="165"/>
      </w:r>
      <w:r>
        <w:rPr>
          <w:rFonts w:ascii="Amiri" w:hAnsi="Amiri" w:eastAsia="Amiri" w:cs="Amiri"/>
          <w:color w:val="111111"/>
          <w:sz w:val="28"/>
          <w:sz w:val="28"/>
          <w:szCs w:val="28"/>
          <w:rtl w:val="true"/>
          <w:lang w:bidi="ar-SA"/>
        </w:rPr>
        <w:t>ثمّ المجلّد الثالث،</w:t>
      </w:r>
      <w:r>
        <w:rPr>
          <w:rStyle w:val="FootnoteAnchor"/>
          <w:rtl w:val="true"/>
        </w:rPr>
        <w:footnoteReference w:id="166"/>
      </w:r>
      <w:r>
        <w:rPr>
          <w:rFonts w:ascii="IRNazanin" w:hAnsi="IRNazanin" w:eastAsia="IRNazanin"/>
          <w:color w:val="111111"/>
          <w:sz w:val="28"/>
          <w:sz w:val="28"/>
          <w:szCs w:val="28"/>
          <w:rtl w:val="true"/>
          <w:lang w:bidi="fa-IR"/>
        </w:rPr>
        <w:t>و المجلّد الرابع باختصار</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يمكن أن نلخّص هذه المطالب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و أكثر أبحاث الشريف المرتضى يدور حول بيان فلسفة غيبة الإمام عليه السلام، و في الإجابة عن شبهات القاضي عبد الجبّار المعتزلي في كتاب المغني، و يبيّن أنّ سبب الغيبة هو الخوف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إمكانيّة انتفاع الشيعة و وصولهم إلى الإمام عليه السلام، دون الإشارة إلى طريقه و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مسألة الحدود في عصر الغيبة، و يرى أنّه لا حرج على المكلّفين في عدم إقامة الحدود، و يبحث عنه جدليّاً، و لم يورد رأيه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إلى دخول الإمام عليه السلام في الإجماعات، و يرى أنّ عدم تعيين قوله لم يكن مخلاًّ للإجماع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ينشد الشريف المرتضى في رثاء جدّه الإمام الحسين عليه السلام بمطالبة الإمام الحجّة بثأره، كغيره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هذه القصيدة على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المُقْفِرَاتِ لَعِبَتْ بِهَا أَيْدِيْ الشَّتَاتِ‌</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يتعرّض في كتابه هذا إلى أربع مسائل من الأبحاث المهدويّة في حدود ستّ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صفحات، يمكن تلخيص كلامه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الغيبة هو الخوف من الظالمين،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الغيبة من ابتدائها على ما هي عليه الآن، فإنّه عليه السلام في ابتداء الأمر كان ظاهراً لأوليائه، غائباً عن أعدائه و لما اشتدّ الأمر و قوي الخوف و زاد الطلب، استتر عن الوليّ و العدوّ</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الإمام المهدي و بين من سبقه من الأئمّة عليهم السلام هو أن جاز لهم التقيّة، و لم تجز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المسبّب في الغيبة هو مسبّب في تعطيل الحدود و عليه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على الإمام عليه السلام الظهور لبعض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يرجع الشريف المرتضى في كتابه هذا إلى كتابه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يوعد القارئ بتأليف كتابٍ مستقلٍّ في الموضوع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في هذه الرسالة إلى حجّيّة الإجماع، ودخول الإمام فيه، و كيفيّة الكشف عن قول المعصوم في عشر صفحات، و أصل المسألة هو الإجماع في عصر الغيبة، و عدم تحيز و تعين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البحث عن فلسفة الغيبة و حفظ الشريعة من قبل الإمام الغائب، و قد أرجع في هذا البحث إلى كتاب الشافي، و جواب مسائل أهل الموصل</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يطرح في كتابه هذا مسألة المهدويّة، و الرجعة، و افتراق الشيعة بعد استشهاد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بحث الغيبة يرى أنّ تقيّة الإمام من أعدائه و أوليائه الجهلاء، و أنّه لا تقيّة له عن أوليائه غير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إنّ مسألة الرجعة أمرٌ توقيفيٌّ، و يوضح بعض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افتراق الشيعة بعد الإمام العسكري عليه السلام يذكر أربع عشرة فرقة، انقرضت كلّها إلى زمانه، و هو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البحث يطرح بعض الشبهات عن الغيبة، و يجيب عنها، و يرى أنّ الغيبة أمرٌ إلهيٌّ، لا يعلم مصلحته سوى علّام الغيوب</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يشتمل الأمالي على مسألة في تفضيل الأنبياء على الملائكة، و هي مطبوعةٌ مستقلّةً أيضاً في رسائل الشريف المرتضى، و يرى أنّ الدليل على أفضليّة الأنبياء على الملائكة هو إجماع الشيعة،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إجماعهم حجّة؛ لأنّ المعصوم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بيّنّا كيف الطريق مع غيبة الإمام إلى العلم بمذاهبه و أقواله وشرحنا ذلك، فلا معنى للتشاغل به هاهنا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رسالةٌ مختصرة، في حدود خمس صفحات، لم يتبيّن زمن تأليفها، و لم يُشِرْ فيها إلى سائر مؤلّفاته، و ليس في أوّلها و آخرها ما يشير إلى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منهج هذه الرسالة في أوّلها و آخرها المنهج المتّبع في كتاب المقنع، و عباراتهما شبيه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المظنون قويّاً أنّها أُلّفت قبل كتاب المقنع؛ حيث لم يُشِرْ فيها إلى كتاب المقنع، كما هو مسلك الشريف المرتضى في الإرجاع إلى سائر مصنّفاته في كتبه، خاصّة و أنّه قد وضع كتاباً مستقلاً في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أحال إليه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و شرح الجمل، و الطرابلسيّات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ديباجة الرسالة يرى أنّ البحث عن الغيبة بحثٌ من فروع الإمامة، و أنّ فلسفة الغيبة هو إخافة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فائدة الإمام في غيبته هو لقاؤه ببعض أوليائه من جهةٍ، و تأثير التربوي 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كتاب المقنع مصنَّفاً مستقلاًّ و منسجماً للشريف المرتضى حول موضوع الغيبة، بالنسبة إلى تراثه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البحث عن الغيبة باعتباره من فروع الإمامة و القول بالعصمة، و عليه يشرع في ردّ سائر الفرق كالكيسانيّة و الناووسيّة في مسألة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يشرع في بحث علّة الغيبة و فلسفته، و يرى ابتداءً أنّ عدم علمنا بفلسفة الغيبة لا ينفي أصل الغيبة، و يشبهها بالآيات القرآنيّة المتشابهه التي لا يمكن لنا الوقوف على العلم التفصيلي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يختار الخوف من الظالمين سبباً للغيبة، و يبيّن الفرق بينه و بين سائر الأئمّة و النبيّ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يتعرّض إلى الفرق بين عدم وجود الإمام و غيبته، و أنّ الأوّل راجعٌ إلى اللّه بخلاف الثاني الذي يرجع إلى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يطرح مسألة الحدود في عصر الغيبة، و أنّها تبقى على رقبة المستحقّين، و هو ليس بمعنى نسخ الحدود، لعدم توفّر شروط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مسألة غيبة الإمام عليه السلام عن أنظار أوليائه يطرح عدّة أجوبة، ثمّ يقوم بنقدها، و طرح رأيه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المقنع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التكملة عبارةٌ عن بحثٍ آخر يطرحه الشريف المرتضى قد انكشف فيه </w:t>
      </w:r>
    </w:p>
    <w:p>
      <w:pPr>
        <w:pStyle w:val="BookText"/>
        <w:rPr/>
      </w:pPr>
      <w:r>
        <w:rPr>
          <w:rFonts w:ascii="Amiri" w:hAnsi="Amiri" w:eastAsia="Amiri" w:cs="Amiri"/>
          <w:color w:val="111111"/>
          <w:sz w:val="28"/>
          <w:sz w:val="28"/>
          <w:szCs w:val="28"/>
          <w:rtl w:val="true"/>
          <w:lang w:bidi="ar-SA"/>
        </w:rPr>
        <w:t>رأيه فيما بعد تأليف الكتاب، و هي مسألة تأثير الإمام الغائب عليه السلام على شيعته و أتباعه، و هو أنّ وجود الإمام و اطّلاعه على أحوالهم و أفعالهم يوجب زجرهم عن نواهيه و امتثال أوامره، و فيه يتمّ الانتفاع الحاصل منه عليه السلام في عصر الغيبة، و لا يشترط في الانتفاع الظهور، مع ذلك لا يمتنع ظهوره على بعض أوليائه، ثمّ يطرح عدّة تفصيلات و أسئلة و أجوبة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الفرق بين الانتفاع من وجود الإمام عليه السلام في غيبته و بين وجوده في حضوره هو أنّ الأوّل يختصّ بأوليائه و شيعته، بخلاف الثاني فهو انتفاع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علومٍ بلغته عن الأئمّة عليهم السلام عن النبي صلّى اللّه عليه و آله، و أنّ الطرق العقلائية لعلم الإمام عليه السلام مفتوحة برفع الموانع و تمهيد الشرائط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الشريف المرتضى في كتابه هذا إلى الأبحاث المهدويّة فيما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يتعرّض ابتداءً إلى دليل الغيبة، و مسألة الاستتار خوفاً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مسألة غيبة الإمام، و أنّها و إن كانت موجّهة بالنسبة لأعدائه، فما توجيه غيبته عن أنظار شيعته، و يجيب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له تأثيره على الشيعة حتّى في الغيبة؛ لأنّه يعلم أحوالهم، و يطّلع على أفعالهم، و هو بحدّ ذاته زاجرٌ عن النواهي، و موجبٌ للإطاعة و الانقياد، و بظهوره ينتقم من الظالمين، و هي منفعةٌ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لقائه بالشيعة في حال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أرجع في كتابه هذا إلى الشافي و المقنع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 الكتاب يشير إلى تواتر النصّ على الأئمّة الاثني عشر، و غيبة ثاني عشرهم عليهم السلام</w:t>
      </w:r>
      <w:r>
        <w:rPr>
          <w:rFonts w:eastAsia="Amiri" w:cs="Amiri" w:ascii="Amiri" w:hAnsi="Amiri"/>
          <w:color w:val="111111"/>
          <w:sz w:val="28"/>
          <w:szCs w:val="28"/>
          <w:rtl w:val="true"/>
          <w:lang w:bidi="ar-SA"/>
        </w:rPr>
        <w:t>.</w:t>
      </w:r>
      <w:r>
        <w:rPr>
          <w:rStyle w:val="FootnoteAnchor"/>
        </w:rPr>
        <w:footnoteReference w:id="17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العمل و شرح جمل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مجموع كلّ من هذَيْن الكتابَيْن تختصّ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الأبحاث المهدويّة، و يمكن لنا أن نلخّص مسائله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الإمام الثاني عشر، و الأدلّة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الغيبة، و مسألة الخوف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الشريعة في غيبة الإمام، و لولاه لظهر عليه السلام، و إنّ الحدود التي عطّلت في غيبته تبقى في ذمّة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الغيبة علّته الخوف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عمره عليه السلام ليس خارقاً للعادة، و لو كان كذلك فهو من باب المعجزة، و يستشهد بذكر بعض المعمّرين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ثلاثة أسهم من مستحقّي الزكاة في عصر الغيبة،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العاملين عليها، و ما يتعلّق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المكلّف إيصال الزكاة إلى سائر المستحقّين مع مراعاة الشروط</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ثلاث من هذه المسائل المتعدّدة المعارف، بمسألة المهدويّة، واحدة منها ضمنيّة في طيّات البحث عن الرجعة، و الأُخرَيَيْن فصلان مستقلّان،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الغيبة، و فصل عن الحال بعد إمام الزمان في الإمامة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موضوع الرجعة فيشير إلى إجماع الشيعة إلى إحياء جملة من شيعة الأئمّة و أعدائهم في عصر الظهور، كما يرى أنّ أصل الرجعة أمرٌ ممكنٌ تحدث بالقدرة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مسألة الغيبة يتعرّض إلى فلسفة الغيبة، و أنّ تأثيرها أقوى على أفعال المكلّفين حيث إنّ المكلّف إذا لم يعرف الإمام بشخصه و لم يعلم مكانه، يحتمل كلّ شخصٍ أن يكون هو الإمام فيراقب على أفعاله و أحواله و في المورد الثالث يبحث مسألة الإمامة بعد الإمام الثاني عشر و لم يمتنع أن يكون أئمّةٌ بعد الإمام الثاني عشر و لا ينافي ذلك الاعتقاد بالأئمّة الاثنى عشر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يطرح الشريف المرتضى في المسألة الثامنة موضوع الرجعة، و يطرح هذا السؤال هل يرجع اللّه ثلّةً من المؤمنين في دولة الأئمّة في أيّام القائم عليهم السلام، من غير أن يرجع أجسامهم؟</w:t>
      </w:r>
    </w:p>
    <w:p>
      <w:pPr>
        <w:pStyle w:val="BookText"/>
        <w:rPr/>
      </w:pPr>
      <w:r>
        <w:rPr>
          <w:rFonts w:ascii="Amiri" w:hAnsi="Amiri" w:eastAsia="Amiri" w:cs="Amiri"/>
          <w:color w:val="111111"/>
          <w:sz w:val="28"/>
          <w:sz w:val="28"/>
          <w:szCs w:val="28"/>
          <w:rtl w:val="true"/>
          <w:lang w:bidi="ar-SA"/>
        </w:rPr>
        <w:t>ثمّ يجيب أنّ الشيعة تعتقد أنّ اللّه يحيي ثلّةً من أوليائه عند ظهور الإمام عليه السلام ليثيبهم، كما يحيي بعض أعدائه لينتقم منهم،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ثبوتاً، و إجماع الشيعة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يردّ بعض التأويلات من الرجعة، نحو الرجعة من دون أجساد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الطرابلسيّات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الطرابلسيّات الثانية يتعرّض الشريف المرتضى إلى الأبحاث المهدويّة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يبحث فيها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وجود الإمام في كلّ 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على من لم يعرف الإمام أو اشتبه عليه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تحصيل الأحكام في عصر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العمل بالأحكام المختلف فيها في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غيبة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في هذه الرسالة إلى كتاب المقنع، و كتاب الذخيرة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قصيدة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الشريف المرتضى عند شرحه البيت الرابع و السبعين إلى طهارة مولد الأئمّة، و أُمّ الإمام المهدي عليه السلام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هذه الرسالة الصغيرة هو الإجماع، و يتعرّض ضمناً إلى إمام العصر عليه السلام و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يتبنّى في هذه الرسالة أنّ إجماع الطائفة الحقّة في عصر الغيبة و عدم رؤية شخص الإمام عليه السلام أحد الطرق إلى الوصول إلى الأحكام، و أنّ من مقدّمات إثبات حجّيّة الإجماع في عصر الغيبة هو وجود الإمام بين شيعته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في مقدّمة كتاب الانتصار إلى حجّيّة الإجماع اختصاراً، و أنّ الوجه في ذلك دخول الإمام في المُجْمعين، و عدم خلوّ أيّ عصرٍ عن الإمام، و قد أرجع تفصيل المطالب إلى أجوبة المسائل التبانيّات، و جوابات مسائل أهل الموصل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الرسالة يرى الشريف المرتضى أنّ أهمّ دليلٍ على ردّ نظريّة أهل العدد هو إجماع المسلمين، و حجّيّة هذا الإجماع لدى الشيعة لدخول الإمام عليه السلام في المُجْمعين</w:t>
      </w:r>
      <w:r>
        <w:rPr>
          <w:rFonts w:eastAsia="Amiri" w:cs="Amiri" w:ascii="Amiri" w:hAnsi="Amiri"/>
          <w:color w:val="111111"/>
          <w:sz w:val="28"/>
          <w:szCs w:val="28"/>
          <w:rtl w:val="true"/>
          <w:lang w:bidi="ar-SA"/>
        </w:rPr>
        <w:t>.</w:t>
      </w:r>
      <w:r>
        <w:rPr>
          <w:rStyle w:val="FootnoteAnchor"/>
        </w:rPr>
        <w:footnoteReference w:id="18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في هذه الرسالة أيضاً إلى حجّيّة الإجماع عند الشيعة، لدخول الإمام عليه السلام في المُجْمعين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المسألة الحادية و العشرون بمسألة حجّيّة الإجماع عند الشيعة، و يبحث في هذه المسألة عن كيفيّة دخول الإمام الغائب عليه السلام ضمن المُجْمعين، و يردّ الشبهات بالتفصيل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أُصول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يشرح الشريف المرتضى في كتابه الأُصولي هذا، كيفيّة دخول الإمام عليه السلام في ضمن المُجْمعين في مبحث حجّيّة الإجماع في عصر الغيبة و يجيب عن الشبهات و الأسئلة، و يُرجع إلى سائر مصنّفاته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يطرح في هذه الرسالة باختصار مسألة المهدويّة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و العشرين، في الإجابة عن وقت الظهور، و كيفيّة مشاهدته لنا، و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الظهور غير معلوم، و أنّه يظهر متى ما ارتفع الخوف و التقيّة، و أنّه يشاهدنا و يطّلع على أحوالنا</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الستّين، في الإجابة عن الرجعة و ما يقع فيه؟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يرجع و يحيي جماعةً من المؤمنين؛ ليفوزوا بثواب نصرة الإمام عليه السلام</w:t>
      </w:r>
      <w:r>
        <w:rPr>
          <w:rFonts w:eastAsia="Amiri" w:cs="Amiri" w:ascii="Amiri" w:hAnsi="Amiri"/>
          <w:color w:val="111111"/>
          <w:sz w:val="28"/>
          <w:szCs w:val="28"/>
          <w:rtl w:val="true"/>
          <w:lang w:bidi="ar-SA"/>
        </w:rPr>
        <w:t>.</w:t>
      </w:r>
      <w:r>
        <w:rPr>
          <w:rStyle w:val="FootnoteAnchor"/>
        </w:rPr>
        <w:footnoteReference w:id="18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2" w:name="pg7486_97127"/>
    </w:p>
    <w:p>
      <w:pPr>
        <w:pStyle w:val="BookText"/>
        <w:rPr/>
      </w:pPr>
      <w:bookmarkEnd w:id="72"/>
      <w:r>
        <w:rPr>
          <w:rFonts w:ascii="Amiri" w:hAnsi="Amiri" w:eastAsia="Amiri" w:cs="Amiri"/>
          <w:color w:val="111111"/>
          <w:sz w:val="28"/>
          <w:sz w:val="28"/>
          <w:szCs w:val="28"/>
          <w:rtl w:val="true"/>
          <w:lang w:bidi="ar-SA"/>
        </w:rPr>
        <w:t>إلى هنا ما استقصيناه من الأبحاث المهدويّة في مصنّفات الشريف المرتضى رحمه اللّه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225934_1051229030"/>
      <w:bookmarkStart w:id="74" w:name="_Toc27"/>
      <w:bookmarkEnd w:id="73"/>
      <w:r>
        <w:rPr>
          <w:rtl w:val="true"/>
        </w:rPr>
        <w:t>فهرسة الأبحاث المهدويّة في مصنّفات الشريف المرتضى</w:t>
      </w:r>
      <w:bookmarkEnd w:id="74"/>
    </w:p>
    <w:p>
      <w:pPr>
        <w:pStyle w:val="BookText"/>
        <w:rPr/>
      </w:pPr>
      <w:r>
        <w:rPr>
          <w:rFonts w:ascii="Amiri" w:hAnsi="Amiri" w:eastAsia="Amiri" w:cs="Amiri"/>
          <w:color w:val="111111"/>
          <w:sz w:val="28"/>
          <w:sz w:val="28"/>
          <w:szCs w:val="28"/>
          <w:rtl w:val="true"/>
          <w:lang w:bidi="ar-SA"/>
        </w:rPr>
        <w:t>و فيما يلي فهرسة الأبحاث المهدويّة، و ترتيب العناوين المطروحة في المصنّفات المتقدّمة حسب تواريخ تأليفها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الانتفاع من الإمام الغائب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تعطيل الحدود في عصر 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الإمام في الإجماع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استنهاض الحجّة و الأخذ بثأر الإمام الحسين 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الإمام الحجّة و سائر الأئمّة 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افتراق الشيعة بعد الإمام الحسن العسكري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من فروع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بعد إمام 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تحصيل الأحكام في عصر 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العمل بالأحكام المختلفة في عصر 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الإمام الحجّة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الظهور</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75" w:name="__RefHeading___Toc2225936_1051229030"/>
      <w:bookmarkStart w:id="76" w:name="_Toc28"/>
      <w:bookmarkEnd w:id="75"/>
      <w:r>
        <w:rPr>
          <w:rtl w:val="true"/>
        </w:rPr>
        <w:t>منهج الشريف المرتضى في الأبحاث المهدويّة</w:t>
      </w:r>
      <w:bookmarkEnd w:id="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يختلف منهج الشريف المرتضى في الأبحاث المهدويّة عن سائر المباحث </w:t>
      </w:r>
    </w:p>
    <w:p>
      <w:pPr>
        <w:pStyle w:val="BookText"/>
        <w:rPr/>
      </w:pPr>
      <w:r>
        <w:rPr>
          <w:rFonts w:ascii="Amiri" w:hAnsi="Amiri" w:eastAsia="Amiri" w:cs="Amiri"/>
          <w:color w:val="111111"/>
          <w:sz w:val="28"/>
          <w:sz w:val="28"/>
          <w:szCs w:val="28"/>
          <w:rtl w:val="true"/>
          <w:lang w:bidi="ar-SA"/>
        </w:rPr>
        <w:t>الكلاميّة خاصّة ما يرتبط بمبحث الإمامة، حيث يمارس الأبحاث الكلاميّة بالمنهج العقلي اعتماداً على النقل، و يتّضح هذا المنهج في البحث المهدوي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الشريف المرتضى في مقدّمة كتاب المقنع منهجه العام بكلّ وضوح في البحث المهدوي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 قد دلّ على وجوب الإمامة، و إنّ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فيه المكلّفون الذين يجوز منهم القبيح و الحسن، و الطاعة 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إمام، و أنّ خلوّه من إمام إخلالٌ بتمكينهم، و قادحٌ في حسن 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 العقل على أنّ ذلك الإمام لا بدّ من كونه معصوماً من الخطإ و الزلل، مأموناً منه فعل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بعد ثبوت هذين الأصلين إلّاإمامة من تشير الإماميّة إلى إمامته، فإنّ الصفة التي دلّ العقل على وجوبها لا توجد إلّافيه، و يتعرّى منها كلّ من تدّعى له الإمامة سواه، و تنساق الغيبة بهذا سوقاً حتّى لا تبقى شبهة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أوضح ما اعتمد عليه في ثبوت إمامة صاحب الزمان، و أبعد من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النقل بذلك و إن كان في الشيعة فاشياً، و التواتر به ظاهراً، و مجيؤه من كلّ طريقٍ معلوماً، فكلّ ذلك يمكن دفعه و إدخال الشبهة فيه، التي يحتاج في حلّها إلى ضروب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التي أوضحناها بعيدة من الشبهات، قريبةٌ من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أن ندلّ على صحّة الأصلَيْن اللذين ذكرناهما</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كلامه هذا تصريحٌ منه بمنهجه العقلاني و الإقناعي في الموضع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و إن أشار إلى المرجعيّة العامة للأحاديث في طيّات الكتاب إلّاأنّه لم يستشهد بالأحاديث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في تكملة المقنع في كيفيّة علم الإمام عن عصر ظهوره إلى الأخبار المنقولة عن الأئمّة عن النبيّ عليهم السلام بصورةٍ عامّة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علقتم ظهور الإمام بزوال خوفه من أعدائه، و أمنه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ذلك؟ و أيّ طريق له إليه؟</w:t>
      </w:r>
    </w:p>
    <w:p>
      <w:pPr>
        <w:pStyle w:val="BookText"/>
        <w:rPr/>
      </w:pPr>
      <w:r>
        <w:rPr>
          <w:rFonts w:ascii="Amiri" w:hAnsi="Amiri" w:eastAsia="Amiri" w:cs="Amiri"/>
          <w:color w:val="111111"/>
          <w:sz w:val="28"/>
          <w:sz w:val="28"/>
          <w:szCs w:val="28"/>
          <w:rtl w:val="true"/>
          <w:lang w:bidi="ar-SA"/>
        </w:rPr>
        <w:t xml:space="preserve">و ما يضمره أعداؤه أو يظهرونه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الشرق و الغرب و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إلى معرفته على التحديد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آباء الإمام عليه و عليهم السلام عهدوا إليه و أنذروه و أطلعوه على ما عرفوه من توقيف الرسول صلّى اللّه عليه و آله على زمان الغيبة و كيفيّتها، و طولها و قصرها، و علاماتها و أماراتها، و وقت الظهور، و الدلائل على تيسيره و تسهيله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سؤال علينا؛ لأنّ زمان الظهور إذا كان منصوصاً على صفته، و الوقت الذي يجب أن يكون فيه، فلا حاجة إلى العلم بالسرائر و الضمائر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يشير إلى المنهج العقلي فيما بعد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الباب موقوفاً على غلبة الظنّ و قوّة الأمارات، و تظاهر الدلالات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ظهور الإمام إنّما هو بأحدِ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بكثرة أعوانه و أنصاره، أو قوّتهم ونجدتهم، أو قلّة أعدائه، أو ضعفهم و جورهم، و هذه أُمورٌ عليها أمارات يعرفها من نظر فيها و راعاها، و قربت مخالطته لها، فإذا أحسّ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عليه السلام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مجتمعاً أو متفرّقاً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في ظنّه السلامة، و قوي عنده بلوغ الغرض و الظفر بالإرب، تعيّن عليه فرض الظهور، كما يتعيّن على أحدنا فرض الإقدام و الإحجام عند الأمارات المؤمّنة و المخيفة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كما أشار في كتابه الذخيرة إلى تواتر النصّ على الأئمّة الاثني عشر حتّى الإمام الحجّة عليهم السلام،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يدلّ على إمامة الأئمّة عليهم السلام من لدن حسن بن عليّ بن أبي طالب إلى الحجّة بن الحسن المنتظر صلوات اللّه عليهم نقل الإماميّةُ و فيهم شروط الخبر المتواتر المنصوص عليهم بالإمامة، و أنّ كلّ إمامٍ منهم لم يمضِ حتّى ينصّ على من يليه باسمه عنه، و ينقلون عن النبيّ صلّى اللّه عليه و آله نصوصاً في إمامة الاثني عشر صلوات اللّه عليهم، و ينقلون زمان غيبة المنتظر صلوات اللّه عليه، و صفة هذه الغيبة عن كلّ من تقدّم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دللنا به على صحّة نقلهم لما انفردوا به من النصّ الجليّ على أمير المؤمنين عليه السلام يدلّ على صحّة نقلهم لهذه النصوص، فالطريقةُ واحدة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من ذلك يبدو أنّ الشريف المرتضى قد التزم بما بنى عليه و صرّح به في كتابَيْه الشافي و الذخيرة في منهجه الكلامي، و أبلغ ما يمكن أن يستشهد به، يمينه في آخر كتابَيْه هذين، فقد قال في آخر كتابه الشافي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الآن قاطعون كتابنا على هذا الموضع؛ لوفائنا بما شرطناه و قصدناه،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نأْلُ جهداً و تحرّياً للحقّ فيما اشتمل عليه هذا الكتاب من كلامنا بحسب ما بلغته أفهامنا، و اتّسعت له طاقتنا، و نحن نقسم على من تصفّحه و تأمّله لا يقلّدنا في شيءٍ منه، و أن لا يعتقد بشيءٍ ممّا ذكرناه، إلّاما صحّ في نفسه بالحجّة، و قامت عليه عنده الأدلّة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كما قال في آخر كتابه الذخيرة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نقسم باللّه على من تأمّله أن لا يقلّدنا في شيءٍ من مذاهبه أو أدلّته، و يحسن الظنّ بنا، فيلقي النظر و التصفّح و التأمّل تعويلاً على أنّا قد كفيناه ذلك، و أرحناه بما تكلّفناه من تعبه و نصبه، بل ينظر في كلّ شيءٍ نظر المستفصح المبتدي، مطرحاً للأهواء المزيّنة للباطل بزينة الحقّ المشبهة للكذب بالصدق، معادلاً فيما ينظر فيه و يتصفّحه في نفسه من أحواله، غير مائلٍ إلى أن يكون بحقّ من أحدهما دون صاحبه، حتّى يكون ميله إلى جهة و انحرافه إلى أُخرى، بعد العلم الذي يثمره نظره و ينتجه فكره، و أن يكثر عند انتفاعه بشيءٍ منه من الدعاء لنا، و الترحّم علينا في حياةٍ و موت، و رجاءٍ و فوت</w:t>
      </w:r>
      <w:r>
        <w:rPr>
          <w:rFonts w:eastAsia="Amiri" w:cs="Amiri" w:ascii="Amiri" w:hAnsi="Amiri"/>
          <w:color w:val="111111"/>
          <w:sz w:val="28"/>
          <w:szCs w:val="28"/>
          <w:rtl w:val="true"/>
          <w:lang w:bidi="ar-SA"/>
        </w:rPr>
        <w:t>.</w:t>
      </w:r>
      <w:r>
        <w:rPr>
          <w:rStyle w:val="FootnoteAnchor"/>
        </w:rPr>
        <w:footnoteReference w:id="19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7" w:name="pg7486_97132"/>
    </w:p>
    <w:p>
      <w:pPr>
        <w:pStyle w:val="Heading3"/>
        <w:numPr>
          <w:ilvl w:val="2"/>
          <w:numId w:val="1"/>
        </w:numPr>
        <w:rPr/>
      </w:pPr>
      <w:bookmarkStart w:id="78" w:name="__RefHeading___Toc2225938_1051229030"/>
      <w:bookmarkStart w:id="79" w:name="_Toc29"/>
      <w:bookmarkEnd w:id="77"/>
      <w:bookmarkEnd w:id="78"/>
      <w:r>
        <w:rPr>
          <w:rtl w:val="true"/>
        </w:rPr>
        <w:t>الفصل الثالث التعريف بكتاب المقنع</w:t>
      </w:r>
      <w:bookmarkEnd w:id="79"/>
    </w:p>
    <w:p>
      <w:pPr>
        <w:pStyle w:val="Heading4"/>
        <w:numPr>
          <w:ilvl w:val="3"/>
          <w:numId w:val="1"/>
        </w:numPr>
        <w:rPr/>
      </w:pPr>
      <w:bookmarkStart w:id="80" w:name="__RefHeading___Toc2225940_1051229030"/>
      <w:bookmarkStart w:id="81" w:name="_Toc30"/>
      <w:bookmarkEnd w:id="80"/>
      <w:r>
        <w:rPr>
          <w:rtl w:val="true"/>
        </w:rPr>
        <w:t>اسمه و نسبته</w:t>
      </w:r>
      <w:bookmarkEnd w:id="81"/>
    </w:p>
    <w:p>
      <w:pPr>
        <w:pStyle w:val="BookText"/>
        <w:rPr/>
      </w:pPr>
      <w:r>
        <w:rPr>
          <w:rFonts w:ascii="Amiri" w:hAnsi="Amiri" w:eastAsia="Amiri" w:cs="Amiri"/>
          <w:color w:val="111111"/>
          <w:sz w:val="28"/>
          <w:sz w:val="28"/>
          <w:szCs w:val="28"/>
          <w:rtl w:val="true"/>
          <w:lang w:bidi="ar-SA"/>
        </w:rPr>
        <w:t>لا مجال للشكّ في نسبة الكتاب إلى الشريف المرتضى رحمه اللّه، بعد أن نسبه إليه كلّ من ذكر مصنّفاته، و هو و إن لم يكن أشهر مصنّفاته، إلّاأنّه يعدّ من أشهرها، مضافاً إلى إحالته فيه إلى كتابيه الشافي و تنزيه الأنبياء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سوى أُسلوب الكتاب و منهجه الذي يتطابق مع منهج و أُسلوب الشريف المرتضى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اسم الكتاب فهو و إن لم يرد في ديباجته، إلّاأنّه قد ورد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مخطوطاته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المصادر، فقد ذكره البصروي في فهرس مصنّفات الشريف المرتضى،</w:t>
      </w:r>
      <w:r>
        <w:rPr>
          <w:rStyle w:val="FootnoteAnchor"/>
          <w:rtl w:val="true"/>
        </w:rPr>
        <w:footnoteReference w:id="193"/>
      </w:r>
      <w:r>
        <w:rPr>
          <w:rFonts w:ascii="Amiri" w:hAnsi="Amiri" w:eastAsia="Amiri" w:cs="Amiri"/>
          <w:color w:val="111111"/>
          <w:sz w:val="28"/>
          <w:sz w:val="28"/>
          <w:szCs w:val="28"/>
          <w:rtl w:val="true"/>
          <w:lang w:bidi="ar-SA"/>
        </w:rPr>
        <w:t>و قد أجازه إيّاها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تلميذه الآخر شيخ الطائفة الطوسي في الفهرست،</w:t>
      </w:r>
      <w:r>
        <w:rPr>
          <w:rStyle w:val="FootnoteAnchor"/>
          <w:rtl w:val="true"/>
        </w:rPr>
        <w:footnoteReference w:id="194"/>
      </w:r>
      <w:r>
        <w:rPr>
          <w:rFonts w:ascii="Amiri" w:hAnsi="Amiri" w:eastAsia="Amiri" w:cs="Amiri"/>
          <w:color w:val="111111"/>
          <w:sz w:val="28"/>
          <w:sz w:val="28"/>
          <w:szCs w:val="28"/>
          <w:rtl w:val="true"/>
          <w:lang w:bidi="ar-SA"/>
        </w:rPr>
        <w:t>و النجاشي في فهرسته،</w:t>
      </w:r>
      <w:r>
        <w:rPr>
          <w:rStyle w:val="FootnoteAnchor"/>
          <w:rtl w:val="true"/>
        </w:rPr>
        <w:footnoteReference w:id="195"/>
      </w:r>
      <w:r>
        <w:rPr>
          <w:rFonts w:ascii="Amiri" w:hAnsi="Amiri" w:eastAsia="Amiri" w:cs="Amiri"/>
          <w:color w:val="111111"/>
          <w:sz w:val="28"/>
          <w:sz w:val="28"/>
          <w:szCs w:val="28"/>
          <w:rtl w:val="true"/>
          <w:lang w:bidi="ar-SA"/>
        </w:rPr>
        <w:t>و ابن شهرآشوب في معالم العلماء،</w:t>
      </w:r>
      <w:r>
        <w:rPr>
          <w:rStyle w:val="FootnoteAnchor"/>
          <w:rtl w:val="true"/>
        </w:rPr>
        <w:footnoteReference w:id="196"/>
      </w:r>
      <w:r>
        <w:rPr>
          <w:rFonts w:ascii="Amiri" w:hAnsi="Amiri" w:eastAsia="Amiri" w:cs="Amiri"/>
          <w:color w:val="111111"/>
          <w:sz w:val="28"/>
          <w:sz w:val="28"/>
          <w:szCs w:val="28"/>
          <w:rtl w:val="true"/>
          <w:lang w:bidi="ar-SA"/>
        </w:rPr>
        <w:t xml:space="preserve">مضافاً إلى سائر المصادر المعروفة، </w:t>
      </w:r>
    </w:p>
    <w:p>
      <w:pPr>
        <w:pStyle w:val="BookText"/>
        <w:rPr/>
      </w:pPr>
      <w:r>
        <w:rPr>
          <w:rFonts w:ascii="Amiri" w:hAnsi="Amiri" w:eastAsia="Amiri" w:cs="Amiri"/>
          <w:color w:val="111111"/>
          <w:sz w:val="28"/>
          <w:sz w:val="28"/>
          <w:szCs w:val="28"/>
          <w:rtl w:val="true"/>
          <w:lang w:bidi="ar-SA"/>
        </w:rPr>
        <w:t>ك أمل الآمل،</w:t>
      </w:r>
      <w:r>
        <w:rPr>
          <w:rStyle w:val="FootnoteAnchor"/>
          <w:rtl w:val="true"/>
        </w:rPr>
        <w:footnoteReference w:id="197"/>
      </w:r>
      <w:r>
        <w:rPr>
          <w:rFonts w:ascii="Amiri" w:hAnsi="Amiri" w:eastAsia="Amiri" w:cs="Amiri"/>
          <w:color w:val="111111"/>
          <w:sz w:val="28"/>
          <w:sz w:val="28"/>
          <w:szCs w:val="28"/>
          <w:rtl w:val="true"/>
          <w:lang w:bidi="ar-SA"/>
        </w:rPr>
        <w:t>و الدرجات الرفيعة،</w:t>
      </w:r>
      <w:r>
        <w:rPr>
          <w:rStyle w:val="FootnoteAnchor"/>
          <w:rtl w:val="true"/>
        </w:rPr>
        <w:footnoteReference w:id="198"/>
      </w:r>
      <w:r>
        <w:rPr>
          <w:rFonts w:ascii="Amiri" w:hAnsi="Amiri" w:eastAsia="Amiri" w:cs="Amiri"/>
          <w:color w:val="111111"/>
          <w:sz w:val="28"/>
          <w:sz w:val="28"/>
          <w:szCs w:val="28"/>
          <w:rtl w:val="true"/>
          <w:lang w:bidi="ar-SA"/>
        </w:rPr>
        <w:t>و رجال السيّد بحر العلوم،</w:t>
      </w:r>
      <w:r>
        <w:rPr>
          <w:rStyle w:val="FootnoteAnchor"/>
          <w:rtl w:val="true"/>
        </w:rPr>
        <w:footnoteReference w:id="199"/>
      </w:r>
      <w:r>
        <w:rPr>
          <w:rFonts w:ascii="Amiri" w:hAnsi="Amiri" w:eastAsia="Amiri" w:cs="Amiri"/>
          <w:color w:val="111111"/>
          <w:sz w:val="28"/>
          <w:sz w:val="28"/>
          <w:szCs w:val="28"/>
          <w:rtl w:val="true"/>
          <w:lang w:bidi="ar-SA"/>
        </w:rPr>
        <w:t>و غيرها من مصادر التراجم و الرجال، إن لم نقل كلّ من ترجم للشريف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نصّ عليه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 الحموي في معجم الأُدباء،</w:t>
      </w:r>
      <w:r>
        <w:rPr>
          <w:rStyle w:val="FootnoteAnchor"/>
          <w:rtl w:val="true"/>
        </w:rPr>
        <w:footnoteReference w:id="200"/>
      </w:r>
      <w:r>
        <w:rPr>
          <w:rFonts w:ascii="Amiri" w:hAnsi="Amiri" w:eastAsia="Amiri" w:cs="Amiri"/>
          <w:color w:val="111111"/>
          <w:sz w:val="28"/>
          <w:sz w:val="28"/>
          <w:szCs w:val="28"/>
          <w:rtl w:val="true"/>
          <w:lang w:bidi="ar-SA"/>
        </w:rPr>
        <w:t>و الصفدي في الوافي بالوَفَيَات،</w:t>
      </w:r>
      <w:r>
        <w:rPr>
          <w:rStyle w:val="FootnoteAnchor"/>
          <w:rtl w:val="true"/>
        </w:rPr>
        <w:footnoteReference w:id="201"/>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المقنع بعض الأعلام كالشيخ الطوسي في الغيبة، و الطبرسي في إعلام الورى، و عدّه من مصادره العلّامة المجلسي في موسوعة بحار الأنوار،</w:t>
      </w:r>
      <w:r>
        <w:rPr>
          <w:rStyle w:val="FootnoteAnchor"/>
          <w:rtl w:val="true"/>
        </w:rPr>
        <w:footnoteReference w:id="202"/>
      </w:r>
      <w:r>
        <w:rPr>
          <w:rFonts w:ascii="Amiri" w:hAnsi="Amiri" w:eastAsia="Amiri" w:cs="Amiri"/>
          <w:color w:val="111111"/>
          <w:sz w:val="28"/>
          <w:sz w:val="28"/>
          <w:szCs w:val="28"/>
          <w:rtl w:val="true"/>
          <w:lang w:bidi="ar-SA"/>
        </w:rPr>
        <w:t>كما اعتمد عليه، و رجع إليه غيره من العلماء، خاصّة فيما يرتبط بالمباحث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صنَّفه؟</w:t>
      </w:r>
    </w:p>
    <w:p>
      <w:pPr>
        <w:pStyle w:val="BookText"/>
        <w:rPr/>
      </w:pPr>
      <w:r>
        <w:rPr>
          <w:rFonts w:ascii="Amiri" w:hAnsi="Amiri" w:eastAsia="Amiri" w:cs="Amiri"/>
          <w:color w:val="111111"/>
          <w:sz w:val="28"/>
          <w:sz w:val="28"/>
          <w:szCs w:val="28"/>
          <w:rtl w:val="true"/>
          <w:lang w:bidi="ar-SA"/>
        </w:rPr>
        <w:t>قال الشريف المرتضى رحمه اللّه في ديباجة كتابه عن الأمر الذي بعثه إلى تصنيف هذا الكتاب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في مجلس الوزير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في العزّ الدائم بقاءه، و كبت حسّاده و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غيبة صاحب الزمان ألممت بأطرافه؛ لأنّ الحال لم تقتض الاستقصاء و الاستيفاء، و دعاني ذلك إلى إملاء كلامٍ وجيزٍ فيها يطلع به على سرّ هذه المسألة، و يحسم مادّة الشبهة المعترضة فيها، و إن كنت قد أودعت الكتاب الشافي في الإمامة و كتابي في تنزيه الأنبياء و الأئمّة عليهم السلام من الكلام في الغيبة ما فيه كفايةٌ و هدايةٌ لمن أنصف من نفسه و انقاد لإلزام الحجّة، و لم يحر تحيّراً عانداً عن المحجّة</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يظهر من هذه العبارة أنّه قد صنّفها للوزير المغربي، بل قد نصّ 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2" w:name="pg7486_97134"/>
    </w:p>
    <w:p>
      <w:pPr>
        <w:pStyle w:val="BookText"/>
        <w:rPr/>
      </w:pPr>
      <w:bookmarkEnd w:id="82"/>
      <w:r>
        <w:rPr>
          <w:rFonts w:ascii="Amiri" w:hAnsi="Amiri" w:eastAsia="Amiri" w:cs="Amiri"/>
          <w:color w:val="111111"/>
          <w:sz w:val="28"/>
          <w:sz w:val="28"/>
          <w:szCs w:val="28"/>
          <w:rtl w:val="true"/>
          <w:lang w:bidi="ar-SA"/>
        </w:rPr>
        <w:t>ابن شهرآشوب في معالم العلماء،</w:t>
      </w:r>
      <w:r>
        <w:rPr>
          <w:rStyle w:val="FootnoteAnchor"/>
          <w:rtl w:val="true"/>
        </w:rPr>
        <w:footnoteReference w:id="204"/>
      </w:r>
      <w:r>
        <w:rPr>
          <w:rFonts w:ascii="Amiri" w:hAnsi="Amiri" w:eastAsia="Amiri" w:cs="Amiri"/>
          <w:color w:val="111111"/>
          <w:sz w:val="28"/>
          <w:sz w:val="28"/>
          <w:szCs w:val="28"/>
          <w:rtl w:val="true"/>
          <w:lang w:bidi="ar-SA"/>
        </w:rPr>
        <w:t>و غيره من العلماء كالشيخ آقا بزرك الطهراني في الذريعة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إن كان قد تمّ تأليف الكتاب على إثر بحثٍ جرى في مجلس الوزير أبي القاسم المغربي، فقد ألّف الشريف المرتضى رسالةً في جواز الولاية عن الظالمين نتيجة للبحث في مجلس الوزير المغربي أيضاً حول الولاية من قبل الظلمة، و كيفيّة القول في حسنها و قبحها، وذلك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لمعرفة أحوال الوزير المغربي هذا نورد سطوراً من ترجمته فيما يلي</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225942_1051229030"/>
      <w:bookmarkStart w:id="84" w:name="_Toc31"/>
      <w:bookmarkEnd w:id="83"/>
      <w:r>
        <w:rPr>
          <w:rtl w:val="true"/>
        </w:rPr>
        <w:t>ترجمة الوزير المغربي</w:t>
      </w:r>
      <w:bookmarkEnd w:id="84"/>
    </w:p>
    <w:p>
      <w:pPr>
        <w:pStyle w:val="BookText"/>
        <w:rPr/>
      </w:pPr>
      <w:r>
        <w:rPr>
          <w:rFonts w:ascii="Amiri" w:hAnsi="Amiri" w:eastAsia="Amiri" w:cs="Amiri"/>
          <w:color w:val="111111"/>
          <w:sz w:val="28"/>
          <w:sz w:val="28"/>
          <w:szCs w:val="28"/>
          <w:rtl w:val="true"/>
          <w:lang w:bidi="ar-SA"/>
        </w:rPr>
        <w:t xml:space="preserve">هو أبو القاسم الحسين بن عليّ بن الحسين بن عليّ بن محمّد بن يوسف، العالم الامامي الأديب، المعروف بالوزير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بَهرام جور، و أُمّه فاطمة بنت المحدّث الكبير أبي عبد اللَّه محمّد بن إبراهيم النعماني صاحب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حلب سنة سبعين و ثلاث مئة، و حفظ القرآن الكريم، و عدّة كتب في النحو و اللغة و كثيراً من الشعر، و أتقن الحساب و الجبر و المقابلة، و ذلك كلّه قبل استكماله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جدّه و أبوه من كتّاب سيف الدولة الحمداني، و بعد وفاة سيف الدولة استمرّ أبوه في خدمة ابنه سعد الدولة أبي المعالي، و شاركه الرأي في إدارة الدولة، ثمّ حصلت بينهما نبوة، فترك حلب، و دخل مصر و معه ابنه المترجَم في سنة إحدى و ثمانين و ثلاث مئة، فلقي أبو القاسم بها عدداً من الشيوخ، فسمع منهم، و أخذ عنهم العلم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عليّ، و الوزير جعفر بن الفضل بن الفرات المعروف بابن حِنزابة، </w:t>
      </w:r>
    </w:p>
    <w:p>
      <w:pPr>
        <w:pStyle w:val="BookText"/>
        <w:rPr/>
      </w:pPr>
      <w:r>
        <w:rPr>
          <w:rFonts w:ascii="Amiri" w:hAnsi="Amiri" w:eastAsia="Amiri" w:cs="Amiri"/>
          <w:color w:val="111111"/>
          <w:sz w:val="28"/>
          <w:sz w:val="28"/>
          <w:szCs w:val="28"/>
          <w:rtl w:val="true"/>
          <w:lang w:bidi="ar-SA"/>
        </w:rPr>
        <w:t>و القاضي أبي الحسن عليّ بن محمّد بن يزيد الحلبي، و أبي القاسم ميمون بن حمزة الحسيني، و علي بن منصور الحلبي المعروف بدَوْخَلة، و القاضي أبي أحمد محمّد ابن داود بن أحمد العسقلاني، و أبي جعفر الموسوي قاضي مكّة،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رسالةٍ له بخطِّه أنّه سمع الموطأ من شيخين له، كما سمع صحيح البخاري و مسلم و جامع سفيان و عدّة مسانيد عن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يحيى عبد الحميد، و أبو الحسن بن الطيب الفارقي، و أبو محمّد رزق اللَّه بن عبد الوهاب التميمي، و أبو غالب محمّد بن أحمد بن سهل بن بشران النحوي، و عليّ بن السكن الفارقي،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أملى عدّة مجالس في تفسير القرآن و الاحتجاج في التنزيل بكثير من الأحاديث المسموعة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يسأل النحوي عن الفقه، و الفقيه عن التفسير، و المفسّر عن العروض،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المترجَم قد هرب من مصر بعد قتل أبيه من قبل الحاكم الفاطمي 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لجأ إلى الشام، و استجار بحسّان بن المفرج الطائي، ثمّ انتقل إلى بغداد، و منها إلى الموصل، فاتّصل بأميرها قرواش بن المقلّد، و كتب له، و تقلَّبت به الأحوال إلى أن استوزره مشرّف الدولة البويهي ببغداد عشرة أشهر و أيّام، و اضطرب أمره فلجأ إلى قرواش، فكتب الخليفة إلى قرواش بإبعاده، ففعل، فسار الوزير المغربي إلى ابن مروان بديار بكر، و أقام بميّافارقين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للوزير المغربي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علم القرآن، رسالة في القاضي و الحاكم، اختصار إصلاح المنطق لابن السِّكيت، اختيار شعر أبي تمام، اختيار شعر البحتري، الايناس، أدب الخواص، و رسالة فيها أسئلة من عدّة 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لَها و العِيسُ تُحْدِجُ للسُّرَى أَعِدِّيْ لِفَقْدي مَا اسْتَطَعْتِ مِنَ الصَّبْرِ </w:t>
      </w:r>
      <w:bookmarkStart w:id="85" w:name="pg7486_97136"/>
    </w:p>
    <w:p>
      <w:pPr>
        <w:pStyle w:val="BookText"/>
        <w:rPr/>
      </w:pPr>
      <w:bookmarkEnd w:id="85"/>
      <w:r>
        <w:rPr>
          <w:rFonts w:ascii="Amiri" w:hAnsi="Amiri" w:eastAsia="Amiri" w:cs="Amiri"/>
          <w:color w:val="111111"/>
          <w:sz w:val="28"/>
          <w:sz w:val="28"/>
          <w:szCs w:val="28"/>
          <w:rtl w:val="true"/>
          <w:lang w:bidi="ar-SA"/>
        </w:rPr>
        <w:t>سَأُنْفِقُ رَيْعَانَ الشَّبِيْبَةِ آنِفَاً عَلى طَلَبِ العُلْيَاءِ أوْ طَلَبِ الأَجْرِ</w:t>
      </w:r>
    </w:p>
    <w:p>
      <w:pPr>
        <w:pStyle w:val="BookText"/>
        <w:rPr/>
      </w:pPr>
      <w:r>
        <w:rPr>
          <w:rFonts w:ascii="Amiri" w:hAnsi="Amiri" w:eastAsia="Amiri" w:cs="Amiri"/>
          <w:color w:val="111111"/>
          <w:sz w:val="28"/>
          <w:sz w:val="28"/>
          <w:szCs w:val="28"/>
          <w:rtl w:val="true"/>
          <w:lang w:bidi="ar-SA"/>
        </w:rPr>
        <w:t>أَلَيْسَ مِنَ الخُسْرَانِ أنَّ لَيَالياً تَمُرُّ بِلَا نَفْعٍ و تُحْسَبُ مِنْ عُمْرِيْ</w:t>
      </w:r>
    </w:p>
    <w:p>
      <w:pPr>
        <w:pStyle w:val="BookText"/>
        <w:rPr/>
      </w:pPr>
      <w:r>
        <w:rPr>
          <w:rFonts w:ascii="Amiri" w:hAnsi="Amiri" w:eastAsia="Amiri" w:cs="Amiri"/>
          <w:color w:val="111111"/>
          <w:sz w:val="28"/>
          <w:sz w:val="28"/>
          <w:szCs w:val="28"/>
          <w:rtl w:val="true"/>
          <w:lang w:bidi="ar-SA"/>
        </w:rPr>
        <w:t>و قال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عَلِيّاً بِطِيْبِ النَّجَارِ وَ فَصْلِ الخِطَابِ وَ حُسْنِ المَخيْلَةْ</w:t>
      </w:r>
    </w:p>
    <w:p>
      <w:pPr>
        <w:pStyle w:val="BookText"/>
        <w:rPr/>
      </w:pPr>
      <w:r>
        <w:rPr>
          <w:rFonts w:ascii="Amiri" w:hAnsi="Amiri" w:eastAsia="Amiri" w:cs="Amiri"/>
          <w:color w:val="111111"/>
          <w:sz w:val="28"/>
          <w:sz w:val="28"/>
          <w:szCs w:val="28"/>
          <w:rtl w:val="true"/>
          <w:lang w:bidi="ar-SA"/>
        </w:rPr>
        <w:t>تَطلَّع كالشَّمْسِ رأدَ الضُّحَى بفَضلٍ عَميمٍ و أيدٍ جَزْيلَةْ</w:t>
      </w:r>
    </w:p>
    <w:p>
      <w:pPr>
        <w:pStyle w:val="BookText"/>
        <w:rPr/>
      </w:pPr>
      <w:r>
        <w:rPr>
          <w:rFonts w:ascii="Amiri" w:hAnsi="Amiri" w:eastAsia="Amiri" w:cs="Amiri"/>
          <w:color w:val="111111"/>
          <w:sz w:val="28"/>
          <w:sz w:val="28"/>
          <w:szCs w:val="28"/>
          <w:rtl w:val="true"/>
          <w:lang w:bidi="ar-SA"/>
        </w:rPr>
        <w:t>فَكَانَ المُقَدَّمُ بَعْدَ النَّبِيِّ عَلَى كُلِّ نَفْسٍ بِكُلِّ قبيْلَةْ</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أفْضَلُ أخْلَاقِ الفَتَى العِلْمُ و الحِجَا إذا مَا صُرُوفُ الدَّهْرِ أخْلَقْن مِرْطَهُ</w:t>
      </w:r>
    </w:p>
    <w:p>
      <w:pPr>
        <w:pStyle w:val="BookText"/>
        <w:rPr/>
      </w:pPr>
      <w:r>
        <w:rPr>
          <w:rFonts w:ascii="Amiri" w:hAnsi="Amiri" w:eastAsia="Amiri" w:cs="Amiri"/>
          <w:color w:val="111111"/>
          <w:sz w:val="28"/>
          <w:sz w:val="28"/>
          <w:szCs w:val="28"/>
          <w:rtl w:val="true"/>
          <w:lang w:bidi="ar-SA"/>
        </w:rPr>
        <w:t>فَمَا رَفَعَ الدَّهْرُ إمْرَأً عَنْ مَحَلِّهِ بِغَيرِ التُّقَى وَ العِلْمِ إلَّاوَحَطَّهُ</w:t>
      </w:r>
    </w:p>
    <w:p>
      <w:pPr>
        <w:pStyle w:val="BookText"/>
        <w:rPr/>
      </w:pPr>
      <w:r>
        <w:rPr>
          <w:rFonts w:ascii="Amiri" w:hAnsi="Amiri" w:eastAsia="Amiri" w:cs="Amiri"/>
          <w:color w:val="111111"/>
          <w:sz w:val="28"/>
          <w:sz w:val="28"/>
          <w:szCs w:val="28"/>
          <w:rtl w:val="true"/>
          <w:lang w:bidi="ar-SA"/>
        </w:rPr>
        <w:t xml:space="preserve">و له قصيدةٌ في رثاء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بميّافارقين سنة ثمان عشرة و أربع مئة، و حُمل تابوته إلى النجف الأشرف بوصيّةٍ منه، فدفن بجوار مشهد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 أبو العلاء المعرّي بأبيات موجودة في لزوميّاته، و كانت بينهما مودّة و صداقة و مراسلات</w:t>
      </w:r>
      <w:r>
        <w:rPr>
          <w:rFonts w:eastAsia="Amiri" w:cs="Amiri" w:ascii="Amiri" w:hAnsi="Amiri"/>
          <w:color w:val="111111"/>
          <w:sz w:val="28"/>
          <w:szCs w:val="28"/>
          <w:rtl w:val="true"/>
          <w:lang w:bidi="ar-SA"/>
        </w:rPr>
        <w:t>.</w:t>
      </w:r>
      <w:r>
        <w:rPr>
          <w:rStyle w:val="FootnoteAnchor"/>
          <w:rtl w:val="true"/>
        </w:rPr>
        <w:footnoteReference w:id="206"/>
      </w:r>
    </w:p>
    <w:p>
      <w:pPr>
        <w:pStyle w:val="Heading4"/>
        <w:numPr>
          <w:ilvl w:val="3"/>
          <w:numId w:val="1"/>
        </w:numPr>
        <w:rPr/>
      </w:pPr>
      <w:bookmarkStart w:id="86" w:name="__RefHeading___Toc2225944_1051229030"/>
      <w:bookmarkStart w:id="87" w:name="_Toc32"/>
      <w:bookmarkEnd w:id="86"/>
      <w:r>
        <w:rPr>
          <w:rtl w:val="true"/>
        </w:rPr>
        <w:t>تاريخ تأليفه</w:t>
      </w:r>
      <w:bookmarkEnd w:id="8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الكتاب أيّة إشارة إلى تاريخ تأليفه، و قد مضى عليك أنّ المصنّف قد </w:t>
      </w:r>
    </w:p>
    <w:p>
      <w:pPr>
        <w:pStyle w:val="BookText"/>
        <w:rPr/>
      </w:pPr>
      <w:r>
        <w:rPr>
          <w:rFonts w:ascii="Amiri" w:hAnsi="Amiri" w:eastAsia="Amiri" w:cs="Amiri"/>
          <w:color w:val="111111"/>
          <w:sz w:val="28"/>
          <w:sz w:val="28"/>
          <w:szCs w:val="28"/>
          <w:rtl w:val="true"/>
          <w:lang w:bidi="ar-SA"/>
        </w:rPr>
        <w:t xml:space="preserve">أرجع في كتابه هذا إلى كتابَيْه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تنزيه الأنبياء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أنّه قد صُنّف الكتاب بعد هذَيْن الكتابَيْن، كما قد تأمّل في كتابه تنزيه الأنبياء و الأئمّة أن يُوفَّق لتأليف كتابٍ عن مسائل الغيبة؛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أنّ استقصاء الكلام في مسائل الغيبة يطول ويخرج عن الغرض بهذا الكتاب لأشبعناه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منه الكثير في كتابنا في الإمامة، و لعلّنا نستقصي الكلام فيه، و نأتي على ما لعلّه لم نورده في كتابٍ الإمامة في موضعٍ نفرده له، إن أخّر اللّه تعالى في المدّة و تفضّل بالتأييد و المعونة، فهو المؤول ذلك و المأمول لكلّ فضلٍ و خيرٍ قرباً من ثوابه، و بعداً من عقابه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من ذلك يعلم أنّ الشريف المرتضى لم يصنّف في الغيبة قبل الشافي و تنزيه الأنبياء و الأئمّة كتاباً، و أنّ المقنع قد صنّف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تأليف كتاب تنزيه الأنبياء و الأئمّة قد تمّ بعد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تأليف الكتاب بعد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فقد ورد اسم الكتاب في فهرس البصروي الذي أعدّه لمصنّفات أُستاذه الشريف المرتضى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فهذا يعني أنّه قد تمّ تاليف الكتاب بعد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لنا أن نحدّد تاريخ تاليفه بنحوٍ أدق، فقد ذكر الشريف المرتضى أنّه قد صنّفه بناءً على ما جرى في مجلس الوزير المغربي رحمه اللّه، و من المعلوم أنّ وزارته لآل بويه كانت لمدّة عشرة أشهر في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08"/>
      </w:r>
      <w:r>
        <w:rPr>
          <w:rFonts w:ascii="Amiri" w:hAnsi="Amiri" w:eastAsia="Amiri" w:cs="Amiri"/>
          <w:color w:val="111111"/>
          <w:sz w:val="28"/>
          <w:sz w:val="28"/>
          <w:szCs w:val="28"/>
          <w:rtl w:val="true"/>
          <w:lang w:bidi="ar-SA"/>
        </w:rPr>
        <w:t>و هو عام تأليف الكتاب تحديداً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88" w:name="pg7486_97138"/>
    </w:p>
    <w:p>
      <w:pPr>
        <w:pStyle w:val="Heading4"/>
        <w:numPr>
          <w:ilvl w:val="3"/>
          <w:numId w:val="1"/>
        </w:numPr>
        <w:rPr/>
      </w:pPr>
      <w:bookmarkStart w:id="89" w:name="__RefHeading___Toc2225946_1051229030"/>
      <w:bookmarkStart w:id="90" w:name="_Toc33"/>
      <w:bookmarkEnd w:id="88"/>
      <w:bookmarkEnd w:id="89"/>
      <w:r>
        <w:rPr>
          <w:rtl w:val="true"/>
        </w:rPr>
        <w:t>حول تكملة المقنع</w:t>
      </w:r>
      <w:bookmarkEnd w:id="90"/>
    </w:p>
    <w:p>
      <w:pPr>
        <w:pStyle w:val="BookText"/>
        <w:rPr/>
      </w:pPr>
      <w:r>
        <w:rPr>
          <w:rFonts w:ascii="Amiri" w:hAnsi="Amiri" w:eastAsia="Amiri" w:cs="Amiri"/>
          <w:color w:val="111111"/>
          <w:sz w:val="28"/>
          <w:sz w:val="28"/>
          <w:szCs w:val="28"/>
          <w:rtl w:val="true"/>
          <w:lang w:bidi="ar-SA"/>
        </w:rPr>
        <w:t xml:space="preserve">كانت حركة التأليف مستمرّة عند الشريف المرتضى رحمه اللّه منذ ريعان شبابه إلى آخر أيّام حياته، و لذلك فقد قام بتكملة بعض مصنّفاته و الزيادة عليها، و من مصنّفاته تكملة المقنع، و هذه التكملة و إنْ لم يعلم تاريخ تأليفها بالضبط، فهي قد أُلفت 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سنة تأليف المقنع، كما قد أحال في هذا الذيل إلى المقنع نفسه و كتاب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لم يرد ذكر هذه التكملة في فهرس البصروي لمصنّفات الشريف المرتضى، الّذي أُلّف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لكن يحتمل أنّ البصروي عدّها من المقنع، و قد ذكره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تصنيف التكملة لم يكن بعيداً عن تصنيف أصله تاريخيّاً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225948_1051229030"/>
      <w:bookmarkStart w:id="92" w:name="_Toc34"/>
      <w:bookmarkEnd w:id="91"/>
      <w:r>
        <w:rPr>
          <w:rtl w:val="true"/>
        </w:rPr>
        <w:t>بين المقنع و رسالة في الغيبة</w:t>
      </w:r>
      <w:bookmarkEnd w:id="92"/>
    </w:p>
    <w:p>
      <w:pPr>
        <w:pStyle w:val="BookText"/>
        <w:rPr/>
      </w:pPr>
      <w:r>
        <w:rPr>
          <w:rFonts w:ascii="Amiri" w:hAnsi="Amiri" w:eastAsia="Amiri" w:cs="Amiri"/>
          <w:color w:val="111111"/>
          <w:sz w:val="28"/>
          <w:sz w:val="28"/>
          <w:szCs w:val="28"/>
          <w:rtl w:val="true"/>
          <w:lang w:bidi="ar-SA"/>
        </w:rPr>
        <w:t>إنّ هذا الكتاب هو غير رسالة في الغيبة قطعاً، و قد طبعت هذه الرسالة أوّلاً في بغداد في ضمن سلسلة نفائس المخطوطات،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وجيزة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المرحوم الشيخ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طبعت في رسائل الشريف المرتضى في ضمن المجموعة الثانية،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غيبة الحجّة عليه السلام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طبعت في مسائل الشريف المرتضى أيضاً،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الناسخ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كتبه رحمه اللّه مسألة وجيزة في الغيبة، لا أعلم مِنْ كلام مِنْ هي، فكتبتها على وجهها</w:t>
      </w:r>
      <w:r>
        <w:rPr>
          <w:rFonts w:eastAsia="Amiri" w:cs="Amiri" w:ascii="Amiri" w:hAnsi="Amiri"/>
          <w:color w:val="111111"/>
          <w:sz w:val="28"/>
          <w:szCs w:val="28"/>
          <w:rtl w:val="true"/>
          <w:lang w:bidi="ar-SA"/>
        </w:rPr>
        <w:t>».</w:t>
      </w:r>
      <w:r>
        <w:rPr>
          <w:rStyle w:val="FootnoteAnchor"/>
          <w:rtl w:val="true"/>
        </w:rPr>
        <w:footnoteReference w:id="210"/>
      </w:r>
      <w:bookmarkStart w:id="93" w:name="pg7486_97139"/>
    </w:p>
    <w:p>
      <w:pPr>
        <w:pStyle w:val="BookText"/>
        <w:rPr/>
      </w:pPr>
      <w:bookmarkEnd w:id="93"/>
      <w:r>
        <w:rPr>
          <w:rFonts w:ascii="Amiri" w:hAnsi="Amiri" w:eastAsia="Amiri" w:cs="Amiri"/>
          <w:color w:val="111111"/>
          <w:sz w:val="28"/>
          <w:sz w:val="28"/>
          <w:szCs w:val="28"/>
          <w:rtl w:val="true"/>
          <w:lang w:bidi="ar-SA"/>
        </w:rPr>
        <w:t>و إذا قارنّا بين المطبوع من المقنع، و المطبوع في رسائل الشريف المرتضى، لوجدنا تقارباً شديداً في المطالب، حتّى نحتمل أنّ هذه الرسالة ليس إلّاتلخيصاً لكتاب المقنع، قام به الشريف المرتضى أو أحد أعلام الإماميّة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225950_1051229030"/>
      <w:bookmarkStart w:id="95" w:name="_Toc35"/>
      <w:bookmarkEnd w:id="94"/>
      <w:r>
        <w:rPr>
          <w:rtl w:val="true"/>
        </w:rPr>
        <w:t>جهود حول الكتاب</w:t>
      </w:r>
      <w:bookmarkEnd w:id="95"/>
    </w:p>
    <w:p>
      <w:pPr>
        <w:pStyle w:val="Heading5"/>
        <w:numPr>
          <w:ilvl w:val="4"/>
          <w:numId w:val="1"/>
        </w:numPr>
        <w:rPr/>
      </w:pPr>
      <w:bookmarkStart w:id="96" w:name="__RefHeading___Toc2225952_1051229030"/>
      <w:bookmarkStart w:id="97" w:name="_Toc36"/>
      <w:bookmarkEnd w:id="96"/>
      <w:r>
        <w:rPr>
          <w:rtl w:val="true"/>
        </w:rPr>
        <w:t>أ</w:t>
      </w:r>
      <w:r>
        <w:rPr>
          <w:rtl w:val="true"/>
        </w:rPr>
        <w:t xml:space="preserve">) </w:t>
      </w:r>
      <w:r>
        <w:rPr>
          <w:rtl w:val="true"/>
        </w:rPr>
        <w:t>الردود</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كلام ابن المرتضى في طبقات المعتزلة أنّ أبا الحسين البصري قام بنقض هذا الكتاب، مضافاً إلى نقضه لل شافي، فقد قال عند تعداد كتب أبي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الأدلّة، و نقض الشافي في الإمامة، و نقض المقنع في الغيبة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كتب أحد علماء الزيديّة ردّاً على المقنع،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المكتفي على من يقول بالإمام المختفي، و مؤلّفه من علماء الزيديّة في منتصف القرن الخامس في نيسابور، اسمه أبو القاسم محمّد بن أحمد بن مهدي العلوي الحسني النيسابوري، و هو من تلاميذ أبي طالب الهاروني، و من شيوخ الحاكم الجِشُمي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لم يصرّح في هذا الرّد بأنّه يردّ على المقنع، إلّاأنّه قام بتقطيع نصّ المقنع، و نقل أكثر عباراته و ردّها</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225954_1051229030"/>
      <w:bookmarkStart w:id="99" w:name="_Toc37"/>
      <w:bookmarkEnd w:id="98"/>
      <w:r>
        <w:rPr>
          <w:rtl w:val="true"/>
        </w:rPr>
        <w:t>ب</w:t>
      </w:r>
      <w:r>
        <w:rPr>
          <w:rtl w:val="true"/>
        </w:rPr>
        <w:t xml:space="preserve">) </w:t>
      </w:r>
      <w:r>
        <w:rPr>
          <w:rtl w:val="true"/>
        </w:rPr>
        <w:t>الترجمة</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ترجمة الكتاب إلى الفارسيّة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وغيبت از ديدگاه 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قبل قسم التحقيقات و الترجمة و التأليف في مسجد جمكران، منشورات مسجد جمكران، قم المقدّسة،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0" w:name="pg7486_97140"/>
    </w:p>
    <w:p>
      <w:pPr>
        <w:pStyle w:val="Heading5"/>
        <w:numPr>
          <w:ilvl w:val="4"/>
          <w:numId w:val="1"/>
        </w:numPr>
        <w:rPr/>
      </w:pPr>
      <w:bookmarkStart w:id="101" w:name="__RefHeading___Toc2225956_1051229030"/>
      <w:bookmarkStart w:id="102" w:name="_Toc38"/>
      <w:bookmarkEnd w:id="100"/>
      <w:bookmarkEnd w:id="101"/>
      <w:r>
        <w:rPr>
          <w:rtl w:val="true"/>
        </w:rPr>
        <w:t>ج</w:t>
      </w:r>
      <w:r>
        <w:rPr>
          <w:rtl w:val="true"/>
        </w:rPr>
        <w:t xml:space="preserve">) </w:t>
      </w:r>
      <w:r>
        <w:rPr>
          <w:rtl w:val="true"/>
        </w:rPr>
        <w:t>المقالات</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المعالم المنهجيّة في البحث المهدوي عند الشريف المرتضى، نور الساعدي، مجلّة العقيدة، العدد الخاصّ بالشريف المرتضى، السنة الأُولى، العدد الثالث، ربيع الأوّل،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225958_1051229030"/>
      <w:bookmarkStart w:id="104" w:name="_Toc39"/>
      <w:bookmarkEnd w:id="103"/>
      <w:r>
        <w:rPr>
          <w:rtl w:val="true"/>
        </w:rPr>
        <w:t>د</w:t>
      </w:r>
      <w:r>
        <w:rPr>
          <w:rtl w:val="true"/>
        </w:rPr>
        <w:t xml:space="preserve">) </w:t>
      </w:r>
      <w:r>
        <w:rPr>
          <w:rtl w:val="true"/>
        </w:rPr>
        <w:t>الرسائل الجامعيّة</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مهدويت در فلسفه و كلام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المهدويّة في فلسفة الاسلام و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ماجستير،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پژوهش حكمت و فلسفه،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پور بهرامي،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أفضلي، المساعد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پازوكي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بحث في هذه الرسالة عن آراء متكلّمي الشيعة و المعتزلة، و قارنها بآراء الفلاسفة في مجال الاعتقاد بالمنجي، و من متكلّمي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الشريف المرتضى و الخواجة نصير الدين الطوسي، و عن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و ابن أبي الحديد، و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و المير شريف الجرجاني، و من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الفارابي، و ابن سينا، و شيخ الاشراق السهروردي، و المير داماد و الملّا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شيوۀ برخورد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 شيخ مفيد، سيد مرتضى،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مدّعيان 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مقابلة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الشيخ المفيد، و السيد المرتضى،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مدّعي المهدويّة،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رسالة السطح الثالث في الحوزة العلميّة بقم، فرع الكلام، المشرف، رسول رضوي،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رسولى نيا</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225960_1051229030"/>
      <w:bookmarkStart w:id="106" w:name="_Toc40"/>
      <w:bookmarkEnd w:id="105"/>
      <w:r>
        <w:rPr>
          <w:rtl w:val="true"/>
        </w:rPr>
        <w:t>ه</w:t>
      </w:r>
      <w:r>
        <w:rPr>
          <w:rtl w:val="true"/>
        </w:rPr>
        <w:t xml:space="preserve">) </w:t>
      </w:r>
      <w:r>
        <w:rPr>
          <w:rtl w:val="true"/>
        </w:rPr>
        <w:t>جهود أُخرى‌</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مهدى و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پيرامون آفاق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از مجموعۀ رسائل سيّد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و المنتظرون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حول آفاق المهدويّة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مختارات من مجموعة 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حسين </w:t>
      </w:r>
      <w:bookmarkStart w:id="107" w:name="pg7486_97141"/>
    </w:p>
    <w:p>
      <w:pPr>
        <w:pStyle w:val="BookText"/>
        <w:rPr/>
      </w:pPr>
      <w:bookmarkEnd w:id="107"/>
      <w:r>
        <w:rPr>
          <w:rFonts w:ascii="IRNazanin" w:hAnsi="IRNazanin" w:eastAsia="IRNazanin"/>
          <w:color w:val="111111"/>
          <w:sz w:val="28"/>
          <w:sz w:val="28"/>
          <w:szCs w:val="28"/>
          <w:rtl w:val="true"/>
          <w:lang w:bidi="fa-IR"/>
        </w:rPr>
        <w:t xml:space="preserve">صفاخواه، طهران، منشورات كتابچي،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تراث السيّد المرتضى في علم الكلام و ردّ الشبهات، العتبة العبّاسيّة المقدّسة،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225962_1051229030"/>
      <w:bookmarkStart w:id="109" w:name="_Toc41"/>
      <w:bookmarkEnd w:id="108"/>
      <w:r>
        <w:rPr>
          <w:rtl w:val="true"/>
        </w:rPr>
        <w:t>طبعاته</w:t>
      </w:r>
      <w:bookmarkEnd w:id="109"/>
    </w:p>
    <w:p>
      <w:pPr>
        <w:pStyle w:val="BookText"/>
        <w:rPr/>
      </w:pPr>
      <w:r>
        <w:rPr>
          <w:rFonts w:ascii="Amiri" w:hAnsi="Amiri" w:eastAsia="Amiri" w:cs="Amiri"/>
          <w:color w:val="111111"/>
          <w:sz w:val="28"/>
          <w:sz w:val="28"/>
          <w:szCs w:val="28"/>
          <w:rtl w:val="true"/>
          <w:lang w:bidi="ar-SA"/>
        </w:rPr>
        <w:t>طبع هذا الكتاب مراراً، و 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أوّلاً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طبعة حجريّة، على هامش كتاب درر الفرائد في شرح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 في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تكملته في قم المقدّسة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المرحوم السيّد محمّد عليّ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 مستقلاًّ مع التكملة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أُعيد طباعته مستقلاً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أُعيد طباعته أيضاً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ضمن موسوعة الشريف المرتضى، مؤسّسة التاريخ العربي، بيروت</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225964_1051229030"/>
      <w:bookmarkStart w:id="111" w:name="_Toc42"/>
      <w:bookmarkEnd w:id="110"/>
      <w:r>
        <w:rPr>
          <w:rtl w:val="true"/>
        </w:rPr>
        <w:t>مخطوطاته</w:t>
      </w:r>
      <w:bookmarkEnd w:id="111"/>
    </w:p>
    <w:p>
      <w:pPr>
        <w:pStyle w:val="Heading5"/>
        <w:numPr>
          <w:ilvl w:val="4"/>
          <w:numId w:val="1"/>
        </w:numPr>
        <w:rPr/>
      </w:pPr>
      <w:bookmarkStart w:id="112" w:name="__RefHeading___Toc2225966_1051229030"/>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لم يكن للمقنع نصيباً وافراً من المخطوطات، إلّاأنّ ما عثرنا عليه هي المخطوطات التالية</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2225968_1051229030"/>
      <w:bookmarkStart w:id="115" w:name="_Toc44"/>
      <w:bookmarkEnd w:id="114"/>
      <w:r>
        <w:rPr>
          <w:rtl w:val="true"/>
        </w:rPr>
        <w:t>ألف</w:t>
      </w:r>
      <w:r>
        <w:rPr>
          <w:rtl w:val="true"/>
        </w:rPr>
        <w:t xml:space="preserve">. </w:t>
      </w:r>
      <w:r>
        <w:rPr>
          <w:rtl w:val="true"/>
        </w:rPr>
        <w:t>النسخ المعتمدة</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8272</w:t>
      </w:r>
      <w:r>
        <w:rPr>
          <w:rFonts w:ascii="Amiri" w:hAnsi="Amiri" w:eastAsia="Amiri" w:cs="Amiri"/>
          <w:color w:val="111111"/>
          <w:sz w:val="28"/>
          <w:sz w:val="28"/>
          <w:szCs w:val="28"/>
          <w:rtl w:val="true"/>
          <w:lang w:bidi="ar-SA"/>
        </w:rPr>
        <w:t xml:space="preserve">؛ استنسخها الشيخ إبراهيم بن محمّد الحرّفوشي العاملي رحمه اللّه، بخطّ النسخ، و فرغ من نسخها يوم الإثنين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عناوينها بالشنجرف، و عليها تملّك السيّد محمّد باقر بن محمّد حسين الحسيني المنجّم الإصفهاني رحمه اللّه، و هي من مخطوطات الشيخ</w:t>
      </w:r>
    </w:p>
    <w:p>
      <w:pPr>
        <w:pStyle w:val="BookText"/>
        <w:rPr/>
      </w:pPr>
      <w:r>
        <w:rPr>
          <w:rFonts w:ascii="Amiri" w:hAnsi="Amiri" w:eastAsia="Amiri" w:cs="Amiri"/>
          <w:color w:val="111111"/>
          <w:sz w:val="28"/>
          <w:sz w:val="28"/>
          <w:szCs w:val="28"/>
          <w:rtl w:val="true"/>
          <w:lang w:bidi="ar-SA"/>
        </w:rPr>
        <w:t xml:space="preserve">محمّد عبده البروجردي رحمه اللّه، التى أُهديت إلى تلك المكتبة، و هي نسخة كاملة تشتمل على كتاب المقنع و الزيادات المكمّلة لها، إلّاعدّة أسطر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مركز إحياء التراث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3/2760</w:t>
      </w:r>
      <w:r>
        <w:rPr>
          <w:rFonts w:ascii="Amiri" w:hAnsi="Amiri" w:eastAsia="Amiri" w:cs="Amiri"/>
          <w:color w:val="111111"/>
          <w:sz w:val="28"/>
          <w:sz w:val="28"/>
          <w:szCs w:val="28"/>
          <w:rtl w:val="true"/>
          <w:lang w:bidi="ar-SA"/>
        </w:rPr>
        <w:t xml:space="preserve">؛ و هي نسخة مصحّحة و عليها تعليقات، مبتورة الآخر، لعلّها من مخطوطات القرن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آية اللّه السيّد البروجردي رحمه اللّه بقم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بخطّ النسخ، و هى نسخة مغلوطة، فرغ منها في غرّة ذي الحجّة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الشيخ آقا بزرك الطهراني رحمه اللّه، غير مرقّمة؛ و هي بخطّه الشريف، في ضمن استنساخه لرسائل الشريف المرتضى رحمه اللّه كتب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استنسخته من نسخة سقيمة ناقصة وحيدة؛ لعلّ اللّه يهديني إلى نسخة أُخرى صحيحة كاملة لأُتمّمها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مصوّرتها في مكتبة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المصوّرات،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15677</w:t>
      </w:r>
      <w:r>
        <w:rPr>
          <w:rFonts w:ascii="Amiri" w:hAnsi="Amiri" w:eastAsia="Amiri" w:cs="Amiri"/>
          <w:color w:val="111111"/>
          <w:sz w:val="28"/>
          <w:sz w:val="28"/>
          <w:szCs w:val="28"/>
          <w:rtl w:val="true"/>
          <w:lang w:bidi="ar-SA"/>
        </w:rPr>
        <w:t>؛ بخطّ النسخ، و هي من موقوفات السيّد محمّد باقر السبزواري رحمه اللّه، و هى نسخة مغلوطة مبتورة الآخر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116" w:name="pg7486_97143"/>
    </w:p>
    <w:p>
      <w:pPr>
        <w:pStyle w:val="BookText"/>
        <w:rPr/>
      </w:pPr>
      <w:bookmarkEnd w:id="1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مجلس الشورى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2/13174</w:t>
      </w:r>
      <w:r>
        <w:rPr>
          <w:rFonts w:ascii="Amiri" w:hAnsi="Amiri" w:eastAsia="Amiri" w:cs="Amiri"/>
          <w:color w:val="111111"/>
          <w:sz w:val="28"/>
          <w:sz w:val="28"/>
          <w:szCs w:val="28"/>
          <w:rtl w:val="true"/>
          <w:lang w:bidi="ar-SA"/>
        </w:rPr>
        <w:t xml:space="preserve">؛ بخطّ النسخ، و هي نسخة ناقصة لا تشتمل إلّاعلى جزء من كتاب المقنع، إلى منتصفه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حسن الصدر رحمه اللّه، في النجف الأشرف، برقم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استنسخها السيّد محمّد صادق بحر العلوم رحمه اللّه و فرغ منه في صباح يوم 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الشيخ آقا بزرك الطهراني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225970_1051229030"/>
      <w:bookmarkStart w:id="118" w:name="_Toc45"/>
      <w:bookmarkEnd w:id="117"/>
      <w:r>
        <w:rPr>
          <w:rtl w:val="true"/>
        </w:rPr>
        <w:t>ب</w:t>
      </w:r>
      <w:r>
        <w:rPr>
          <w:rtl w:val="true"/>
        </w:rPr>
        <w:t xml:space="preserve">. </w:t>
      </w:r>
      <w:r>
        <w:rPr>
          <w:rtl w:val="true"/>
        </w:rPr>
        <w:t>سائر النسخ</w:t>
      </w:r>
      <w:bookmarkEnd w:id="11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مصوّرة مؤسّسة كاشف الغطاء في النجف الأشرف،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7790</w:t>
      </w:r>
      <w:r>
        <w:rPr>
          <w:rFonts w:ascii="Amiri" w:hAnsi="Amiri" w:eastAsia="Amiri" w:cs="Amiri"/>
          <w:color w:val="111111"/>
          <w:sz w:val="28"/>
          <w:sz w:val="28"/>
          <w:szCs w:val="28"/>
          <w:rtl w:val="true"/>
          <w:lang w:bidi="ar-SA"/>
        </w:rPr>
        <w:t xml:space="preserve">؛ استنسخها المحدّث الشيخ 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المخطوطات،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مصوّرة تحتفظ بها مكتبة العبّاسيّة بالعراق، برقم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و لم يُعلم اسم ناسخها و تاريخ نسخها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خطوطة مكتبة مجلس الشورى الإسلامي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5392</w:t>
      </w:r>
      <w:r>
        <w:rPr>
          <w:rFonts w:ascii="Amiri" w:hAnsi="Amiri" w:eastAsia="Amiri" w:cs="Amiri"/>
          <w:color w:val="111111"/>
          <w:sz w:val="28"/>
          <w:sz w:val="28"/>
          <w:szCs w:val="28"/>
          <w:rtl w:val="true"/>
          <w:lang w:bidi="ar-SA"/>
        </w:rPr>
        <w:t xml:space="preserve">، و هي نسخة مبتورة الأوّل 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الأُستاذ الدكتور عبد الرزّاق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المرتضى،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استنسخها الشيخ شير محمّد الهمذاني رحمه اللّه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استنسخها السيّد أبو القاسم الإصفهاني رحمه اللّه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19" w:name="pg7486_97144"/>
    </w:p>
    <w:p>
      <w:pPr>
        <w:pStyle w:val="Heading4"/>
        <w:numPr>
          <w:ilvl w:val="3"/>
          <w:numId w:val="1"/>
        </w:numPr>
        <w:rPr/>
      </w:pPr>
      <w:bookmarkStart w:id="120" w:name="__RefHeading___Toc2225972_1051229030"/>
      <w:bookmarkStart w:id="121" w:name="_Toc46"/>
      <w:bookmarkEnd w:id="119"/>
      <w:bookmarkEnd w:id="120"/>
      <w:r>
        <w:rPr>
          <w:rtl w:val="true"/>
        </w:rPr>
        <w:t>مخطوطات الزيادة المكمّلة</w:t>
      </w:r>
      <w:bookmarkEnd w:id="121"/>
    </w:p>
    <w:p>
      <w:pPr>
        <w:pStyle w:val="BookText"/>
        <w:rPr/>
      </w:pPr>
      <w:r>
        <w:rPr>
          <w:rFonts w:ascii="Amiri" w:hAnsi="Amiri" w:eastAsia="Amiri" w:cs="Amiri"/>
          <w:color w:val="111111"/>
          <w:sz w:val="28"/>
          <w:sz w:val="28"/>
          <w:szCs w:val="28"/>
          <w:rtl w:val="true"/>
          <w:lang w:bidi="ar-SA"/>
        </w:rPr>
        <w:t>توجد مخطوطة مستقلّة فريدة للزيادة المكمّلة فقط، و تحتفظ بهذه المخطوطة مكتبة آية اللّه السيّد المرعشي النجفي في قمّ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مجموعة رسائل الشريف المرتضى رحمه اللّه، بخطّ محمّد بن إبراهيم بن عيسى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نسخة أُخرى ضميمة إلى النسخة المذكورة الاُولى لكتاب المقنع قُبيل هذا، و هي مخطوطة مكتبة جامعة طهران، برقم </w:t>
      </w:r>
      <w:r>
        <w:rPr>
          <w:rFonts w:eastAsia="Amiri" w:cs="Amiri" w:ascii="Amiri" w:hAnsi="Amiri"/>
          <w:color w:val="111111"/>
          <w:sz w:val="28"/>
          <w:szCs w:val="28"/>
          <w:lang w:bidi="ar-SA"/>
        </w:rPr>
        <w:t>8272</w:t>
      </w:r>
      <w:r>
        <w:rPr>
          <w:rFonts w:ascii="Amiri" w:hAnsi="Amiri" w:eastAsia="Amiri" w:cs="Amiri"/>
          <w:color w:val="111111"/>
          <w:sz w:val="28"/>
          <w:sz w:val="28"/>
          <w:szCs w:val="28"/>
          <w:rtl w:val="true"/>
          <w:lang w:bidi="ar-SA"/>
        </w:rPr>
        <w:t xml:space="preserve">، استنسخها الشيخ إبراهيم بن محمّد الحرّفوشي العاملي رحمه اللّه بخطّ النسخ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فاعتمدنا في تحقيق هذه الزيادة بالنسختين المذكورتين فقط</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225974_1051229030"/>
      <w:bookmarkStart w:id="123" w:name="_Toc47"/>
      <w:bookmarkEnd w:id="122"/>
      <w:r>
        <w:rPr>
          <w:rtl w:val="true"/>
        </w:rPr>
        <w:t>عملنا في التحقيق</w:t>
      </w:r>
      <w:bookmarkEnd w:id="123"/>
    </w:p>
    <w:p>
      <w:pPr>
        <w:pStyle w:val="BookText"/>
        <w:rPr/>
      </w:pPr>
      <w:r>
        <w:rPr>
          <w:rFonts w:ascii="Amiri" w:hAnsi="Amiri" w:eastAsia="Amiri" w:cs="Amiri"/>
          <w:color w:val="111111"/>
          <w:sz w:val="28"/>
          <w:sz w:val="28"/>
          <w:szCs w:val="28"/>
          <w:rtl w:val="true"/>
          <w:lang w:bidi="ar-SA"/>
        </w:rPr>
        <w:t>اتّبعنا في تحقيق الكتاب الخطوات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مقابلة نسخ الكتاب مقابلة دقيقة، و كذلك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السيّد محمّد عليّ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معتمدين أُسلوب التلفيق بين النسخ، و إثبات الأصحّ و الأرجح في المتن، و الإشارة إلى الاختلافات عدا الإملائيّة و رسم الخطّ و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و الأحاديث و الأقوال،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النصّ على أقرب ما أراده المصنّف، و وضع علائم الترقيم لتقويم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تحريك الكلمات تحريكاً نسبيّاً، ممّا يسهّل فهم الكتاب و يصحّ مغالقه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اللغات المشكلة و الألفاظ الغريبة، و ترجمة الأعلام الواردة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العناوين بين معقوفين، للفصل بين مطالب الكتاب</w:t>
      </w:r>
      <w:r>
        <w:rPr>
          <w:rFonts w:eastAsia="Amiri" w:cs="Amiri" w:ascii="Amiri" w:hAnsi="Amiri"/>
          <w:color w:val="111111"/>
          <w:sz w:val="28"/>
          <w:szCs w:val="28"/>
          <w:rtl w:val="true"/>
          <w:lang w:bidi="ar-SA"/>
        </w:rPr>
        <w:t xml:space="preserve">. </w:t>
      </w:r>
      <w:bookmarkStart w:id="124" w:name="pg7486_97145"/>
    </w:p>
    <w:p>
      <w:pPr>
        <w:pStyle w:val="BookText"/>
        <w:rPr/>
      </w:pPr>
      <w:bookmarkEnd w:id="12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ملحقات للكتاب، و هي تشتمل على الأبحاث المهدويّة للشريف المرتضى من سائر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استخراج الفهارس الفنّية للكتاب؛ لغرض تسهيل الوصول إلى مطالبه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225976_1051229030"/>
      <w:bookmarkStart w:id="126" w:name="_Toc48"/>
      <w:bookmarkEnd w:id="125"/>
      <w:r>
        <w:rPr>
          <w:rtl w:val="true"/>
        </w:rPr>
        <w:t>كلمة الشكر</w:t>
      </w:r>
      <w:bookmarkEnd w:id="126"/>
    </w:p>
    <w:p>
      <w:pPr>
        <w:pStyle w:val="BookText"/>
        <w:rPr/>
      </w:pPr>
      <w:r>
        <w:rPr>
          <w:rFonts w:ascii="Amiri" w:hAnsi="Amiri" w:eastAsia="Amiri" w:cs="Amiri"/>
          <w:color w:val="111111"/>
          <w:sz w:val="28"/>
          <w:sz w:val="28"/>
          <w:szCs w:val="28"/>
          <w:rtl w:val="true"/>
          <w:lang w:bidi="ar-SA"/>
        </w:rPr>
        <w:t>و ينبغى في الختام أن نشكر السادة الأعزّاء و الأساتذة الكرام الذين ساعدونا في مراحل التحقيق،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حسين محموديان، لمساعدته في مقابلة المخطوطات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حميد الأحمدي الجلفائي، لمساعدته في تقويم النص و التخريجات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حبّ اللّه النجفي، لوضع الحركات على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مصطفى بارگاهي، لمساعدته في استخراج الملحقات و تنظيمها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حسين الواعظ النجفي، لتبويب المقدّمة و المساهمة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 محمّد كريم الصالحي لنضد الحروف و الإخراج الفنّي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حسين الدرايتي، لإشرافه و متابعته مراحل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المهريزي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7486_97147"/>
      <w:bookmarkStart w:id="128" w:name="pg7486_97147"/>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pg7486_97147"/>
      <w:bookmarkStart w:id="130" w:name="__RefHeading___Toc2225978_1051229030"/>
      <w:bookmarkStart w:id="131" w:name="_Toc49"/>
      <w:bookmarkEnd w:id="129"/>
      <w:bookmarkEnd w:id="130"/>
      <w:r>
        <w:rPr>
          <w:rtl w:val="true"/>
        </w:rPr>
        <w:t>نماذج من تصاوير النسخ</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486_97161"/>
      <w:bookmarkStart w:id="133" w:name="pg7486_97161"/>
      <w:bookmarkEnd w:id="133"/>
    </w:p>
    <w:p>
      <w:pPr>
        <w:pStyle w:val="Heading2"/>
        <w:numPr>
          <w:ilvl w:val="1"/>
          <w:numId w:val="1"/>
        </w:numPr>
        <w:rPr/>
      </w:pPr>
      <w:bookmarkStart w:id="134" w:name="pg7486_97161"/>
      <w:bookmarkStart w:id="135" w:name="__RefHeading___Toc2225980_1051229030"/>
      <w:bookmarkStart w:id="136" w:name="_Toc50"/>
      <w:bookmarkEnd w:id="134"/>
      <w:bookmarkEnd w:id="135"/>
      <w:r>
        <w:rPr>
          <w:rtl w:val="true"/>
        </w:rPr>
        <w:t>الْمُقْنِعُ فِي الغَيْبَةِ‌</w:t>
      </w:r>
      <w:bookmarkEnd w:id="1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225982_1051229030"/>
      <w:bookmarkStart w:id="138" w:name="_Toc51"/>
      <w:bookmarkEnd w:id="137"/>
      <w:r>
        <w:rPr>
          <w:rtl w:val="true"/>
        </w:rPr>
        <w:t>اشارة</w:t>
      </w:r>
      <w:bookmarkEnd w:id="1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الحَمدُ للّهِ، و سَلامٌ على عبادِه الذينَ اصطَفى؛ سيِّدِنا</w:t>
      </w:r>
      <w:r>
        <w:rPr>
          <w:rStyle w:val="FootnoteAnchor"/>
          <w:rtl w:val="true"/>
        </w:rPr>
        <w:footnoteReference w:id="213"/>
      </w:r>
      <w:r>
        <w:rPr>
          <w:rFonts w:ascii="Amiri" w:hAnsi="Amiri" w:eastAsia="Amiri" w:cs="Amiri"/>
          <w:color w:val="111111"/>
          <w:sz w:val="28"/>
          <w:sz w:val="28"/>
          <w:szCs w:val="28"/>
          <w:rtl w:val="true"/>
          <w:lang w:bidi="ar-SA"/>
        </w:rPr>
        <w:t>محمّدٍ و آلِه الطاهرينَ‌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في مَجلسِ الوزيرِ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في العِزِّ الدائمِ بَقاءَه، و كَبَتَ‌</w:t>
      </w:r>
      <w:r>
        <w:rPr>
          <w:rStyle w:val="FootnoteAnchor"/>
          <w:rtl w:val="true"/>
        </w:rPr>
        <w:footnoteReference w:id="215"/>
      </w:r>
      <w:r>
        <w:rPr>
          <w:rFonts w:ascii="Amiri" w:hAnsi="Amiri" w:eastAsia="Amiri" w:cs="Amiri"/>
          <w:color w:val="111111"/>
          <w:sz w:val="28"/>
          <w:sz w:val="28"/>
          <w:szCs w:val="28"/>
          <w:rtl w:val="true"/>
          <w:lang w:bidi="ar-SA"/>
        </w:rPr>
        <w:t xml:space="preserve">حُسّادَه و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غَيبةِ الإمامِ‌</w:t>
      </w:r>
      <w:r>
        <w:rPr>
          <w:rStyle w:val="FootnoteAnchor"/>
          <w:rtl w:val="true"/>
        </w:rPr>
        <w:footnoteReference w:id="216"/>
      </w:r>
      <w:r>
        <w:rPr>
          <w:rFonts w:ascii="Amiri" w:hAnsi="Amiri" w:eastAsia="Amiri" w:cs="Amiri"/>
          <w:color w:val="111111"/>
          <w:sz w:val="28"/>
          <w:sz w:val="28"/>
          <w:szCs w:val="28"/>
          <w:rtl w:val="true"/>
          <w:lang w:bidi="ar-SA"/>
        </w:rPr>
        <w:t>، ألمَمتُ‌</w:t>
      </w:r>
      <w:r>
        <w:rPr>
          <w:rStyle w:val="FootnoteAnchor"/>
          <w:rtl w:val="true"/>
        </w:rPr>
        <w:footnoteReference w:id="217"/>
      </w:r>
      <w:r>
        <w:rPr>
          <w:rFonts w:ascii="Amiri" w:hAnsi="Amiri" w:eastAsia="Amiri" w:cs="Amiri"/>
          <w:color w:val="111111"/>
          <w:sz w:val="28"/>
          <w:sz w:val="28"/>
          <w:szCs w:val="28"/>
          <w:rtl w:val="true"/>
          <w:lang w:bidi="ar-SA"/>
        </w:rPr>
        <w:t>بأطرافِه؛ لأنّ الحالَ لَم تَقتَضِ‌</w:t>
      </w:r>
      <w:r>
        <w:rPr>
          <w:rStyle w:val="FootnoteAnchor"/>
          <w:rtl w:val="true"/>
        </w:rPr>
        <w:footnoteReference w:id="218"/>
      </w:r>
      <w:r>
        <w:rPr>
          <w:rFonts w:ascii="Amiri" w:hAnsi="Amiri" w:eastAsia="Amiri" w:cs="Amiri"/>
          <w:color w:val="111111"/>
          <w:sz w:val="28"/>
          <w:sz w:val="28"/>
          <w:szCs w:val="28"/>
          <w:rtl w:val="true"/>
          <w:lang w:bidi="ar-SA"/>
        </w:rPr>
        <w:t>الاِستقصاءَ و الاستيفاءَ، و دعاني ذلكَ إلى إملاءِ كلامٍ‌</w:t>
      </w:r>
      <w:r>
        <w:rPr>
          <w:rStyle w:val="FootnoteAnchor"/>
          <w:rtl w:val="true"/>
        </w:rPr>
        <w:footnoteReference w:id="219"/>
      </w:r>
      <w:r>
        <w:rPr>
          <w:rFonts w:ascii="Amiri" w:hAnsi="Amiri" w:eastAsia="Amiri" w:cs="Amiri"/>
          <w:color w:val="111111"/>
          <w:sz w:val="28"/>
          <w:sz w:val="28"/>
          <w:szCs w:val="28"/>
          <w:rtl w:val="true"/>
          <w:lang w:bidi="ar-SA"/>
        </w:rPr>
        <w:t>وَجيزٍ فيها يُطَّلَع به على سِرِّ هذه المسألةِ، و يُحسَمُ‌</w:t>
      </w:r>
      <w:r>
        <w:rPr>
          <w:rStyle w:val="FootnoteAnchor"/>
          <w:rtl w:val="true"/>
        </w:rPr>
        <w:footnoteReference w:id="220"/>
      </w:r>
      <w:r>
        <w:rPr>
          <w:rFonts w:ascii="Amiri" w:hAnsi="Amiri" w:eastAsia="Amiri" w:cs="Amiri"/>
          <w:color w:val="111111"/>
          <w:sz w:val="28"/>
          <w:sz w:val="28"/>
          <w:szCs w:val="28"/>
          <w:rtl w:val="true"/>
          <w:lang w:bidi="ar-SA"/>
        </w:rPr>
        <w:t>مادّةُ الشُّبهةِ المُعتَرِضةِ فيها</w:t>
      </w:r>
      <w:r>
        <w:rPr>
          <w:rStyle w:val="FootnoteAnchor"/>
          <w:rtl w:val="true"/>
        </w:rPr>
        <w:footnoteReference w:id="221"/>
      </w:r>
      <w:r>
        <w:rPr>
          <w:rFonts w:ascii="Amiri" w:hAnsi="Amiri" w:eastAsia="Amiri" w:cs="Amiri"/>
          <w:color w:val="111111"/>
          <w:sz w:val="28"/>
          <w:sz w:val="28"/>
          <w:szCs w:val="28"/>
          <w:rtl w:val="true"/>
          <w:lang w:bidi="ar-SA"/>
        </w:rPr>
        <w:t>، و إن كنتُ قد أَودَعتُ الكتابَ الشافيَ في الإمامةِ‌</w:t>
      </w:r>
      <w:r>
        <w:rPr>
          <w:rStyle w:val="FootnoteAnchor"/>
          <w:rtl w:val="true"/>
        </w:rPr>
        <w:footnoteReference w:id="222"/>
      </w:r>
      <w:r>
        <w:rPr>
          <w:rFonts w:ascii="Amiri" w:hAnsi="Amiri" w:eastAsia="Amiri" w:cs="Amiri"/>
          <w:color w:val="111111"/>
          <w:sz w:val="28"/>
          <w:sz w:val="28"/>
          <w:szCs w:val="28"/>
          <w:rtl w:val="true"/>
          <w:lang w:bidi="ar-SA"/>
        </w:rPr>
        <w:t>و كتابي في تنزيهِ الأنبياءِ و الأئمّةِ عليهم السلام</w:t>
      </w:r>
      <w:r>
        <w:rPr>
          <w:rStyle w:val="FootnoteAnchor"/>
          <w:rtl w:val="true"/>
        </w:rPr>
        <w:footnoteReference w:id="223"/>
      </w:r>
      <w:r>
        <w:rPr>
          <w:rFonts w:ascii="Amiri" w:hAnsi="Amiri" w:eastAsia="Amiri" w:cs="Amiri"/>
          <w:color w:val="111111"/>
          <w:sz w:val="28"/>
          <w:sz w:val="28"/>
          <w:szCs w:val="28"/>
          <w:rtl w:val="true"/>
          <w:lang w:bidi="ar-SA"/>
        </w:rPr>
        <w:t>مِن الكلامِ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 ما فيه كفايةٌ و هدايةٌ لِمَن أنصَفَ مِن نفسِه و انقادَ لإلزامِ‌</w:t>
      </w:r>
      <w:r>
        <w:rPr>
          <w:rStyle w:val="FootnoteAnchor"/>
          <w:rtl w:val="true"/>
        </w:rPr>
        <w:footnoteReference w:id="224"/>
      </w:r>
      <w:r>
        <w:rPr>
          <w:rFonts w:ascii="Amiri" w:hAnsi="Amiri" w:eastAsia="Amiri" w:cs="Amiri"/>
          <w:color w:val="111111"/>
          <w:sz w:val="28"/>
          <w:sz w:val="28"/>
          <w:szCs w:val="28"/>
          <w:rtl w:val="true"/>
          <w:lang w:bidi="ar-SA"/>
        </w:rPr>
        <w:t>الحُجّةِ، و لم يُحِرْ</w:t>
      </w:r>
      <w:r>
        <w:rPr>
          <w:rStyle w:val="FootnoteAnchor"/>
          <w:rtl w:val="true"/>
        </w:rPr>
        <w:footnoteReference w:id="225"/>
      </w:r>
      <w:r>
        <w:rPr>
          <w:rFonts w:ascii="Amiri" w:hAnsi="Amiri" w:eastAsia="Amiri" w:cs="Amiri"/>
          <w:color w:val="111111"/>
          <w:sz w:val="28"/>
          <w:sz w:val="28"/>
          <w:szCs w:val="28"/>
          <w:rtl w:val="true"/>
          <w:lang w:bidi="ar-SA"/>
        </w:rPr>
        <w:t>مُحيرٌ</w:t>
      </w:r>
      <w:r>
        <w:rPr>
          <w:rStyle w:val="FootnoteAnchor"/>
          <w:rtl w:val="true"/>
        </w:rPr>
        <w:footnoteReference w:id="226"/>
      </w:r>
      <w:r>
        <w:rPr>
          <w:rFonts w:ascii="Amiri" w:hAnsi="Amiri" w:eastAsia="Amiri" w:cs="Amiri"/>
          <w:color w:val="111111"/>
          <w:sz w:val="28"/>
          <w:sz w:val="28"/>
          <w:szCs w:val="28"/>
          <w:rtl w:val="true"/>
          <w:lang w:bidi="ar-SA"/>
        </w:rPr>
        <w:t>عامدًا</w:t>
      </w:r>
      <w:r>
        <w:rPr>
          <w:rStyle w:val="FootnoteAnchor"/>
          <w:rtl w:val="true"/>
        </w:rPr>
        <w:footnoteReference w:id="227"/>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فأُولَى الأُمورِ و أهمُّها عَرْضُ الجواهرِ على مُنتَقِدِها، و المَعاني علَى السريعِ إلى إدراكِها، الغائصِ بثاقِبِ فِطنتِه إلى أعماقِها؛ فطالَما أَخرَسَ عن عِلمٍ، و أَسكَتَ عن حُجّةٍ، عدمُ مَن يُعرَضُ عليه، و فَقدُ مَن يُهدى‌</w:t>
      </w:r>
      <w:r>
        <w:rPr>
          <w:rStyle w:val="FootnoteAnchor"/>
          <w:rtl w:val="true"/>
        </w:rPr>
        <w:footnoteReference w:id="228"/>
      </w:r>
      <w:r>
        <w:rPr>
          <w:rFonts w:ascii="Amiri" w:hAnsi="Amiri" w:eastAsia="Amiri" w:cs="Amiri"/>
          <w:color w:val="111111"/>
          <w:sz w:val="28"/>
          <w:sz w:val="28"/>
          <w:szCs w:val="28"/>
          <w:rtl w:val="true"/>
          <w:lang w:bidi="ar-SA"/>
        </w:rPr>
        <w:t>إليه، و ما</w:t>
      </w:r>
      <w:r>
        <w:rPr>
          <w:rStyle w:val="FootnoteAnchor"/>
          <w:rtl w:val="true"/>
        </w:rPr>
        <w:footnoteReference w:id="229"/>
      </w:r>
      <w:r>
        <w:rPr>
          <w:rFonts w:ascii="Amiri" w:hAnsi="Amiri" w:eastAsia="Amiri" w:cs="Amiri"/>
          <w:color w:val="111111"/>
          <w:sz w:val="28"/>
          <w:sz w:val="28"/>
          <w:szCs w:val="28"/>
          <w:rtl w:val="true"/>
          <w:lang w:bidi="ar-SA"/>
        </w:rPr>
        <w:t>مُتكلِّفٌ نَظماً أو نَثراً عندَ مَن لا يُميِّزُ بَينَ السابقِ و اللاحقِ و المُجَلّي</w:t>
      </w:r>
      <w:r>
        <w:rPr>
          <w:rStyle w:val="FootnoteAnchor"/>
          <w:rtl w:val="true"/>
        </w:rPr>
        <w:footnoteReference w:id="230"/>
      </w:r>
      <w:r>
        <w:rPr>
          <w:rFonts w:ascii="Amiri" w:hAnsi="Amiri" w:eastAsia="Amiri" w:cs="Amiri"/>
          <w:color w:val="111111"/>
          <w:sz w:val="28"/>
          <w:sz w:val="28"/>
          <w:szCs w:val="28"/>
          <w:rtl w:val="true"/>
          <w:lang w:bidi="ar-SA"/>
        </w:rPr>
        <w:t>و المُصَلّي</w:t>
      </w:r>
      <w:r>
        <w:rPr>
          <w:rStyle w:val="FootnoteAnchor"/>
          <w:rtl w:val="true"/>
        </w:rPr>
        <w:footnoteReference w:id="231"/>
      </w:r>
      <w:r>
        <w:rPr>
          <w:rFonts w:ascii="Amiri" w:hAnsi="Amiri" w:eastAsia="Amiri" w:cs="Amiri"/>
          <w:color w:val="111111"/>
          <w:sz w:val="28"/>
          <w:sz w:val="28"/>
          <w:szCs w:val="28"/>
          <w:rtl w:val="true"/>
          <w:lang w:bidi="ar-SA"/>
        </w:rPr>
        <w:t>إلّاكمَن خاطَبَ جَماداً أو جاوَرَ مَواتاً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أَرى مِن سَبْقِ هذه الحَضرةِ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أيّامَها</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أبكارِ المَعاني، و استخراجِها مِن غَوامِضِها، و تَصفيَتِها مِن شَوائبِها، و ترتيبِها في أماكِنِها، ما يُنتِجُ‌</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الأفكارَ العقيمةَ، و يُزَكّي القلوبَ البَليدةَ، و يُحَلّي العلومَ و الآدابَ في أفواهِ مَن أمَرَّت في لَهَواتِه</w:t>
      </w:r>
      <w:r>
        <w:rPr>
          <w:rStyle w:val="FootnoteAnchor"/>
          <w:rtl w:val="true"/>
        </w:rPr>
        <w:footnoteReference w:id="234"/>
      </w:r>
      <w:r>
        <w:rPr>
          <w:rFonts w:ascii="Amiri" w:hAnsi="Amiri" w:eastAsia="Amiri" w:cs="Amiri"/>
          <w:color w:val="111111"/>
          <w:sz w:val="28"/>
          <w:sz w:val="28"/>
          <w:szCs w:val="28"/>
          <w:rtl w:val="true"/>
          <w:lang w:bidi="ar-SA"/>
        </w:rPr>
        <w:t>، و شَحَطَت</w:t>
      </w:r>
      <w:r>
        <w:rPr>
          <w:rStyle w:val="FootnoteAnchor"/>
          <w:rtl w:val="true"/>
        </w:rPr>
        <w:footnoteReference w:id="235"/>
      </w:r>
      <w:r>
        <w:rPr>
          <w:rFonts w:ascii="Amiri" w:hAnsi="Amiri" w:eastAsia="Amiri" w:cs="Amiri"/>
          <w:color w:val="111111"/>
          <w:sz w:val="28"/>
          <w:sz w:val="28"/>
          <w:szCs w:val="28"/>
          <w:rtl w:val="true"/>
          <w:lang w:bidi="ar-SA"/>
        </w:rPr>
        <w:t>عن خُطُواتِه، و شَقَّ عليه ارتقاؤها و اعتلاؤها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أكبَرُ حَظِّ العالِمِ و الأديبِ وأسعَدُ أحوالِه أن يُرضى‌</w:t>
      </w:r>
      <w:r>
        <w:rPr>
          <w:rStyle w:val="FootnoteAnchor"/>
          <w:rtl w:val="true"/>
        </w:rPr>
        <w:footnoteReference w:id="236"/>
      </w:r>
      <w:r>
        <w:rPr>
          <w:rFonts w:ascii="Amiri" w:hAnsi="Amiri" w:eastAsia="Amiri" w:cs="Amiri"/>
          <w:color w:val="111111"/>
          <w:sz w:val="28"/>
          <w:sz w:val="28"/>
          <w:szCs w:val="28"/>
          <w:rtl w:val="true"/>
          <w:lang w:bidi="ar-SA"/>
        </w:rPr>
        <w:t>منه فضيلةٌ اكتَسَبَها و مَنقَبةٌ دأَبَ لها، و أن يَنتَقِدَها</w:t>
      </w:r>
      <w:r>
        <w:rPr>
          <w:rStyle w:val="FootnoteAnchor"/>
          <w:rtl w:val="true"/>
        </w:rPr>
        <w:footnoteReference w:id="237"/>
      </w:r>
      <w:r>
        <w:rPr>
          <w:rFonts w:ascii="Amiri" w:hAnsi="Amiri" w:eastAsia="Amiri" w:cs="Amiri"/>
          <w:color w:val="111111"/>
          <w:sz w:val="28"/>
          <w:sz w:val="28"/>
          <w:szCs w:val="28"/>
          <w:rtl w:val="true"/>
          <w:lang w:bidi="ar-SA"/>
        </w:rPr>
        <w:t>ناقدُ الفضائلِ، فلا يُبَهرِجَها</w:t>
      </w:r>
      <w:r>
        <w:rPr>
          <w:rStyle w:val="FootnoteAnchor"/>
          <w:rtl w:val="true"/>
        </w:rPr>
        <w:footnoteReference w:id="238"/>
      </w:r>
      <w:r>
        <w:rPr>
          <w:rFonts w:ascii="Amiri" w:hAnsi="Amiri" w:eastAsia="Amiri" w:cs="Amiri"/>
          <w:color w:val="111111"/>
          <w:sz w:val="28"/>
          <w:sz w:val="28"/>
          <w:szCs w:val="28"/>
          <w:rtl w:val="true"/>
          <w:lang w:bidi="ar-SA"/>
        </w:rPr>
        <w:t>و يُزيِّفَها، و أن تَنفُقَ في السوقِ التي لا يَنفُقُ فيها إلّاالثَّمينُ‌</w:t>
      </w:r>
      <w:r>
        <w:rPr>
          <w:rStyle w:val="FootnoteAnchor"/>
          <w:rtl w:val="true"/>
        </w:rPr>
        <w:footnoteReference w:id="239"/>
      </w:r>
      <w:r>
        <w:rPr>
          <w:rFonts w:ascii="Amiri" w:hAnsi="Amiri" w:eastAsia="Amiri" w:cs="Amiri"/>
          <w:color w:val="111111"/>
          <w:sz w:val="28"/>
          <w:sz w:val="28"/>
          <w:szCs w:val="28"/>
          <w:rtl w:val="true"/>
          <w:lang w:bidi="ar-SA"/>
        </w:rPr>
        <w:t>، و لا يَكسُدُ فيها إلّاالمَهينُ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في هذه النعمةِ الدوامَ، فهيَ أكبَرُ و أوفَرُ مِن الاِستضافةِ إليها و الاِستظهارِ بغَيرِها، و هو وليُّ الإجابةِ برحمتِه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لأَرى‌</w:t>
      </w:r>
      <w:r>
        <w:rPr>
          <w:rStyle w:val="FootnoteAnchor"/>
          <w:rtl w:val="true"/>
        </w:rPr>
        <w:footnoteReference w:id="240"/>
      </w:r>
      <w:r>
        <w:rPr>
          <w:rFonts w:ascii="Amiri" w:hAnsi="Amiri" w:eastAsia="Amiri" w:cs="Amiri"/>
          <w:color w:val="111111"/>
          <w:sz w:val="28"/>
          <w:sz w:val="28"/>
          <w:szCs w:val="28"/>
          <w:rtl w:val="true"/>
          <w:lang w:bidi="ar-SA"/>
        </w:rPr>
        <w:t xml:space="preserve">مِن اعتقادِ مُخالِفينا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صُعوبةَ الكلامِ في الغَيبةِ علينا و سُهولَتَه عليهم</w:t>
      </w:r>
      <w:r>
        <w:rPr>
          <w:rStyle w:val="FootnoteAnchor"/>
          <w:rtl w:val="true"/>
        </w:rPr>
        <w:footnoteReference w:id="241"/>
      </w:r>
      <w:r>
        <w:rPr>
          <w:rFonts w:ascii="Amiri" w:hAnsi="Amiri" w:eastAsia="Amiri" w:cs="Amiri"/>
          <w:color w:val="111111"/>
          <w:sz w:val="28"/>
          <w:sz w:val="28"/>
          <w:szCs w:val="28"/>
          <w:rtl w:val="true"/>
          <w:lang w:bidi="ar-SA"/>
        </w:rPr>
        <w:t>، و قُوّتَه</w:t>
      </w:r>
      <w:r>
        <w:rPr>
          <w:rStyle w:val="FootnoteAnchor"/>
          <w:rtl w:val="true"/>
        </w:rPr>
        <w:footnoteReference w:id="242"/>
      </w:r>
      <w:r>
        <w:rPr>
          <w:rFonts w:ascii="Amiri" w:hAnsi="Amiri" w:eastAsia="Amiri" w:cs="Amiri"/>
          <w:color w:val="111111"/>
          <w:sz w:val="28"/>
          <w:sz w:val="28"/>
          <w:szCs w:val="28"/>
          <w:rtl w:val="true"/>
          <w:lang w:bidi="ar-SA"/>
        </w:rPr>
        <w:t>في جهتِهم و ضَعفَه مِن جهتِنا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bookmarkStart w:id="139" w:name="pg7486_97166"/>
    </w:p>
    <w:p>
      <w:pPr>
        <w:pStyle w:val="BookText"/>
        <w:rPr/>
      </w:pPr>
      <w:bookmarkEnd w:id="139"/>
      <w:r>
        <w:rPr>
          <w:rFonts w:ascii="Amiri" w:hAnsi="Amiri" w:eastAsia="Amiri" w:cs="Amiri"/>
          <w:color w:val="111111"/>
          <w:sz w:val="28"/>
          <w:sz w:val="28"/>
          <w:szCs w:val="28"/>
          <w:rtl w:val="true"/>
          <w:lang w:bidi="ar-SA"/>
        </w:rPr>
        <w:t>و الأمرُ بالضدِّ مِن ذلكَ و عَكسِه عند التأمُّلِ الصحيحِ؛ لأنّ الغَيبةَ فَرعٌ لأُصولٍ‌</w:t>
      </w:r>
      <w:r>
        <w:rPr>
          <w:rStyle w:val="FootnoteAnchor"/>
          <w:rtl w:val="true"/>
        </w:rPr>
        <w:footnoteReference w:id="243"/>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تلكَ الأُصولُ بأدلّتِها، و تَقرَّرَت بحُجّتِها، فالكلام في الغَيبةِ أسهَلُ شَيءٍ و أقرَبُه و أوضَحُه؛ لأنّها تَبتَني على تلكَ الأُصولِ و تَترتَّبُ عليها، فيَزولُ‌</w:t>
      </w:r>
      <w:r>
        <w:rPr>
          <w:rStyle w:val="FootnoteAnchor"/>
          <w:rtl w:val="true"/>
        </w:rPr>
        <w:footnoteReference w:id="244"/>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تلكَ الأُصولُ غيرَ صحيحةٍ و لا ثابتةٍ، فلا معنى للكلامِ في الغَيبةِ قَبلَ إحكامِ أُصولِها، فالكلامُ فيها مِن غيرِ تمهيدِ تلكَ الأُصولِ عَبَثٌ و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المُخالِفُ لنا يَستَضعِفُ‌</w:t>
      </w:r>
      <w:r>
        <w:rPr>
          <w:rStyle w:val="FootnoteAnchor"/>
          <w:rtl w:val="true"/>
        </w:rPr>
        <w:footnoteReference w:id="245"/>
      </w:r>
      <w:r>
        <w:rPr>
          <w:rFonts w:ascii="Amiri" w:hAnsi="Amiri" w:eastAsia="Amiri" w:cs="Amiri"/>
          <w:color w:val="111111"/>
          <w:sz w:val="28"/>
          <w:sz w:val="28"/>
          <w:szCs w:val="28"/>
          <w:rtl w:val="true"/>
          <w:lang w:bidi="ar-SA"/>
        </w:rPr>
        <w:t>و يَستَبعِدُ الكلامَ في الغَيبةِ قَبلَ الكلامِ في وجوبِ الإمامةِ في كُلِّ عَصرٍ</w:t>
      </w:r>
      <w:r>
        <w:rPr>
          <w:rStyle w:val="FootnoteAnchor"/>
          <w:rtl w:val="true"/>
        </w:rPr>
        <w:footnoteReference w:id="246"/>
      </w:r>
      <w:r>
        <w:rPr>
          <w:rFonts w:ascii="Amiri" w:hAnsi="Amiri" w:eastAsia="Amiri" w:cs="Amiri"/>
          <w:color w:val="111111"/>
          <w:sz w:val="28"/>
          <w:sz w:val="28"/>
          <w:szCs w:val="28"/>
          <w:rtl w:val="true"/>
          <w:lang w:bidi="ar-SA"/>
        </w:rPr>
        <w:t>و صفاتِ الإمامِ، فلا شَكَّ في أنّه صَعبٌ، بل مُعوِزٌ مُتعذِّرٌ لا يَحصُلُ منه إلّاعلَى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 مُستَصعِباً مع تَمهُّدِ تلكَ الأُصولِ و ثُبوتِها فلا صُعوبةَ و لا شُبهةَ؛ فإنّ الأمرَ يَنساقُ سَوقاً إلَى الغَيبةِ ضَرورةً إذا تَقرَّرَت أُصولُ الإمامةِ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225984_1051229030"/>
      <w:bookmarkStart w:id="141" w:name="_Toc52"/>
      <w:bookmarkEnd w:id="140"/>
      <w:r>
        <w:rPr>
          <w:rtl w:val="true"/>
        </w:rPr>
        <w:t>دَلالةُ العقلِ على وجودِ الإمامِ و اتّصافِه بالعِصمةِ‌</w:t>
      </w:r>
      <w:bookmarkEnd w:id="14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قد دَلَّ على وجوبِ الإمامةِ، و أنّ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فيه المُكلَّفونَ الذين يَجوزُ منهم القَبيحُ‌</w:t>
      </w:r>
      <w:r>
        <w:rPr>
          <w:rStyle w:val="FootnoteAnchor"/>
          <w:rtl w:val="true"/>
        </w:rPr>
        <w:footnoteReference w:id="247"/>
      </w:r>
      <w:r>
        <w:rPr>
          <w:rFonts w:ascii="Amiri" w:hAnsi="Amiri" w:eastAsia="Amiri" w:cs="Amiri"/>
          <w:color w:val="111111"/>
          <w:sz w:val="28"/>
          <w:sz w:val="28"/>
          <w:szCs w:val="28"/>
          <w:rtl w:val="true"/>
          <w:lang w:bidi="ar-SA"/>
        </w:rPr>
        <w:t xml:space="preserve">و الحَسَن، و الطاعةُ 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إمامٍ، و أنّ خُلوَّه مِن إمامٍ‌</w:t>
      </w:r>
      <w:r>
        <w:rPr>
          <w:rStyle w:val="FootnoteAnchor"/>
          <w:rtl w:val="true"/>
        </w:rPr>
        <w:footnoteReference w:id="248"/>
      </w:r>
      <w:r>
        <w:rPr>
          <w:rFonts w:ascii="Amiri" w:hAnsi="Amiri" w:eastAsia="Amiri" w:cs="Amiri"/>
          <w:color w:val="111111"/>
          <w:sz w:val="28"/>
          <w:sz w:val="28"/>
          <w:szCs w:val="28"/>
          <w:rtl w:val="true"/>
          <w:lang w:bidi="ar-SA"/>
        </w:rPr>
        <w:t>إخلالٌ بتمكينِهم، و قادحٌ في حُسنِ تكليفِهم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دَلَّ العقلُ على أنّ ذلكَ الإمامَ لا بُدَّ مِن</w:t>
      </w:r>
      <w:r>
        <w:rPr>
          <w:rStyle w:val="FootnoteAnchor"/>
          <w:rtl w:val="true"/>
        </w:rPr>
        <w:footnoteReference w:id="249"/>
      </w:r>
      <w:r>
        <w:rPr>
          <w:rFonts w:ascii="Amiri" w:hAnsi="Amiri" w:eastAsia="Amiri" w:cs="Amiri"/>
          <w:color w:val="111111"/>
          <w:sz w:val="28"/>
          <w:sz w:val="28"/>
          <w:szCs w:val="28"/>
          <w:rtl w:val="true"/>
          <w:lang w:bidi="ar-SA"/>
        </w:rPr>
        <w:t>كَونِه معصوماً مِن الخطإ و الزللِ، مأموناً منه فِعلُ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بَعدَ ثُبوتِ هذَينِ الأصلَينِ إلّاإمامةُ مَن تُشيرُ</w:t>
      </w:r>
      <w:r>
        <w:rPr>
          <w:rStyle w:val="FootnoteAnchor"/>
          <w:rtl w:val="true"/>
        </w:rPr>
        <w:footnoteReference w:id="250"/>
      </w:r>
      <w:r>
        <w:rPr>
          <w:rFonts w:ascii="Amiri" w:hAnsi="Amiri" w:eastAsia="Amiri" w:cs="Amiri"/>
          <w:color w:val="111111"/>
          <w:sz w:val="28"/>
          <w:sz w:val="28"/>
          <w:szCs w:val="28"/>
          <w:rtl w:val="true"/>
          <w:lang w:bidi="ar-SA"/>
        </w:rPr>
        <w:t>الإماميّةُ إلى إمامتِه؛ فإنّ الصفةَ التي دَلَّ العقلُ على وجوبِها لا توجَدُ إلّافيه، و يَتعرّى منها كُلُّ مَن تُدَّعى‌</w:t>
      </w:r>
      <w:r>
        <w:rPr>
          <w:rStyle w:val="FootnoteAnchor"/>
          <w:rtl w:val="true"/>
        </w:rPr>
        <w:footnoteReference w:id="251"/>
      </w:r>
      <w:r>
        <w:rPr>
          <w:rFonts w:ascii="Amiri" w:hAnsi="Amiri" w:eastAsia="Amiri" w:cs="Amiri"/>
          <w:color w:val="111111"/>
          <w:sz w:val="28"/>
          <w:sz w:val="28"/>
          <w:szCs w:val="28"/>
          <w:rtl w:val="true"/>
          <w:lang w:bidi="ar-SA"/>
        </w:rPr>
        <w:t>له الإمامةُ سِواه</w:t>
      </w:r>
      <w:r>
        <w:rPr>
          <w:rStyle w:val="FootnoteAnchor"/>
          <w:rtl w:val="true"/>
        </w:rPr>
        <w:footnoteReference w:id="252"/>
      </w:r>
      <w:r>
        <w:rPr>
          <w:rFonts w:ascii="Amiri" w:hAnsi="Amiri" w:eastAsia="Amiri" w:cs="Amiri"/>
          <w:color w:val="111111"/>
          <w:sz w:val="28"/>
          <w:sz w:val="28"/>
          <w:szCs w:val="28"/>
          <w:rtl w:val="true"/>
          <w:lang w:bidi="ar-SA"/>
        </w:rPr>
        <w:t>، و تَنساقُ الغَيبةُ بهذا سَوقاً حتّى لا تَبقى</w:t>
      </w:r>
      <w:r>
        <w:rPr>
          <w:rStyle w:val="FootnoteAnchor"/>
          <w:rtl w:val="true"/>
        </w:rPr>
        <w:footnoteReference w:id="253"/>
      </w:r>
      <w:r>
        <w:rPr>
          <w:rFonts w:ascii="Amiri" w:hAnsi="Amiri" w:eastAsia="Amiri" w:cs="Amiri"/>
          <w:color w:val="111111"/>
          <w:sz w:val="28"/>
          <w:sz w:val="28"/>
          <w:szCs w:val="28"/>
          <w:rtl w:val="true"/>
          <w:lang w:bidi="ar-SA"/>
        </w:rPr>
        <w:t>شُبهةٌ فيها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الطريقةُ أوضَحُ ما اعتُمِدَ</w:t>
      </w:r>
      <w:r>
        <w:rPr>
          <w:rStyle w:val="FootnoteAnchor"/>
          <w:rtl w:val="true"/>
        </w:rPr>
        <w:footnoteReference w:id="255"/>
      </w:r>
      <w:r>
        <w:rPr>
          <w:rFonts w:ascii="Amiri" w:hAnsi="Amiri" w:eastAsia="Amiri" w:cs="Amiri"/>
          <w:color w:val="111111"/>
          <w:sz w:val="28"/>
          <w:sz w:val="28"/>
          <w:szCs w:val="28"/>
          <w:rtl w:val="true"/>
          <w:lang w:bidi="ar-SA"/>
        </w:rPr>
        <w:t>عليه في ثُبوتِ إمامةِ صاحبِ الزمانِ، و أبعَدُ مِن الشُّبهةِ؛ فإنّ النقلَ بذلكَ‌</w:t>
      </w:r>
      <w:r>
        <w:rPr>
          <w:rStyle w:val="FootnoteAnchor"/>
          <w:rtl w:val="true"/>
        </w:rPr>
        <w:footnoteReference w:id="256"/>
      </w:r>
      <w:r>
        <w:rPr>
          <w:rFonts w:ascii="Amiri" w:hAnsi="Amiri" w:eastAsia="Amiri" w:cs="Amiri"/>
          <w:color w:val="111111"/>
          <w:sz w:val="28"/>
          <w:sz w:val="28"/>
          <w:szCs w:val="28"/>
          <w:rtl w:val="true"/>
          <w:lang w:bidi="ar-SA"/>
        </w:rPr>
        <w:t>و إن كانَ في الشيعةِ فاشياً، و التواترُ به</w:t>
      </w:r>
      <w:r>
        <w:rPr>
          <w:rStyle w:val="FootnoteAnchor"/>
          <w:rtl w:val="true"/>
        </w:rPr>
        <w:footnoteReference w:id="257"/>
      </w:r>
      <w:r>
        <w:rPr>
          <w:rFonts w:ascii="Amiri" w:hAnsi="Amiri" w:eastAsia="Amiri" w:cs="Amiri"/>
          <w:color w:val="111111"/>
          <w:sz w:val="28"/>
          <w:sz w:val="28"/>
          <w:szCs w:val="28"/>
          <w:rtl w:val="true"/>
          <w:lang w:bidi="ar-SA"/>
        </w:rPr>
        <w:t>ظاهراً، و مَجيئُه مِن كُلِّ طريقٍ معلوماً، فكُلُّ ذلكَ يُمكِنُ دَفعُه و إدخالُ الشُّبهةِ فيه، التي يُحتاجُ في حَلِّها إلى ضُروبٍ مِن التكلُّفِ‌</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الطريقةُ التي أَوضَحناها</w:t>
      </w:r>
      <w:r>
        <w:rPr>
          <w:rStyle w:val="FootnoteAnchor"/>
          <w:rtl w:val="true"/>
        </w:rPr>
        <w:footnoteReference w:id="259"/>
      </w:r>
      <w:r>
        <w:rPr>
          <w:rFonts w:ascii="Amiri" w:hAnsi="Amiri" w:eastAsia="Amiri" w:cs="Amiri"/>
          <w:color w:val="111111"/>
          <w:sz w:val="28"/>
          <w:sz w:val="28"/>
          <w:szCs w:val="28"/>
          <w:rtl w:val="true"/>
          <w:lang w:bidi="ar-SA"/>
        </w:rPr>
        <w:t>بَعيدةٌ مِن الشُّبَهاتِ، قريبةٌ مِن الأفهامِ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أن نَدُلَّ‌</w:t>
      </w:r>
      <w:r>
        <w:rPr>
          <w:rStyle w:val="FootnoteAnchor"/>
          <w:rtl w:val="true"/>
        </w:rPr>
        <w:footnoteReference w:id="260"/>
      </w:r>
      <w:r>
        <w:rPr>
          <w:rFonts w:ascii="Amiri" w:hAnsi="Amiri" w:eastAsia="Amiri" w:cs="Amiri"/>
          <w:color w:val="111111"/>
          <w:sz w:val="28"/>
          <w:sz w:val="28"/>
          <w:szCs w:val="28"/>
          <w:rtl w:val="true"/>
          <w:lang w:bidi="ar-SA"/>
        </w:rPr>
        <w:t>على صحّةِ الأصلَينِ اللذَينِ ذَكرناهما</w:t>
      </w:r>
      <w:r>
        <w:rPr>
          <w:rFonts w:eastAsia="Amiri" w:cs="Amiri" w:ascii="Amiri" w:hAnsi="Amiri"/>
          <w:color w:val="111111"/>
          <w:sz w:val="28"/>
          <w:szCs w:val="28"/>
          <w:rtl w:val="true"/>
          <w:lang w:bidi="ar-SA"/>
        </w:rPr>
        <w:t xml:space="preserve">.». </w:t>
      </w:r>
      <w:bookmarkStart w:id="142" w:name="pg7486_97168"/>
    </w:p>
    <w:p>
      <w:pPr>
        <w:pStyle w:val="Heading3"/>
        <w:numPr>
          <w:ilvl w:val="2"/>
          <w:numId w:val="1"/>
        </w:numPr>
        <w:rPr/>
      </w:pPr>
      <w:bookmarkStart w:id="143" w:name="__RefHeading___Toc2225986_1051229030"/>
      <w:bookmarkStart w:id="144" w:name="_Toc53"/>
      <w:bookmarkEnd w:id="142"/>
      <w:bookmarkEnd w:id="143"/>
      <w:r>
        <w:rPr>
          <w:rtl w:val="true"/>
        </w:rPr>
        <w:t>تفصيلُ دَلالةِ العقلِ على وجوبِ الإمامةِ‌</w:t>
      </w:r>
      <w:bookmarkEnd w:id="144"/>
    </w:p>
    <w:p>
      <w:pPr>
        <w:pStyle w:val="BookText"/>
        <w:rPr/>
      </w:pPr>
      <w:r>
        <w:rPr>
          <w:rFonts w:ascii="Amiri" w:hAnsi="Amiri" w:eastAsia="Amiri" w:cs="Amiri"/>
          <w:color w:val="111111"/>
          <w:sz w:val="28"/>
          <w:sz w:val="28"/>
          <w:szCs w:val="28"/>
          <w:rtl w:val="true"/>
          <w:lang w:bidi="ar-SA"/>
        </w:rPr>
        <w:t xml:space="preserve">أمّا الذي يَدُلُّ على وجوبِ الإمامةِ في كُلِّ زمانٍ، فهو مَبنيٌّ علَى الضرورةِ، ومركوزٌ في العقولِ الصحيحةِ؛ فإنّا نَعلَمُ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للشكِّ عليه و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الرئيسِ المُطاعِ المَهيبِ مُدبِّراً و مُتصرِّفاً</w:t>
      </w:r>
      <w:r>
        <w:rPr>
          <w:rStyle w:val="FootnoteAnchor"/>
          <w:rtl w:val="true"/>
        </w:rPr>
        <w:footnoteReference w:id="261"/>
      </w:r>
      <w:r>
        <w:rPr>
          <w:rFonts w:ascii="Amiri" w:hAnsi="Amiri" w:eastAsia="Amiri" w:cs="Amiri"/>
          <w:color w:val="111111"/>
          <w:sz w:val="28"/>
          <w:sz w:val="28"/>
          <w:szCs w:val="28"/>
          <w:rtl w:val="true"/>
          <w:lang w:bidi="ar-SA"/>
        </w:rPr>
        <w:t>أردَعُ‌</w:t>
      </w:r>
      <w:r>
        <w:rPr>
          <w:rStyle w:val="FootnoteAnchor"/>
          <w:rtl w:val="true"/>
        </w:rPr>
        <w:footnoteReference w:id="262"/>
      </w:r>
      <w:r>
        <w:rPr>
          <w:rFonts w:ascii="Amiri" w:hAnsi="Amiri" w:eastAsia="Amiri" w:cs="Amiri"/>
          <w:color w:val="111111"/>
          <w:sz w:val="28"/>
          <w:sz w:val="28"/>
          <w:szCs w:val="28"/>
          <w:rtl w:val="true"/>
          <w:lang w:bidi="ar-SA"/>
        </w:rPr>
        <w:t>عن القَبيحِ و أدعى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التَّهارُجَ بَينَ الناسِ و التَّباغيَ إمّا أن يَرتَفِعَ عندَ وجودِ مَن هذه صفتُه مِن الرؤساءِ، أو يَقِلَّ و يَنزُرَ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 عندَ الإهمالِ وفَقدِ الرؤساءِ و عدمِ الكُبَراءِ يَتَتابَعونَ في القَبيحِ، و تَفسُدُ</w:t>
      </w:r>
      <w:r>
        <w:rPr>
          <w:rStyle w:val="FootnoteAnchor"/>
          <w:rtl w:val="true"/>
        </w:rPr>
        <w:footnoteReference w:id="263"/>
      </w:r>
      <w:r>
        <w:rPr>
          <w:rFonts w:ascii="Amiri" w:hAnsi="Amiri" w:eastAsia="Amiri" w:cs="Amiri"/>
          <w:color w:val="111111"/>
          <w:sz w:val="28"/>
          <w:sz w:val="28"/>
          <w:szCs w:val="28"/>
          <w:rtl w:val="true"/>
          <w:lang w:bidi="ar-SA"/>
        </w:rPr>
        <w:t>أحوالُهم، و يَختَلُّ‌</w:t>
      </w:r>
      <w:r>
        <w:rPr>
          <w:rStyle w:val="FootnoteAnchor"/>
          <w:rtl w:val="true"/>
        </w:rPr>
        <w:footnoteReference w:id="264"/>
      </w:r>
      <w:r>
        <w:rPr>
          <w:rFonts w:ascii="Amiri" w:hAnsi="Amiri" w:eastAsia="Amiri" w:cs="Amiri"/>
          <w:color w:val="111111"/>
          <w:sz w:val="28"/>
          <w:sz w:val="28"/>
          <w:szCs w:val="28"/>
          <w:rtl w:val="true"/>
          <w:lang w:bidi="ar-SA"/>
        </w:rPr>
        <w:t>نِظامُهم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أظهَرُ و أشهَرُ مِن أن يُدَلَّ عليه، و الإشارةُ فيه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يُسألُ عن هذا الدليلِ مِن الأسئلةِ قد استَقصَيناه و أحكَمناه في الكتابِ‌</w:t>
      </w:r>
      <w:r>
        <w:rPr>
          <w:rStyle w:val="FootnoteAnchor"/>
          <w:rtl w:val="true"/>
        </w:rPr>
        <w:footnoteReference w:id="265"/>
      </w:r>
      <w:r>
        <w:rPr>
          <w:rFonts w:ascii="Amiri" w:hAnsi="Amiri" w:eastAsia="Amiri" w:cs="Amiri"/>
          <w:color w:val="111111"/>
          <w:sz w:val="28"/>
          <w:sz w:val="28"/>
          <w:szCs w:val="28"/>
          <w:rtl w:val="true"/>
          <w:lang w:bidi="ar-SA"/>
        </w:rPr>
        <w:t>الشافي</w:t>
      </w:r>
      <w:r>
        <w:rPr>
          <w:rStyle w:val="FootnoteAnchor"/>
          <w:rtl w:val="true"/>
        </w:rPr>
        <w:footnoteReference w:id="266"/>
      </w:r>
      <w:r>
        <w:rPr>
          <w:rFonts w:ascii="Amiri" w:hAnsi="Amiri" w:eastAsia="Amiri" w:cs="Amiri"/>
          <w:color w:val="111111"/>
          <w:sz w:val="28"/>
          <w:sz w:val="28"/>
          <w:szCs w:val="28"/>
          <w:rtl w:val="true"/>
          <w:lang w:bidi="ar-SA"/>
        </w:rPr>
        <w:t>، فليُرجَعْ فيه إليه عندَ الحاجةِ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225988_1051229030"/>
      <w:bookmarkStart w:id="146" w:name="_Toc54"/>
      <w:bookmarkEnd w:id="145"/>
      <w:r>
        <w:rPr>
          <w:rtl w:val="true"/>
        </w:rPr>
        <w:t>دَلالةُ العقلِ على وجوب عِصمةِ الإمامِ‌</w:t>
      </w:r>
      <w:bookmarkEnd w:id="1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يَدُلُّ على وجوبِ عصمةِ الإمام</w:t>
      </w:r>
      <w:r>
        <w:rPr>
          <w:rStyle w:val="FootnoteAnchor"/>
          <w:rtl w:val="true"/>
        </w:rPr>
        <w:footnoteReference w:id="267"/>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الحاجةِ إلَى الإمامِ هي أن يَكونَ‌</w:t>
      </w:r>
      <w:r>
        <w:rPr>
          <w:rStyle w:val="FootnoteAnchor"/>
          <w:rtl w:val="true"/>
        </w:rPr>
        <w:footnoteReference w:id="268"/>
      </w:r>
      <w:r>
        <w:rPr>
          <w:rFonts w:ascii="Amiri" w:hAnsi="Amiri" w:eastAsia="Amiri" w:cs="Amiri"/>
          <w:color w:val="111111"/>
          <w:sz w:val="28"/>
          <w:sz w:val="28"/>
          <w:szCs w:val="28"/>
          <w:rtl w:val="true"/>
          <w:lang w:bidi="ar-SA"/>
        </w:rPr>
        <w:t>لُطفاً للرعيّةِ في الاِمتناعِ مِن القَبيحِ و فِعلِ الواجبِ، على ما اعتَمَدناه</w:t>
      </w:r>
      <w:r>
        <w:rPr>
          <w:rStyle w:val="FootnoteAnchor"/>
          <w:rtl w:val="true"/>
        </w:rPr>
        <w:footnoteReference w:id="269"/>
      </w:r>
      <w:bookmarkStart w:id="147" w:name="pg7486_97169"/>
    </w:p>
    <w:p>
      <w:pPr>
        <w:pStyle w:val="BookText"/>
        <w:rPr/>
      </w:pPr>
      <w:bookmarkEnd w:id="147"/>
      <w:r>
        <w:rPr>
          <w:rFonts w:ascii="Amiri" w:hAnsi="Amiri" w:eastAsia="Amiri" w:cs="Amiri"/>
          <w:color w:val="111111"/>
          <w:sz w:val="28"/>
          <w:sz w:val="28"/>
          <w:szCs w:val="28"/>
          <w:rtl w:val="true"/>
          <w:lang w:bidi="ar-SA"/>
        </w:rPr>
        <w:t>و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الحاجةِ إليه ثابتةً فيه، أو تَكونَ مُرتَفِعةً‌</w:t>
      </w:r>
      <w:r>
        <w:rPr>
          <w:rStyle w:val="FootnoteAnchor"/>
          <w:rtl w:val="true"/>
        </w:rPr>
        <w:footnoteReference w:id="27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موجودةً فيه فيَجِبُ أن يَحتاجَ إلى إمامٍ كما احتيجَ إليه؛ لأن عِلّةَ الحاجةِ لا يَجوزُ أن تَقتَضيَها في مَوضِعٍ دونَ آخَرَ، لأنّ ذلكَ يَنقُضُ كَونَها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 إمامتِه كالقولِ فيه في القِسمةِ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إمّا الوقوفَ على إمامٍ تَرتَفِعُ‌</w:t>
      </w:r>
      <w:r>
        <w:rPr>
          <w:rStyle w:val="FootnoteAnchor"/>
          <w:rtl w:val="true"/>
        </w:rPr>
        <w:footnoteReference w:id="271"/>
      </w:r>
      <w:r>
        <w:rPr>
          <w:rFonts w:ascii="Amiri" w:hAnsi="Amiri" w:eastAsia="Amiri" w:cs="Amiri"/>
          <w:color w:val="111111"/>
          <w:sz w:val="28"/>
          <w:sz w:val="28"/>
          <w:szCs w:val="28"/>
          <w:rtl w:val="true"/>
          <w:lang w:bidi="ar-SA"/>
        </w:rPr>
        <w:t>عنه عِلّةُ الحاجةِ، أو وجودَ أئمّةٍ لا نِهايةَ لهم،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بَعدَ هذا إلّاأنّ عِلّةَ الحاجةِ إليه</w:t>
      </w:r>
      <w:r>
        <w:rPr>
          <w:rStyle w:val="FootnoteAnchor"/>
          <w:rtl w:val="true"/>
        </w:rPr>
        <w:footnoteReference w:id="272"/>
      </w:r>
      <w:r>
        <w:rPr>
          <w:rFonts w:ascii="Amiri" w:hAnsi="Amiri" w:eastAsia="Amiri" w:cs="Amiri"/>
          <w:color w:val="111111"/>
          <w:sz w:val="28"/>
          <w:sz w:val="28"/>
          <w:szCs w:val="28"/>
          <w:rtl w:val="true"/>
          <w:lang w:bidi="ar-SA"/>
        </w:rPr>
        <w:t>مفقودةٌ فيه، و لَن يَكونَ ذلكَ إلّاو هو معصومٌ، و لا يَجوزُ عليه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الدليلِ مُستَقصىً جوابُها بحَيثُ تَقدَّمَت الإشارةُ إليه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225990_1051229030"/>
      <w:bookmarkStart w:id="149" w:name="_Toc55"/>
      <w:bookmarkEnd w:id="148"/>
      <w:r>
        <w:rPr>
          <w:rtl w:val="true"/>
        </w:rPr>
        <w:t>طريقُ تمييز الإمامِ الغائبِ عن غيرِه ممّن يَدَّعي الإمامةَ‌</w:t>
      </w:r>
      <w:bookmarkEnd w:id="149"/>
    </w:p>
    <w:p>
      <w:pPr>
        <w:pStyle w:val="BookText"/>
        <w:rPr/>
      </w:pPr>
      <w:r>
        <w:rPr>
          <w:rFonts w:ascii="Amiri" w:hAnsi="Amiri" w:eastAsia="Amiri" w:cs="Amiri"/>
          <w:color w:val="111111"/>
          <w:sz w:val="28"/>
          <w:sz w:val="28"/>
          <w:szCs w:val="28"/>
          <w:rtl w:val="true"/>
          <w:lang w:bidi="ar-SA"/>
        </w:rPr>
        <w:t xml:space="preserve">وإذا ثَبَتَ هذانِ الأصلانِ، فلا بُدَّ مِن إمامةِ صاحبِ الزمانِ بعَينِه، ثُمَّ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Style w:val="FootnoteAnchor"/>
          <w:rtl w:val="true"/>
        </w:rPr>
        <w:footnoteReference w:id="273"/>
      </w:r>
      <w:r>
        <w:rPr>
          <w:rFonts w:ascii="Amiri" w:hAnsi="Amiri" w:eastAsia="Amiri" w:cs="Amiri"/>
          <w:color w:val="111111"/>
          <w:sz w:val="28"/>
          <w:sz w:val="28"/>
          <w:szCs w:val="28"/>
          <w:rtl w:val="true"/>
          <w:lang w:bidi="ar-SA"/>
        </w:rPr>
        <w:t xml:space="preserve">فَقدِ تَصرُّفِه و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بغَيبَته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تَدَّعونَ أنّ ثُبوتَ الأصلَينِ اللذَينِ ذَكرتموهما يُثبِتُ إمامةَ صاحبِكم بعَينِه، و يَجِبُ القولُ بغَيبتِه، و في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إمامةَ مَن له الصفتانِ اللتانِ ذَكرتموهما و إن خالَفَكم في إمامةِ صاحبِكم؛ كالكَيسانيّةِ القائلينَ بإمامةِ محمّدِ بنِ الحَنَفيّةِ، و أنّه صاحبُ الزمانِ، و إنّما</w:t>
      </w:r>
      <w:r>
        <w:rPr>
          <w:rStyle w:val="FootnoteAnchor"/>
          <w:rtl w:val="true"/>
        </w:rPr>
        <w:footnoteReference w:id="275"/>
      </w:r>
      <w:r>
        <w:rPr>
          <w:rFonts w:ascii="Amiri" w:hAnsi="Amiri" w:eastAsia="Amiri" w:cs="Amiri"/>
          <w:color w:val="111111"/>
          <w:sz w:val="28"/>
          <w:sz w:val="28"/>
          <w:szCs w:val="28"/>
          <w:rtl w:val="true"/>
          <w:lang w:bidi="ar-SA"/>
        </w:rPr>
        <w:t xml:space="preserve">، غابَ </w:t>
      </w:r>
    </w:p>
    <w:p>
      <w:pPr>
        <w:pStyle w:val="BookText"/>
        <w:rPr/>
      </w:pPr>
      <w:r>
        <w:rPr>
          <w:rFonts w:ascii="Amiri" w:hAnsi="Amiri" w:eastAsia="Amiri" w:cs="Amiri"/>
          <w:color w:val="111111"/>
          <w:sz w:val="28"/>
          <w:sz w:val="28"/>
          <w:szCs w:val="28"/>
          <w:rtl w:val="true"/>
          <w:lang w:bidi="ar-SA"/>
        </w:rPr>
        <w:t>في جَبَلِ‌</w:t>
      </w:r>
      <w:r>
        <w:rPr>
          <w:rStyle w:val="FootnoteAnchor"/>
          <w:rtl w:val="true"/>
        </w:rPr>
        <w:footnoteReference w:id="276"/>
      </w:r>
      <w:r>
        <w:rPr>
          <w:rFonts w:ascii="Amiri" w:hAnsi="Amiri" w:eastAsia="Amiri" w:cs="Amiri"/>
          <w:color w:val="111111"/>
          <w:sz w:val="28"/>
          <w:sz w:val="28"/>
          <w:szCs w:val="28"/>
          <w:rtl w:val="true"/>
          <w:lang w:bidi="ar-SA"/>
        </w:rPr>
        <w:t>رَضوى‌</w:t>
      </w:r>
      <w:r>
        <w:rPr>
          <w:rStyle w:val="FootnoteAnchor"/>
          <w:rtl w:val="true"/>
        </w:rPr>
        <w:footnoteReference w:id="277"/>
      </w:r>
      <w:r>
        <w:rPr>
          <w:rFonts w:ascii="Amiri" w:hAnsi="Amiri" w:eastAsia="Amiri" w:cs="Amiri"/>
          <w:color w:val="111111"/>
          <w:sz w:val="28"/>
          <w:sz w:val="28"/>
          <w:szCs w:val="28"/>
          <w:rtl w:val="true"/>
          <w:lang w:bidi="ar-SA"/>
        </w:rPr>
        <w:t>انتظاراً للفُرصةِ و إمكانِها، كما تَقولونَ في قائمِكم</w:t>
      </w:r>
      <w:r>
        <w:rPr>
          <w:rStyle w:val="FootnoteAnchor"/>
          <w:rtl w:val="true"/>
        </w:rPr>
        <w:footnoteReference w:id="278"/>
      </w:r>
      <w:r>
        <w:rPr>
          <w:rFonts w:ascii="Amiri" w:hAnsi="Amiri" w:eastAsia="Amiri" w:cs="Amiri"/>
          <w:color w:val="111111"/>
          <w:sz w:val="28"/>
          <w:sz w:val="28"/>
          <w:szCs w:val="28"/>
          <w:rtl w:val="true"/>
          <w:lang w:bidi="ar-SA"/>
        </w:rPr>
        <w:t>و كالناووسيّةِ القائلينَ بأنّ المَهديَّ المُنتَظَرَ أبو عَبدِ اللّهِ جعفرُ بنُ محمّدٍ عليهما السلام</w:t>
      </w:r>
      <w:r>
        <w:rPr>
          <w:rStyle w:val="FootnoteAnchor"/>
          <w:rtl w:val="true"/>
        </w:rPr>
        <w:footnoteReference w:id="279"/>
      </w:r>
      <w:r>
        <w:rPr>
          <w:rFonts w:ascii="Amiri" w:hAnsi="Amiri" w:eastAsia="Amiri" w:cs="Amiri"/>
          <w:color w:val="111111"/>
          <w:sz w:val="28"/>
          <w:sz w:val="28"/>
          <w:szCs w:val="28"/>
          <w:rtl w:val="true"/>
          <w:lang w:bidi="ar-SA"/>
        </w:rPr>
        <w:t>ثُمَّ الواقفةِ القائلينَ بأنّ المَهديَّ المُنتَظَرَ</w:t>
      </w:r>
      <w:r>
        <w:rPr>
          <w:rStyle w:val="FootnoteAnchor"/>
          <w:rtl w:val="true"/>
        </w:rPr>
        <w:footnoteReference w:id="280"/>
      </w:r>
      <w:r>
        <w:rPr>
          <w:rFonts w:ascii="Amiri" w:hAnsi="Amiri" w:eastAsia="Amiri" w:cs="Amiri"/>
          <w:color w:val="111111"/>
          <w:sz w:val="28"/>
          <w:sz w:val="28"/>
          <w:szCs w:val="28"/>
          <w:rtl w:val="true"/>
          <w:lang w:bidi="ar-SA"/>
        </w:rPr>
        <w:t>موسَى بنُ جعفرٍ عليهما السلام</w:t>
      </w:r>
      <w:r>
        <w:rPr>
          <w:rStyle w:val="FootnoteAnchor"/>
          <w:rtl w:val="true"/>
        </w:rPr>
        <w:footnoteReference w:id="2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ذَكرتَ لا يُلتَفَتُ إلى قولِه، و لا يُعبأُ بخِلافِه؛ لأنّه دَفَعَ ضرورةً، و كابَرَ مُشاهدةً؛ لأنّ العِلمَ بمَوتِ ابنِ الحَنَفيّةِ كالعِلمِ بمَوتِ أبيه 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العِلمُ بوَفاةِ‌</w:t>
      </w:r>
      <w:r>
        <w:rPr>
          <w:rStyle w:val="FootnoteAnchor"/>
          <w:rtl w:val="true"/>
        </w:rPr>
        <w:footnoteReference w:id="282"/>
      </w:r>
      <w:r>
        <w:rPr>
          <w:rFonts w:ascii="Amiri" w:hAnsi="Amiri" w:eastAsia="Amiri" w:cs="Amiri"/>
          <w:color w:val="111111"/>
          <w:sz w:val="28"/>
          <w:sz w:val="28"/>
          <w:szCs w:val="28"/>
          <w:rtl w:val="true"/>
          <w:lang w:bidi="ar-SA"/>
        </w:rPr>
        <w:t>الصادقِ عليه السلام كالعِلمِ بوَفاةِ‌</w:t>
      </w:r>
      <w:r>
        <w:rPr>
          <w:rStyle w:val="FootnoteAnchor"/>
          <w:rtl w:val="true"/>
        </w:rPr>
        <w:footnoteReference w:id="283"/>
      </w:r>
      <w:r>
        <w:rPr>
          <w:rFonts w:ascii="Amiri" w:hAnsi="Amiri" w:eastAsia="Amiri" w:cs="Amiri"/>
          <w:color w:val="111111"/>
          <w:sz w:val="28"/>
          <w:sz w:val="28"/>
          <w:szCs w:val="28"/>
          <w:rtl w:val="true"/>
          <w:lang w:bidi="ar-SA"/>
        </w:rPr>
        <w:t>أبيه محمّدٍ عليه السلام، و العِلمُ بوَفاةِ‌</w:t>
      </w:r>
      <w:r>
        <w:rPr>
          <w:rStyle w:val="FootnoteAnchor"/>
          <w:rtl w:val="true"/>
        </w:rPr>
        <w:footnoteReference w:id="284"/>
      </w:r>
      <w:r>
        <w:rPr>
          <w:rFonts w:ascii="Amiri" w:hAnsi="Amiri" w:eastAsia="Amiri" w:cs="Amiri"/>
          <w:color w:val="111111"/>
          <w:sz w:val="28"/>
          <w:sz w:val="28"/>
          <w:szCs w:val="28"/>
          <w:rtl w:val="true"/>
          <w:lang w:bidi="ar-SA"/>
        </w:rPr>
        <w:t>موسى عليه السلام كالعِلمِ بوَفاةِ كُلِّ مُتَوَفًّى</w:t>
      </w:r>
      <w:r>
        <w:rPr>
          <w:rStyle w:val="FootnoteAnchor"/>
          <w:rtl w:val="true"/>
        </w:rPr>
        <w:footnoteReference w:id="285"/>
      </w:r>
      <w:r>
        <w:rPr>
          <w:rFonts w:ascii="Amiri" w:hAnsi="Amiri" w:eastAsia="Amiri" w:cs="Amiri"/>
          <w:color w:val="111111"/>
          <w:sz w:val="28"/>
          <w:sz w:val="28"/>
          <w:szCs w:val="28"/>
          <w:rtl w:val="true"/>
          <w:lang w:bidi="ar-SA"/>
        </w:rPr>
        <w:t>مِن آبائه و أجدادِه و أبنائه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مُوافَقتُهم في صفاتِ الإمامِ غيرَ نافعةٍ مع دَفعِهم الضرورةَ و جَحدِهم العِيانَ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الإماميّةَ القائلينَ بإمامةِ ابنِ الحَسَنِ عليهما السلام قد 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في ادّعائهم وِلادةَ مَن عُلِمَ فَقدُه و أنّه لَم يولَدْ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في نفيِ ولادةِ صاحبِنا عليه السلام، و لا عِلمَ؛ بَل و لا ظَنَّ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ولادةِ الأولادِ مِن البابِ الذي لا يَصِحُّ أن يُعلَمَ ضَرورةً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أحَداً أن يَدَّعيَ فيمَن لَم يَظهَرْ له وَلَدٌ أنّه يَعلَمُ ضَرورةً أنّه لا وَلَدَ له</w:t>
      </w:r>
      <w:r>
        <w:rPr>
          <w:rStyle w:val="FootnoteAnchor"/>
          <w:rtl w:val="true"/>
        </w:rPr>
        <w:footnoteReference w:id="286"/>
      </w:r>
      <w:r>
        <w:rPr>
          <w:rFonts w:ascii="Amiri" w:hAnsi="Amiri" w:eastAsia="Amiri" w:cs="Amiri"/>
          <w:color w:val="111111"/>
          <w:sz w:val="28"/>
          <w:sz w:val="28"/>
          <w:szCs w:val="28"/>
          <w:rtl w:val="true"/>
          <w:lang w:bidi="ar-SA"/>
        </w:rPr>
        <w:t>، و إنّما يَرجِعُ ذلكَ إلَى الظنِّ و الأمارةِ، و أنّه لَو كانَ له ولدٌ لَظَهَرَ أمرُه و عُرِفَ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و فاةُ المَوتى؛ فإنّه مِن البابِ الذي يَصِحُّ أن يُعلَمَ ضَرورةً حتّى يَزولَ الرَّيبُ فيه؛ 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شاهَدناه حَيّاً مُتَصرِّفاً، ثُمَّ رأيناه بَعدَ ذلكَ صَريعاً</w:t>
      </w:r>
      <w:r>
        <w:rPr>
          <w:rStyle w:val="FootnoteAnchor"/>
          <w:rtl w:val="true"/>
        </w:rPr>
        <w:footnoteReference w:id="287"/>
      </w:r>
      <w:r>
        <w:rPr>
          <w:rFonts w:ascii="Amiri" w:hAnsi="Amiri" w:eastAsia="Amiri" w:cs="Amiri"/>
          <w:color w:val="111111"/>
          <w:sz w:val="28"/>
          <w:sz w:val="28"/>
          <w:szCs w:val="28"/>
          <w:rtl w:val="true"/>
          <w:lang w:bidi="ar-SA"/>
        </w:rPr>
        <w:t>طَريحاً، و قَد</w:t>
      </w:r>
      <w:r>
        <w:rPr>
          <w:rStyle w:val="FootnoteAnchor"/>
          <w:rtl w:val="true"/>
        </w:rPr>
        <w:footnoteReference w:id="288"/>
      </w:r>
      <w:r>
        <w:rPr>
          <w:rFonts w:ascii="Amiri" w:hAnsi="Amiri" w:eastAsia="Amiri" w:cs="Amiri"/>
          <w:color w:val="111111"/>
          <w:sz w:val="28"/>
          <w:sz w:val="28"/>
          <w:szCs w:val="28"/>
          <w:rtl w:val="true"/>
          <w:lang w:bidi="ar-SA"/>
        </w:rPr>
        <w:t>فُقِدَت حَرَكاتُ عُروقِه، و ظَهَرَت دلائلُ تَغيُّرِه و انتفاخِه، نَعلَمُ‌</w:t>
      </w:r>
      <w:r>
        <w:rPr>
          <w:rStyle w:val="FootnoteAnchor"/>
          <w:rtl w:val="true"/>
        </w:rPr>
        <w:footnoteReference w:id="289"/>
      </w:r>
      <w:r>
        <w:rPr>
          <w:rFonts w:ascii="Amiri" w:hAnsi="Amiri" w:eastAsia="Amiri" w:cs="Amiri"/>
          <w:color w:val="111111"/>
          <w:sz w:val="28"/>
          <w:sz w:val="28"/>
          <w:szCs w:val="28"/>
          <w:rtl w:val="true"/>
          <w:lang w:bidi="ar-SA"/>
        </w:rPr>
        <w:t>يَقيناً أنّه مَيِّتٌ؟ و نفيُ وجودِ الأولادِ بخِلاف هذا البابِ‌</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أنّا لَو تَجاوَزنا في الفَصلِ بَينَنا و بَينَ مَن ذُكِرَ في السؤال عن دَفعِ المعلومِ لَكانَ كلامُنا واضحاً؛ لأنّ جميعَ ما</w:t>
      </w:r>
      <w:r>
        <w:rPr>
          <w:rStyle w:val="FootnoteAnchor"/>
          <w:rtl w:val="true"/>
        </w:rPr>
        <w:footnoteReference w:id="291"/>
      </w:r>
      <w:r>
        <w:rPr>
          <w:rFonts w:ascii="Amiri" w:hAnsi="Amiri" w:eastAsia="Amiri" w:cs="Amiri"/>
          <w:color w:val="111111"/>
          <w:sz w:val="28"/>
          <w:sz w:val="28"/>
          <w:szCs w:val="28"/>
          <w:rtl w:val="true"/>
          <w:lang w:bidi="ar-SA"/>
        </w:rPr>
        <w:t>ذُكِرَ مِن الفِرَقِ قد سَقَطَ خِلافُه بعدمِ عَينِه و خُلوِّ الزمانِ مِن قائلٍ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الكَيسانيّةُ، فما رَأَينا قَطُّ منهم أحَداً، و لا عَينَ لهذا القولِ،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الناووسيّةُ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الواقِفةُ‌</w:t>
      </w:r>
      <w:r>
        <w:rPr>
          <w:rStyle w:val="FootnoteAnchor"/>
          <w:rtl w:val="true"/>
        </w:rPr>
        <w:footnoteReference w:id="292"/>
      </w:r>
      <w:r>
        <w:rPr>
          <w:rFonts w:ascii="Amiri" w:hAnsi="Amiri" w:eastAsia="Amiri" w:cs="Amiri"/>
          <w:color w:val="111111"/>
          <w:sz w:val="28"/>
          <w:sz w:val="28"/>
          <w:szCs w:val="28"/>
          <w:rtl w:val="true"/>
          <w:lang w:bidi="ar-SA"/>
        </w:rPr>
        <w:t>، فقَد رَأَينا منهم نَفَراً شُذّاذاً جُهّالاً، لا يُعَدُّ مِثلُهم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w:t>
      </w:r>
      <w:r>
        <w:rPr>
          <w:rFonts w:eastAsia="Amiri" w:cs="Amiri" w:ascii="Amiri" w:hAnsi="Amiri"/>
          <w:color w:val="111111"/>
          <w:sz w:val="28"/>
          <w:szCs w:val="28"/>
          <w:rtl w:val="true"/>
          <w:lang w:bidi="ar-SA"/>
        </w:rPr>
        <w:t xml:space="preserve">». </w:t>
      </w:r>
      <w:bookmarkStart w:id="150" w:name="pg7486_97172"/>
    </w:p>
    <w:p>
      <w:pPr>
        <w:pStyle w:val="BookText"/>
        <w:rPr/>
      </w:pPr>
      <w:bookmarkEnd w:id="150"/>
      <w:r>
        <w:rPr>
          <w:rFonts w:ascii="Amiri" w:hAnsi="Amiri" w:eastAsia="Amiri" w:cs="Amiri"/>
          <w:color w:val="111111"/>
          <w:sz w:val="28"/>
          <w:sz w:val="28"/>
          <w:szCs w:val="28"/>
          <w:rtl w:val="true"/>
          <w:lang w:bidi="ar-SA"/>
        </w:rPr>
        <w:t xml:space="preserve">الأمرُ في زمانِنا هذا و ما يَليهِ إلَى الفَقدِ الكُلّيِّ، حتّى لا يوجَدُ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اثنَينِ أو ثَلاثةٍ على صفةٍ مِن قِلّةِ الفِطنةِ و الغَباوةِ يُقطَعُ بها علَى</w:t>
      </w:r>
      <w:r>
        <w:rPr>
          <w:rStyle w:val="FootnoteAnchor"/>
          <w:rtl w:val="true"/>
        </w:rPr>
        <w:footnoteReference w:id="293"/>
      </w:r>
      <w:r>
        <w:rPr>
          <w:rFonts w:ascii="Amiri" w:hAnsi="Amiri" w:eastAsia="Amiri" w:cs="Amiri"/>
          <w:color w:val="111111"/>
          <w:sz w:val="28"/>
          <w:sz w:val="28"/>
          <w:szCs w:val="28"/>
          <w:rtl w:val="true"/>
          <w:lang w:bidi="ar-SA"/>
        </w:rPr>
        <w:t>الخروجِ مِن التكليفِ، فَضلاً أن</w:t>
      </w:r>
      <w:r>
        <w:rPr>
          <w:rStyle w:val="FootnoteAnchor"/>
          <w:rtl w:val="true"/>
        </w:rPr>
        <w:footnoteReference w:id="294"/>
      </w:r>
      <w:r>
        <w:rPr>
          <w:rFonts w:ascii="Amiri" w:hAnsi="Amiri" w:eastAsia="Amiri" w:cs="Amiri"/>
          <w:color w:val="111111"/>
          <w:sz w:val="28"/>
          <w:sz w:val="28"/>
          <w:szCs w:val="28"/>
          <w:rtl w:val="true"/>
          <w:lang w:bidi="ar-SA"/>
        </w:rPr>
        <w:t>يُجعَلَ قولُهم خِلافاً يُعارَضُ به الإماميّةُ الذينَ طَبَّقوا البَرَّ والبَحرَ و السَّهلَ و الجَبَلَ في أقطارِ الأرضِ و أكنافِها، و يوجَدُ فيهم مِن العُلَماءِ و المُصنِّفينَ الأُلوفُ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بَينَنا و بَينَ مُخالِفينا في أنّ الإجماعَ إنّما يُعتَبَرُ فيه الزمانُ الحاضرُ دونَ الماضي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بَطَلَت إمامةُ مَن أُثبِتَت له الإمامةُ بِالاختيارِ و الدعوةِ‌</w:t>
      </w:r>
      <w:r>
        <w:rPr>
          <w:rStyle w:val="FootnoteAnchor"/>
          <w:rtl w:val="true"/>
        </w:rPr>
        <w:footnoteReference w:id="295"/>
      </w:r>
      <w:r>
        <w:rPr>
          <w:rFonts w:ascii="Amiri" w:hAnsi="Amiri" w:eastAsia="Amiri" w:cs="Amiri"/>
          <w:color w:val="111111"/>
          <w:sz w:val="28"/>
          <w:sz w:val="28"/>
          <w:szCs w:val="28"/>
          <w:rtl w:val="true"/>
          <w:lang w:bidi="ar-SA"/>
        </w:rPr>
        <w:t>في هذا الوقتِ؛ لأجلِ فَقدِ الصفةِ التي دَلَّ العقلُ عليها، و بَطَلَ قولُ مَن راعى هذه الصفةَ في غيرِ صاحِبنا؛ لشُذوذِه</w:t>
      </w:r>
      <w:r>
        <w:rPr>
          <w:rStyle w:val="FootnoteAnchor"/>
          <w:rtl w:val="true"/>
        </w:rPr>
        <w:footnoteReference w:id="296"/>
      </w:r>
      <w:r>
        <w:rPr>
          <w:rFonts w:ascii="Amiri" w:hAnsi="Amiri" w:eastAsia="Amiri" w:cs="Amiri"/>
          <w:color w:val="111111"/>
          <w:sz w:val="28"/>
          <w:sz w:val="28"/>
          <w:szCs w:val="28"/>
          <w:rtl w:val="true"/>
          <w:lang w:bidi="ar-SA"/>
        </w:rPr>
        <w:t>و انقراضِه، فلا مَندوحةَ عن مَذهَبِنا، و لا بُدَّ مِن صحّتِه، و إلّاخَرَجَ الحقُّ عن جميعِ‌</w:t>
      </w:r>
      <w:r>
        <w:rPr>
          <w:rStyle w:val="FootnoteAnchor"/>
          <w:rtl w:val="true"/>
        </w:rPr>
        <w:footnoteReference w:id="297"/>
      </w:r>
      <w:r>
        <w:rPr>
          <w:rFonts w:ascii="Amiri" w:hAnsi="Amiri" w:eastAsia="Amiri" w:cs="Amiri"/>
          <w:color w:val="111111"/>
          <w:sz w:val="28"/>
          <w:sz w:val="28"/>
          <w:szCs w:val="28"/>
          <w:rtl w:val="true"/>
          <w:lang w:bidi="ar-SA"/>
        </w:rPr>
        <w:t>أقوالِ الأُمّةِ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225992_1051229030"/>
      <w:bookmarkStart w:id="152" w:name="_Toc56"/>
      <w:bookmarkEnd w:id="151"/>
      <w:r>
        <w:rPr>
          <w:rtl w:val="true"/>
        </w:rPr>
        <w:t>عِلّةُ غَيبةِ الإمامِ و الوجهُ الذي يُحسِّنُها</w:t>
      </w:r>
      <w:bookmarkEnd w:id="1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98"/>
      </w:r>
      <w:r>
        <w:rPr>
          <w:rFonts w:ascii="Amiri" w:hAnsi="Amiri" w:eastAsia="Amiri" w:cs="Amiri"/>
          <w:color w:val="111111"/>
          <w:sz w:val="28"/>
          <w:sz w:val="28"/>
          <w:szCs w:val="28"/>
          <w:rtl w:val="true"/>
          <w:lang w:bidi="ar-SA"/>
        </w:rPr>
        <w:t>الكلامُ في عِلّةِ الغَيبةِ و سَببِها و الوجهِ الذي يُحسِّنُها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بَعدَ تَقرُّرِ ما تَقدَّمَ مِن الأُصولِ؛ لأنّا إذا عَلِمنا بالسياقةِ التي ساقَ إليها الأصلانِ المُتَقرِّرانِ في العقلِ أنّ الإمامَ ابنُ الحَسَنِ عليهما السلام دونَ غيرِه، و رأيناه غائباً عن الأبصارِ، </w:t>
      </w:r>
    </w:p>
    <w:p>
      <w:pPr>
        <w:pStyle w:val="BookText"/>
        <w:rPr/>
      </w:pPr>
      <w:r>
        <w:rPr>
          <w:rFonts w:ascii="Amiri" w:hAnsi="Amiri" w:eastAsia="Amiri" w:cs="Amiri"/>
          <w:color w:val="111111"/>
          <w:sz w:val="28"/>
          <w:sz w:val="28"/>
          <w:szCs w:val="28"/>
          <w:rtl w:val="true"/>
          <w:lang w:bidi="ar-SA"/>
        </w:rPr>
        <w:t xml:space="preserve">عَلِمنا أنّه لَم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عِصمتِه و تَعيُّنِ فرضِ الإمامةِ فيه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إلّالِسببٍ اقتَضى ذلكَ، و مَصلحةٍ استَدعَته، و ضرورةٍ قادَت إليه، و إن لَم يُعلَمِ الوجهُ علَى التفصيلِ و التعيينِ؛ لأنّ ذلكَ ممّا لا يَلزَمُ عِلمُه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جَرَى الكلامُ في الغَيبةِ و وجهِها و سببِها على التفصيلِ مَجرَى العِلمِ بمُرادِ اللّهِ تَعالى مِن الآياتِ المُتَشابِهةِ في القُرآنِ، التي ظاهرُها بخِلافِ ما دَلَّت عليه العقولُ؛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أو تشبيهٍ،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w:t>
      </w:r>
      <w:r>
        <w:rPr>
          <w:rStyle w:val="FootnoteAnchor"/>
          <w:rtl w:val="true"/>
        </w:rPr>
        <w:footnoteReference w:id="299"/>
      </w:r>
      <w:r>
        <w:rPr>
          <w:rFonts w:ascii="Amiri" w:hAnsi="Amiri" w:eastAsia="Amiri" w:cs="Amiri"/>
          <w:color w:val="111111"/>
          <w:sz w:val="28"/>
          <w:sz w:val="28"/>
          <w:szCs w:val="28"/>
          <w:rtl w:val="true"/>
          <w:lang w:bidi="ar-SA"/>
        </w:rPr>
        <w:t>أنّا و مُخالِفينا لا نوجِبُ العِلمَ المُفصَّلَ بوجوهِ هذه الآياتِ و تأويلِها، بَل نَقولُ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Style w:val="FootnoteAnchor"/>
          <w:rtl w:val="true"/>
        </w:rPr>
        <w:footnoteReference w:id="300"/>
      </w:r>
      <w:r>
        <w:rPr>
          <w:rFonts w:ascii="Amiri" w:hAnsi="Amiri" w:eastAsia="Amiri" w:cs="Amiri"/>
          <w:color w:val="111111"/>
          <w:sz w:val="28"/>
          <w:sz w:val="28"/>
          <w:szCs w:val="28"/>
          <w:rtl w:val="true"/>
          <w:lang w:bidi="ar-SA"/>
        </w:rPr>
        <w:t xml:space="preserve">إذا عَلِمنا حِكمةَ اللّهِ تَعالى، و أنّه لا يَجوزُ أن يُخبِرَ بخِلافِ ما هو عليه مِن الصفاتِ،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لهذه الآياتِ وجوهًا صحيحةً‌</w:t>
      </w:r>
      <w:r>
        <w:rPr>
          <w:rStyle w:val="FootnoteAnchor"/>
          <w:rtl w:val="true"/>
        </w:rPr>
        <w:footnoteReference w:id="301"/>
      </w:r>
      <w:r>
        <w:rPr>
          <w:rFonts w:ascii="Amiri" w:hAnsi="Amiri" w:eastAsia="Amiri" w:cs="Amiri"/>
          <w:color w:val="111111"/>
          <w:sz w:val="28"/>
          <w:sz w:val="28"/>
          <w:szCs w:val="28"/>
          <w:rtl w:val="true"/>
          <w:lang w:bidi="ar-SA"/>
        </w:rPr>
        <w:t>بخِلافِ ظاهرِها تُطابِقُ‌</w:t>
      </w:r>
      <w:r>
        <w:rPr>
          <w:rStyle w:val="FootnoteAnchor"/>
          <w:rtl w:val="true"/>
        </w:rPr>
        <w:footnoteReference w:id="302"/>
      </w:r>
      <w:r>
        <w:rPr>
          <w:rFonts w:ascii="Amiri" w:hAnsi="Amiri" w:eastAsia="Amiri" w:cs="Amiri"/>
          <w:color w:val="111111"/>
          <w:sz w:val="28"/>
          <w:sz w:val="28"/>
          <w:szCs w:val="28"/>
          <w:rtl w:val="true"/>
          <w:lang w:bidi="ar-SA"/>
        </w:rPr>
        <w:t>مدلولَ أدلّةِ العقلِ، و إن غابَ عنّا العِلمُ بذلكَ مُفَصَّلاً؛ فإنّه لا حاجةَ بنا</w:t>
      </w:r>
      <w:r>
        <w:rPr>
          <w:rStyle w:val="FootnoteAnchor"/>
          <w:rtl w:val="true"/>
        </w:rPr>
        <w:footnoteReference w:id="303"/>
      </w:r>
      <w:r>
        <w:rPr>
          <w:rFonts w:ascii="Amiri" w:hAnsi="Amiri" w:eastAsia="Amiri" w:cs="Amiri"/>
          <w:color w:val="111111"/>
          <w:sz w:val="28"/>
          <w:sz w:val="28"/>
          <w:szCs w:val="28"/>
          <w:rtl w:val="true"/>
          <w:lang w:bidi="ar-SA"/>
        </w:rPr>
        <w:t>إليه، و يَكفينا العِلمُ على سَبيلِ الجُملةِ بأنّ المُرادَ بها خِلافُ الظاهرِ، و أنّه مُطابِقُ العقلِ‌</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يَلزَمُنا و لا يَتعيَّنُ علينا العِلمُ بسببِ الغَيبةِ، و الوجهِ في فَقدِ ظُهورِ الإمامِ علَى التفصيلِ و التعيينِ، و يَكفينا في ذلكَ عِلمُ الجُملةِ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تَكلَّفنا و تَبرَّعنا بذِكرِه فهو فَضلٌ مِنّا، كما أنّهُ‌</w:t>
      </w:r>
      <w:r>
        <w:rPr>
          <w:rStyle w:val="FootnoteAnchor"/>
          <w:rtl w:val="true"/>
        </w:rPr>
        <w:footnoteReference w:id="305"/>
      </w:r>
      <w:r>
        <w:rPr>
          <w:rFonts w:ascii="Amiri" w:hAnsi="Amiri" w:eastAsia="Amiri" w:cs="Amiri"/>
          <w:color w:val="111111"/>
          <w:sz w:val="28"/>
          <w:sz w:val="28"/>
          <w:szCs w:val="28"/>
          <w:rtl w:val="true"/>
          <w:lang w:bidi="ar-SA"/>
        </w:rPr>
        <w:t>مِن جماعتِنا فَضلٌ و تَبرُّعٌ إذا تَكلَّفنا ذِكرَ وجوهِ المُتَشابِهِ و الأغراضِ فيه علَى التعيينِ</w:t>
      </w:r>
      <w:r>
        <w:rPr>
          <w:rFonts w:eastAsia="Amiri" w:cs="Amiri" w:ascii="Amiri" w:hAnsi="Amiri"/>
          <w:color w:val="111111"/>
          <w:sz w:val="28"/>
          <w:szCs w:val="28"/>
          <w:rtl w:val="true"/>
          <w:lang w:bidi="ar-SA"/>
        </w:rPr>
        <w:t xml:space="preserve">.». </w:t>
      </w:r>
      <w:bookmarkStart w:id="153" w:name="pg7486_97174"/>
    </w:p>
    <w:p>
      <w:pPr>
        <w:pStyle w:val="Heading3"/>
        <w:numPr>
          <w:ilvl w:val="2"/>
          <w:numId w:val="1"/>
        </w:numPr>
        <w:rPr/>
      </w:pPr>
      <w:bookmarkStart w:id="154" w:name="__RefHeading___Toc2225994_1051229030"/>
      <w:bookmarkStart w:id="155" w:name="_Toc57"/>
      <w:bookmarkEnd w:id="153"/>
      <w:bookmarkEnd w:id="154"/>
      <w:r>
        <w:rPr>
          <w:rtl w:val="true"/>
        </w:rPr>
        <w:t>الجَهلُ بحِكمةِ الغَيبةِ لا يُنافي صِحَّتَها</w:t>
      </w:r>
      <w:bookmarkEnd w:id="155"/>
    </w:p>
    <w:p>
      <w:pPr>
        <w:pStyle w:val="BookText"/>
        <w:rPr/>
      </w:pPr>
      <w:r>
        <w:rPr>
          <w:rFonts w:ascii="Amiri" w:hAnsi="Amiri" w:eastAsia="Amiri" w:cs="Amiri"/>
          <w:color w:val="111111"/>
          <w:sz w:val="28"/>
          <w:sz w:val="28"/>
          <w:szCs w:val="28"/>
          <w:rtl w:val="true"/>
          <w:lang w:bidi="ar-SA"/>
        </w:rPr>
        <w:t>ثُمَّ يُقالُ للمُخالِفِ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w:t>
      </w:r>
      <w:r>
        <w:rPr>
          <w:rStyle w:val="FootnoteAnchor"/>
          <w:rtl w:val="true"/>
        </w:rPr>
        <w:footnoteReference w:id="306"/>
      </w:r>
      <w:r>
        <w:rPr>
          <w:rFonts w:ascii="Amiri" w:hAnsi="Amiri" w:eastAsia="Amiri" w:cs="Amiri"/>
          <w:color w:val="111111"/>
          <w:sz w:val="28"/>
          <w:sz w:val="28"/>
          <w:szCs w:val="28"/>
          <w:rtl w:val="true"/>
          <w:lang w:bidi="ar-SA"/>
        </w:rPr>
        <w:t>أن يَكونَ للغَيبةِ‌</w:t>
      </w:r>
      <w:r>
        <w:rPr>
          <w:rStyle w:val="FootnoteAnchor"/>
          <w:rtl w:val="true"/>
        </w:rPr>
        <w:footnoteReference w:id="307"/>
      </w:r>
      <w:r>
        <w:rPr>
          <w:rFonts w:ascii="Amiri" w:hAnsi="Amiri" w:eastAsia="Amiri" w:cs="Amiri"/>
          <w:color w:val="111111"/>
          <w:sz w:val="28"/>
          <w:sz w:val="28"/>
          <w:szCs w:val="28"/>
          <w:rtl w:val="true"/>
          <w:lang w:bidi="ar-SA"/>
        </w:rPr>
        <w:t>وجهٌ صحيحٌ اقتَضاها، و وجهٌ مِن الحِكمةِ استَدعاها، أم لا تُجوِّزُ</w:t>
      </w:r>
      <w:r>
        <w:rPr>
          <w:rStyle w:val="FootnoteAnchor"/>
          <w:rtl w:val="true"/>
        </w:rPr>
        <w:footnoteReference w:id="308"/>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لذلكَ مُجوِّزٌ</w:t>
      </w:r>
      <w:r>
        <w:rPr>
          <w:rStyle w:val="FootnoteAnchor"/>
          <w:rtl w:val="true"/>
        </w:rPr>
        <w:footnoteReference w:id="309"/>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له مُجوِّزاً، فكَيفَ جَعَلتَ وجودَ الغَيبةِ دليلاً على أنّه لا إمامَ في الزمانِ، مع تجويزِكَ‌</w:t>
      </w:r>
      <w:r>
        <w:rPr>
          <w:rStyle w:val="FootnoteAnchor"/>
          <w:rtl w:val="true"/>
        </w:rPr>
        <w:footnoteReference w:id="310"/>
      </w:r>
      <w:r>
        <w:rPr>
          <w:rFonts w:ascii="Amiri" w:hAnsi="Amiri" w:eastAsia="Amiri" w:cs="Amiri"/>
          <w:color w:val="111111"/>
          <w:sz w:val="28"/>
          <w:sz w:val="28"/>
          <w:szCs w:val="28"/>
          <w:rtl w:val="true"/>
          <w:lang w:bidi="ar-SA"/>
        </w:rPr>
        <w:t>أن يَكونَ للغَيبةِ سببٌ‌</w:t>
      </w:r>
      <w:r>
        <w:rPr>
          <w:rStyle w:val="FootnoteAnchor"/>
          <w:rtl w:val="true"/>
        </w:rPr>
        <w:footnoteReference w:id="311"/>
      </w:r>
      <w:r>
        <w:rPr>
          <w:rFonts w:ascii="Amiri" w:hAnsi="Amiri" w:eastAsia="Amiri" w:cs="Amiri"/>
          <w:color w:val="111111"/>
          <w:sz w:val="28"/>
          <w:sz w:val="28"/>
          <w:szCs w:val="28"/>
          <w:rtl w:val="true"/>
          <w:lang w:bidi="ar-SA"/>
        </w:rPr>
        <w:t>لا يُنافي وجودَ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w:t>
      </w:r>
      <w:r>
        <w:rPr>
          <w:rStyle w:val="FootnoteAnchor"/>
          <w:rtl w:val="true"/>
        </w:rPr>
        <w:footnoteReference w:id="312"/>
      </w:r>
      <w:r>
        <w:rPr>
          <w:rFonts w:ascii="Amiri" w:hAnsi="Amiri" w:eastAsia="Amiri" w:cs="Amiri"/>
          <w:color w:val="111111"/>
          <w:sz w:val="28"/>
          <w:sz w:val="28"/>
          <w:szCs w:val="28"/>
          <w:rtl w:val="true"/>
          <w:lang w:bidi="ar-SA"/>
        </w:rPr>
        <w:t>تَجري</w:t>
      </w:r>
      <w:r>
        <w:rPr>
          <w:rStyle w:val="FootnoteAnchor"/>
          <w:rtl w:val="true"/>
        </w:rPr>
        <w:footnoteReference w:id="313"/>
      </w:r>
      <w:r>
        <w:rPr>
          <w:rFonts w:ascii="Amiri" w:hAnsi="Amiri" w:eastAsia="Amiri" w:cs="Amiri"/>
          <w:color w:val="111111"/>
          <w:sz w:val="28"/>
          <w:sz w:val="28"/>
          <w:szCs w:val="28"/>
          <w:rtl w:val="true"/>
          <w:lang w:bidi="ar-SA"/>
        </w:rPr>
        <w:t>في ذلكَ إلّامَجرى مَن تَوصَّلَ بإيلامِ الأطفالِ إلى نفيِ حِكمةِ الصانعِ تَعالى، و هو مُعتَرِفٌ بأنّه يَجوزُ أن يَكونَ في إيلامِهم وجهٌ صحيحٌ لا يُنافي الحِكمةَ؛ أو مَجرى مَن تَوصَّلَ بظَواهرِ الآياتِ المُتَشابِهاتِ إلى أنّه تَعالى مُشبِهٌ‌</w:t>
      </w:r>
      <w:r>
        <w:rPr>
          <w:rStyle w:val="FootnoteAnchor"/>
          <w:rtl w:val="true"/>
        </w:rPr>
        <w:footnoteReference w:id="314"/>
      </w:r>
      <w:r>
        <w:rPr>
          <w:rFonts w:ascii="Amiri" w:hAnsi="Amiri" w:eastAsia="Amiri" w:cs="Amiri"/>
          <w:color w:val="111111"/>
          <w:sz w:val="28"/>
          <w:sz w:val="28"/>
          <w:szCs w:val="28"/>
          <w:rtl w:val="true"/>
          <w:lang w:bidi="ar-SA"/>
        </w:rPr>
        <w:t>للأجسامِ، و خالقٌ لأفعالِ العبادِ، مع تجويزِه أن يَكونَ لهذه الآياتِ وجوهٌ صحيحةٌ لا تُنافي</w:t>
      </w:r>
      <w:r>
        <w:rPr>
          <w:rStyle w:val="FootnoteAnchor"/>
          <w:rtl w:val="true"/>
        </w:rPr>
        <w:footnoteReference w:id="315"/>
      </w:r>
      <w:r>
        <w:rPr>
          <w:rFonts w:ascii="Amiri" w:hAnsi="Amiri" w:eastAsia="Amiri" w:cs="Amiri"/>
          <w:color w:val="111111"/>
          <w:sz w:val="28"/>
          <w:sz w:val="28"/>
          <w:szCs w:val="28"/>
          <w:rtl w:val="true"/>
          <w:lang w:bidi="ar-SA"/>
        </w:rPr>
        <w:t>العَدلَ و التوحيدَ و نفيَ التشبيهِ؟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أُجوِّزُ أن يَكونَ للغَيبةِ سببٌ صحيحُ مُوافِقٌ للحِكمةِ، و كَيفَ أُجوِّزُ ذلكَ و أنا أجعَلُ الغَيبةَ دليلاً على نفيِ الإمامِ الذي تَدَّعونَ غَيبتَه؟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تَحجُّرٌ مِنكَ شَديدٌ فيما لا يُحاطُ بعِلمِه و لا يُقطَعُ على مِثلِه؛</w:t>
      </w:r>
    </w:p>
    <w:p>
      <w:pPr>
        <w:pStyle w:val="BookText"/>
        <w:rPr/>
      </w:pP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يَكونَ للغَيبةِ سببٌ صحيحٌ يَقتَضيها؟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الذي يُحيطُ عِلماً بجميعِ الأسبابِ و الأغراضِ، حتّى يَقطَعَ علَى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الفَرقُ بَينَكَ و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للآياتِ المُتَشابِهاتِ وجوهٌ صحيحةٌ تُطابِقُ أدِلّةَ العقلِ، و لا بُدَّ مِن أن تَكونَ‌</w:t>
      </w:r>
      <w:r>
        <w:rPr>
          <w:rStyle w:val="FootnoteAnchor"/>
          <w:rtl w:val="true"/>
        </w:rPr>
        <w:footnoteReference w:id="316"/>
      </w:r>
      <w:r>
        <w:rPr>
          <w:rFonts w:ascii="Amiri" w:hAnsi="Amiri" w:eastAsia="Amiri" w:cs="Amiri"/>
          <w:color w:val="111111"/>
          <w:sz w:val="28"/>
          <w:sz w:val="28"/>
          <w:szCs w:val="28"/>
          <w:rtl w:val="true"/>
          <w:lang w:bidi="ar-SA"/>
        </w:rPr>
        <w:t>على ما اقتَضَته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بَيني و بَينَ مَن ذَكرتم أنّني أتَمكَّنُ مِن أن أذكُرَ وجوهَ هذه الآياتِ المُتَشابِهاتِ و مَعانيَها الصحيحةَ، وأنتم لا تَتمكَّنونَ مِن ذِكرِ سببٍ صحيحٍ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المُعارَضةُ إنّما وَجَّهناها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مُحتاجٍ إلَى العِلمِ علَى التفصيلِ بوُجوهِ الآياتِ المُتَشابهاتِ و أغراضِها، و إنّ التعاطيَ لذِكرِ هذه الوجوهِ فَضلٌ و تَبرُّعٌ، و إنّ الكِفايةَ واقعةٌ بالعِلمِ بحِكمةِ القَديمِ تَعالى، و إنّه لا يَجوزُ أن يُخبِرَ عن نفسِه بخِلافِ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المعارَضةُ على هذا المَذهَبِ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جَعَلَ الفَرقَ بَينَ الأمرَينِ ما حَكَيناه في السؤالِ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 مِن ذِكرِ وجوهِ الآياتِ المُتَشابهاتِ، فإنّا لا نَتمكَّنُ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بما صِرتَ إليه مَذاهِبَ شُيوخِكَ، و خَرَجتَ عمّا اعتَمَدوه، و هو الصحيحُ الواضحُ 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عَجزاً و نُكولاً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قَنَعتَ لنَفسِك بهذا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بُطلانِه و مُنافاتِه لأُصولِ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عليكَ مِثلَه،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نَتمكَّنُ أيضاً أن نَذكُرَ في الغَيبةِ الأسبابَ الصحيحةَ و الأغراضَ الواضحةَ، التي لا تُنافي الحِكمةَ، و لا تَخرُجُ عن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w:t>
      </w:r>
      <w:r>
        <w:rPr>
          <w:rFonts w:eastAsia="Amiri" w:cs="Amiri" w:ascii="Amiri" w:hAnsi="Amiri"/>
          <w:color w:val="111111"/>
          <w:sz w:val="28"/>
          <w:szCs w:val="28"/>
          <w:rtl w:val="true"/>
          <w:lang w:bidi="ar-SA"/>
        </w:rPr>
        <w:t xml:space="preserve">». </w:t>
      </w:r>
      <w:bookmarkStart w:id="156" w:name="pg7486_97176"/>
    </w:p>
    <w:p>
      <w:pPr>
        <w:pStyle w:val="BookText"/>
        <w:rPr/>
      </w:pPr>
      <w:bookmarkEnd w:id="156"/>
      <w:r>
        <w:rPr>
          <w:rFonts w:ascii="Amiri" w:hAnsi="Amiri" w:eastAsia="Amiri" w:cs="Amiri"/>
          <w:color w:val="111111"/>
          <w:sz w:val="28"/>
          <w:sz w:val="28"/>
          <w:szCs w:val="28"/>
          <w:rtl w:val="true"/>
          <w:lang w:bidi="ar-SA"/>
        </w:rPr>
        <w:t>ذلكَ فيما يأتي مِن الكلامِ، بمَشيئةِ اللّهِ و عَونِه، فقَد ساوَيناكَ و ضاهَيناكَ بَعدَ أن نَزَلنا علَى اقتراحِكَ و إن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تَجتَمِعَ‌</w:t>
      </w:r>
      <w:r>
        <w:rPr>
          <w:rStyle w:val="FootnoteAnchor"/>
          <w:rtl w:val="true"/>
        </w:rPr>
        <w:footnoteReference w:id="317"/>
      </w:r>
      <w:r>
        <w:rPr>
          <w:rFonts w:ascii="Amiri" w:hAnsi="Amiri" w:eastAsia="Amiri" w:cs="Amiri"/>
          <w:color w:val="111111"/>
          <w:sz w:val="28"/>
          <w:sz w:val="28"/>
          <w:szCs w:val="28"/>
          <w:rtl w:val="true"/>
          <w:lang w:bidi="ar-SA"/>
        </w:rPr>
        <w:t xml:space="preserve">صحّةُ إمامةِ ابنِ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بيّنّاه مِن سياقةِ الأُصولِ العقليّةِ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بأنّ الغَيبةَ لا يَجوزُ أن يَكونَ لها سببٌ صحيحٌ يَقتَضيها؟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هذا تناقُضاً ظاهراً، و جارياً في الاِستحالةِ مَجرَى اجتماعِ القولِ بالعَدلِ و التوحيدِ مع القَطعِ على أنّه لا يَجوزُ أن يَكونَ للآياتِ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ظواهرُها بما يُخالِفُ العدلُ و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صحيحٌ و مَخرَجٌ سَديدٌ يُطابِقُ ما دَلَّ عليه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عليه العقلُ و قَطَعَ به على صحّتِه يَقودُ و يَسوقُ إلى القَطعِ على أنّ للآياتِ مَخرَجاً صحيحاً و تأويلاً للعقلِ مُطابِقاً و إن لَم نُحِطْ عِلماً به، كما يَقودُ و يَسوقُ إلى أنّ للغَيبةِ وجوهاً و أسباباً صحيحةً و إن لَم نُحِطْ بعِلمِها؟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225996_1051229030"/>
      <w:bookmarkStart w:id="158" w:name="_Toc58"/>
      <w:bookmarkEnd w:id="157"/>
      <w:r>
        <w:rPr>
          <w:rtl w:val="true"/>
        </w:rPr>
        <w:t>تَقدُّمُ الكلامِ في الأُصولِ علَى الكلامِ في الفُروعِ‌</w:t>
      </w:r>
      <w:bookmarkEnd w:id="158"/>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318"/>
      </w:r>
      <w:r>
        <w:rPr>
          <w:rFonts w:ascii="Amiri" w:hAnsi="Amiri" w:eastAsia="Amiri" w:cs="Amiri"/>
          <w:color w:val="111111"/>
          <w:sz w:val="28"/>
          <w:sz w:val="28"/>
          <w:szCs w:val="28"/>
          <w:rtl w:val="true"/>
          <w:lang w:bidi="ar-SA"/>
        </w:rPr>
        <w:t>لا أُسلِّمُ‌</w:t>
      </w:r>
      <w:r>
        <w:rPr>
          <w:rStyle w:val="FootnoteAnchor"/>
          <w:rtl w:val="true"/>
        </w:rPr>
        <w:footnoteReference w:id="319"/>
      </w:r>
      <w:r>
        <w:rPr>
          <w:rFonts w:ascii="Amiri" w:hAnsi="Amiri" w:eastAsia="Amiri" w:cs="Amiri"/>
          <w:color w:val="111111"/>
          <w:sz w:val="28"/>
          <w:sz w:val="28"/>
          <w:szCs w:val="28"/>
          <w:rtl w:val="true"/>
          <w:lang w:bidi="ar-SA"/>
        </w:rPr>
        <w:t xml:space="preserve">ثُبوتَ إمامةِ ابنِ الحَسَنِ و صحّةَ طريقِها، و لَو سَلَّمتُ ذلكَ لَما خالَفتُ في الغَيبةِ؛ لكنّني أجعَلُ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يَجوزُ أن يَكونَ لها سببٌ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نفيِ ما تَدَّعونه مِن إمامةِ ابنِ الحَسَنِ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تَثبُتْ‌</w:t>
      </w:r>
      <w:r>
        <w:rPr>
          <w:rStyle w:val="FootnoteAnchor"/>
          <w:rtl w:val="true"/>
        </w:rPr>
        <w:footnoteReference w:id="320"/>
      </w:r>
      <w:r>
        <w:rPr>
          <w:rFonts w:ascii="Amiri" w:hAnsi="Amiri" w:eastAsia="Amiri" w:cs="Amiri"/>
          <w:color w:val="111111"/>
          <w:sz w:val="28"/>
          <w:sz w:val="28"/>
          <w:szCs w:val="28"/>
          <w:rtl w:val="true"/>
          <w:lang w:bidi="ar-SA"/>
        </w:rPr>
        <w:t xml:space="preserve">لنا إمامةُ ابنِ الحَسَنِ عليه السلام فلا كلامَ لنا في الغَيبةِ؛ لأنّا </w:t>
      </w:r>
    </w:p>
    <w:p>
      <w:pPr>
        <w:pStyle w:val="BookText"/>
        <w:rPr/>
      </w:pPr>
      <w:r>
        <w:rPr>
          <w:rFonts w:ascii="Amiri" w:hAnsi="Amiri" w:eastAsia="Amiri" w:cs="Amiri"/>
          <w:color w:val="111111"/>
          <w:sz w:val="28"/>
          <w:sz w:val="28"/>
          <w:szCs w:val="28"/>
          <w:rtl w:val="true"/>
          <w:lang w:bidi="ar-SA"/>
        </w:rPr>
        <w:t>إنّما نَتكلَّمُ في سببِ غَيبةِ مَن ثَبَتَت</w:t>
      </w:r>
      <w:r>
        <w:rPr>
          <w:rStyle w:val="FootnoteAnchor"/>
          <w:rtl w:val="true"/>
        </w:rPr>
        <w:footnoteReference w:id="321"/>
      </w:r>
      <w:r>
        <w:rPr>
          <w:rFonts w:ascii="Amiri" w:hAnsi="Amiri" w:eastAsia="Amiri" w:cs="Amiri"/>
          <w:color w:val="111111"/>
          <w:sz w:val="28"/>
          <w:sz w:val="28"/>
          <w:szCs w:val="28"/>
          <w:rtl w:val="true"/>
          <w:lang w:bidi="ar-SA"/>
        </w:rPr>
        <w:t>إمامتُه و عُلِمَ وجودُه، و الكلامُ في وجوهِ غَيبةِ مَن لَيسَ بموجودٍ 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تُسلِّموا إمامةَ ابنِ الحَسَنِ، جَعَلنا الكلامَ معكم في صحّةِ إمامتِه، و اشتَغَلنا بتَثبيتِها و إيضاحِها، فإذا زالَت الشُّبهةُ فيها ساغَ الكلامُ حينَئذٍ في سببِ الغَيبةِ، و إن لَم تَثبُتْ لنا إمامتُه و عَجَزنا عن الدَّلالةِ على صحّتِها، فقَد بَطَلَ قولُنا بإمامةِ ابنِ الحَسَنِ عليهما السلام، و استُغني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كُلفةِ الكلامِ في سببِ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يَجري هذا المَوضِعُ مِن الكلامِ مَجرى مَن سَألَنا عن إيلامِ الأطفالِ، أو وجوهِ الآياتِ المُتَشابهاتِ، و جِهاتِ المَصالحِ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و الطوافِ بالبَيتِ، و ما أشبَهَ ذلكَ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عَوَّلنا في الأمرَين على حِكمةِ القَديمِ تَعالى، و أنّه لا يَجوزُ أن يَفعَلَ قَبيحاً، و لا بُدَّ مِن وجهِ حُسنٍ في جميعِ ما فَعَلَه، و إن جَهِلناه بعَينِه، و أنّه تَعالى لا يَجوزُ أن يُخبِرَ بخِلافِ ما هو عليه، و لا بُدَّ فيما ظاهرُه يَقتَضي خِلافَ ما هو تَعالى عليه مِن أن يَكونَ له وجهٌ صحيح، و إن لَم نَعلَمْه مُفصَّلاً؛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سَلَّمَ لكُم حِكمةَ القَديمِ، و أنّه لا يَفعَلُ القَبيحَ، و إنّا إنّما جَعَلنا الكلامَ في سببِ إيلامِ الأطفالِ و وجوهِ الآياتِ المُتَشابِهاتِ و غيرِها طريقاً إلى نفيِ ما تَدَّعونه مِن نفيِ القَبيحِ عن أفعالِه تَعالى؟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جوابَنا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لَم تُسلِّمْ حِكمةَ القَديمِ تَعالى دَلَلنا عليها، و لَم يَجُز أن نَتخطّاها إلَى الكلامِ في أسبابِ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الجوابُ لِمَن كَلَّمَنا في الغَيبةِ و هو لا يُسلِّمُ إمامةَ صاحبِ الزمانِ و صحّةَ أُصولِها</w:t>
      </w:r>
      <w:r>
        <w:rPr>
          <w:rFonts w:eastAsia="Amiri" w:cs="Amiri" w:ascii="Amiri" w:hAnsi="Amiri"/>
          <w:color w:val="111111"/>
          <w:sz w:val="28"/>
          <w:szCs w:val="28"/>
          <w:rtl w:val="true"/>
          <w:lang w:bidi="ar-SA"/>
        </w:rPr>
        <w:t xml:space="preserve">.». </w:t>
      </w:r>
      <w:bookmarkStart w:id="159" w:name="pg7486_97178"/>
    </w:p>
    <w:p>
      <w:pPr>
        <w:pStyle w:val="Heading3"/>
        <w:numPr>
          <w:ilvl w:val="2"/>
          <w:numId w:val="1"/>
        </w:numPr>
        <w:rPr/>
      </w:pPr>
      <w:bookmarkStart w:id="160" w:name="__RefHeading___Toc2225998_1051229030"/>
      <w:bookmarkStart w:id="161" w:name="_Toc59"/>
      <w:bookmarkEnd w:id="159"/>
      <w:bookmarkEnd w:id="160"/>
      <w:r>
        <w:rPr>
          <w:rtl w:val="true"/>
        </w:rPr>
        <w:t>لا خَيارَ في الاِستدلالِ علَى الفُروعِ قَبلَ الأُصولِ‌</w:t>
      </w:r>
      <w:bookmarkEnd w:id="16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السائلُ بالخَيارِ بَينَ أن يَتكلَّمَ في إمامةِ ابنِ الحَسَنِ عليهما السلام ليَعرِفَ‌</w:t>
      </w:r>
      <w:r>
        <w:rPr>
          <w:rStyle w:val="FootnoteAnchor"/>
          <w:rtl w:val="true"/>
        </w:rPr>
        <w:footnoteReference w:id="322"/>
      </w:r>
      <w:r>
        <w:rPr>
          <w:rFonts w:ascii="Amiri" w:hAnsi="Amiri" w:eastAsia="Amiri" w:cs="Amiri"/>
          <w:color w:val="111111"/>
          <w:sz w:val="28"/>
          <w:sz w:val="28"/>
          <w:szCs w:val="28"/>
          <w:rtl w:val="true"/>
          <w:lang w:bidi="ar-SA"/>
        </w:rPr>
        <w:t>صحّتَها مِن فَسادِها، و بَينَ أن يَتكلَّمَ في سببِ الغَيبةِ، فإذا بانَ أنّه لا سببَ صحيحاً لها انكَشَفَ بذلكَ بُطلانُ إمامتِه؟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في مِثلِ ذلكَ؛ لأنّ مَن شَكَّ في إمامةِ ابنِ الحَسَنِ عليهما السلام يَجِبُ أن يَكونَ الكلامُ معه في نفسِ إمامتِه، و التشاغُلُ في جوابِه بالدَّلالةِ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مع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ثُبوتِ هذه الإمامةِ أن يَتكلَّمَ في سببِ الغَيبةِ؛ لأنّ الكلامَ في الفُروعِ لا يَسوغُ إلّابَعدَ إحكامِ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يُتكلَّمَ في سببِ إيلامِ الأطفالِ إلّابَعدَ الدَّلالةِ على حِكمتِه تَعالى، و أنّه</w:t>
      </w:r>
      <w:r>
        <w:rPr>
          <w:rStyle w:val="FootnoteAnchor"/>
          <w:rtl w:val="true"/>
        </w:rPr>
        <w:footnoteReference w:id="323"/>
      </w:r>
      <w:r>
        <w:rPr>
          <w:rFonts w:ascii="Amiri" w:hAnsi="Amiri" w:eastAsia="Amiri" w:cs="Amiri"/>
          <w:color w:val="111111"/>
          <w:sz w:val="28"/>
          <w:sz w:val="28"/>
          <w:szCs w:val="28"/>
          <w:rtl w:val="true"/>
          <w:lang w:bidi="ar-SA"/>
        </w:rPr>
        <w:t>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w:t>
      </w:r>
      <w:r>
        <w:rPr>
          <w:rStyle w:val="FootnoteAnchor"/>
          <w:rtl w:val="true"/>
        </w:rPr>
        <w:footnoteReference w:id="324"/>
      </w:r>
      <w:r>
        <w:rPr>
          <w:rFonts w:ascii="Amiri" w:hAnsi="Amiri" w:eastAsia="Amiri" w:cs="Amiri"/>
          <w:color w:val="111111"/>
          <w:sz w:val="28"/>
          <w:sz w:val="28"/>
          <w:szCs w:val="28"/>
          <w:rtl w:val="true"/>
          <w:lang w:bidi="ar-SA"/>
        </w:rPr>
        <w:t>في الآياتِ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خَيارَ لنا في هذه المَواضِعِ‌</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226000_1051229030"/>
      <w:bookmarkStart w:id="163" w:name="_Toc60"/>
      <w:bookmarkEnd w:id="162"/>
      <w:r>
        <w:rPr>
          <w:rtl w:val="true"/>
        </w:rPr>
        <w:t>اعتمادُ شُيوخِ المُعتَزِلةِ على هذه الطريقةِ‌</w:t>
      </w:r>
      <w:bookmarkEnd w:id="1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يُبيِّنُ صحّةَ هذه الطريقةِ و يوضِّحُها</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الشُّيوخَ كُلَّهم لمّا عَوَّلوا في 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تَدَّعيه اليهودُ مِن تأبيدِ شَرعِهم و أنّه لا يُنسَخُ ما دامَ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 أنّ موسى عليه السلام قالَ أنّ شَريعتَه لا 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 آلِه أفضَلُ الصلاةِ و السلامِ، و قد قامَت دلائلُ نُبوّتِه، و وَضَحَت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بيِّناتُ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أكذَبَهم في هذه الروايةِ، و ذَكَرَ أنّ شَرْعَه ناسخٌ لكُلِّ شَريعةٍ تَقدَّمَته؛ سَأَلوا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أن تَجعَلوا دليلَ النبوّةِ مُبطِلاً لخبرِنا في نفيِ النَّسخِ للشرعِ، و بَينَ أن نَجعَلَ‌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بتأبيدِ الشرعِ و أنّه لا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بُطلانِ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تَنقُلونَنا عن الكلامِ في الخبرِ و طُرُقِ صحّتِه إلَى الكلامِ في مُعجِزِ النبوّةِ، و لَم يَجُز</w:t>
      </w:r>
      <w:r>
        <w:rPr>
          <w:rStyle w:val="FootnoteAnchor"/>
          <w:rtl w:val="true"/>
        </w:rPr>
        <w:footnoteReference w:id="327"/>
      </w:r>
      <w:r>
        <w:rPr>
          <w:rFonts w:ascii="Amiri" w:hAnsi="Amiri" w:eastAsia="Amiri" w:cs="Amiri"/>
          <w:color w:val="111111"/>
          <w:sz w:val="28"/>
          <w:sz w:val="28"/>
          <w:szCs w:val="28"/>
          <w:rtl w:val="true"/>
          <w:lang w:bidi="ar-SA"/>
        </w:rPr>
        <w:t>أن نَنقُلَكم عن الكلامِ في النبوّةِ و مُعجِزِها إلَى الكلامِ في الخبرِ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كُلُّ واحدٍ مِن الأمرَينِ إذا ثَبَتَ قَضى على صاحبِه؟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فأجابوهم عن هذا السؤالِ بأنّ الكلامَ في مُعجِزِ النبوّةِ أَولى من الكلامِ في طريقِ صحّةِ الخبرِ؛ لأنّ المُعجِزَ معلومٌ وجودُه ضرورةً، و هو القُرآنُ، و معلومٌ صفتُه في الإعجازِ بطريقٍ عَقليٍّ، لا يُمكِنُ دخولُ الاحتمالِ فيه و التَّجاذُبِ و التَّنازُعِ، و لَيسَ كذلكَ الخبرُ الذي تَدَّعونَه؛ لأنّ صحّتَه تَستَنِدُ إلى أُمورٍ</w:t>
      </w:r>
      <w:r>
        <w:rPr>
          <w:rStyle w:val="FootnoteAnchor"/>
          <w:rtl w:val="true"/>
        </w:rPr>
        <w:footnoteReference w:id="328"/>
      </w:r>
      <w:r>
        <w:rPr>
          <w:rFonts w:ascii="Amiri" w:hAnsi="Amiri" w:eastAsia="Amiri" w:cs="Amiri"/>
          <w:color w:val="111111"/>
          <w:sz w:val="28"/>
          <w:sz w:val="28"/>
          <w:szCs w:val="28"/>
          <w:rtl w:val="true"/>
          <w:lang w:bidi="ar-SA"/>
        </w:rPr>
        <w:t>غيرِ معلومةٍ، و لا ظاهرةٍ، و لا طريقَ إلى عِلمِها؛ لأنّ الكَثرةَ التي لا يَجوزُ عليهم التواطؤُ لا بُدَّ مِن إثباتِهم</w:t>
      </w:r>
      <w:r>
        <w:rPr>
          <w:rStyle w:val="FootnoteAnchor"/>
          <w:rtl w:val="true"/>
        </w:rPr>
        <w:footnoteReference w:id="329"/>
      </w:r>
      <w:r>
        <w:rPr>
          <w:rFonts w:ascii="Amiri" w:hAnsi="Amiri" w:eastAsia="Amiri" w:cs="Amiri"/>
          <w:color w:val="111111"/>
          <w:sz w:val="28"/>
          <w:sz w:val="28"/>
          <w:szCs w:val="28"/>
          <w:rtl w:val="true"/>
          <w:lang w:bidi="ar-SA"/>
        </w:rPr>
        <w:t>في روايةِ هذا الخبرِ، في أصلِه و فرعِه، و فيما بَينَنا و بَينَ موسى عليه السلام، حتّى</w:t>
      </w:r>
      <w:r>
        <w:rPr>
          <w:rFonts w:eastAsia="Amiri" w:cs="Amiri" w:ascii="Amiri" w:hAnsi="Amiri"/>
          <w:color w:val="111111"/>
          <w:sz w:val="28"/>
          <w:szCs w:val="28"/>
          <w:rtl w:val="true"/>
          <w:lang w:bidi="ar-SA"/>
        </w:rPr>
        <w:t xml:space="preserve">». </w:t>
      </w:r>
      <w:bookmarkStart w:id="164" w:name="pg7486_97180"/>
    </w:p>
    <w:p>
      <w:pPr>
        <w:pStyle w:val="BookText"/>
        <w:rPr/>
      </w:pPr>
      <w:bookmarkEnd w:id="164"/>
      <w:r>
        <w:rPr>
          <w:rFonts w:ascii="Amiri" w:hAnsi="Amiri" w:eastAsia="Amiri" w:cs="Amiri"/>
          <w:color w:val="111111"/>
          <w:sz w:val="28"/>
          <w:sz w:val="28"/>
          <w:szCs w:val="28"/>
          <w:rtl w:val="true"/>
          <w:lang w:bidi="ar-SA"/>
        </w:rPr>
        <w:t xml:space="preserve">يُقطَعَ على أنّهم ما انقَرَضوا في وقتٍ مِن الأوقاتِ و لا قَلّوا، و هذا مع بُعدِ العهدِ و تراخي الزمانِ مُحالٌ إدراكُه و العِلمُ بصحّتِه؛ قَضَوا حينَئذٍ على أنّ الكلامَ في مُعجِزِ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صَحَّ قُطِعَ به على بُطلانِ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الكلامِ في الخبرِ و التشاغُلِ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الفَرقُ يُمكِنُ أن يُستَعمَلَ بَينَنا و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كَلِّموني في سببِ إيلامِ الأطفالِ قَبلَ الكلامِ في حِكمةِ القَديمِ تَعالى، حتّى إذا بانَ أنّه لا وجهَ يُحسِّنُ هذه الآلامَ بَطَلَت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بمِثلِه في الآياتِ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حِكمةَ القَديمِ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تَقدُّمِ الكلامِ فيها على أسبابِ الأفعالِ و وجوهِ تأويلِ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قد بيّنّاه في نَسخِ الشريعةِ و دَلالةِ‌</w:t>
      </w:r>
      <w:r>
        <w:rPr>
          <w:rStyle w:val="FootnoteAnchor"/>
          <w:rtl w:val="true"/>
        </w:rPr>
        <w:footnoteReference w:id="330"/>
      </w:r>
      <w:r>
        <w:rPr>
          <w:rFonts w:ascii="Amiri" w:hAnsi="Amiri" w:eastAsia="Amiri" w:cs="Amiri"/>
          <w:color w:val="111111"/>
          <w:sz w:val="28"/>
          <w:sz w:val="28"/>
          <w:szCs w:val="28"/>
          <w:rtl w:val="true"/>
          <w:lang w:bidi="ar-SA"/>
        </w:rPr>
        <w:t>المُعجِزِ؛ لأنّ حِكمةَ القَديمِ تَعالى أصلٌ في نفيِ القَبيحِ عن أفعالِه، و الأصلُ لا بُدَّ مِن تَقدُّمِه لفَرعِه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كذلكَ الكلامُ في النبوّةِ و الخبرِ؛ لأنّه لَيسَ أحَدُهما أصلاً لصاحبِه، و إنّما رَجَّحَ الشُّيوخُ الكلامَ في النبوّةِ‌</w:t>
      </w:r>
      <w:r>
        <w:rPr>
          <w:rStyle w:val="FootnoteAnchor"/>
          <w:rtl w:val="true"/>
        </w:rPr>
        <w:footnoteReference w:id="332"/>
      </w:r>
      <w:r>
        <w:rPr>
          <w:rFonts w:ascii="Amiri" w:hAnsi="Amiri" w:eastAsia="Amiri" w:cs="Amiri"/>
          <w:color w:val="111111"/>
          <w:sz w:val="28"/>
          <w:sz w:val="28"/>
          <w:szCs w:val="28"/>
          <w:rtl w:val="true"/>
          <w:lang w:bidi="ar-SA"/>
        </w:rPr>
        <w:t>علَى الخبرِ و طريقِه مِن الوجهِ الذي ذَكرناه، و بَيَّنوا أنّ أحَدَهما مُحتَمِلٌ مُشتَبِهٌ، و الآخَرَ واضحٌ يُمكِنُ التوَصُّلُ بمُجرَّدِ دليلِ العقلِ إليه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226002_1051229030"/>
      <w:bookmarkStart w:id="166" w:name="_Toc61"/>
      <w:bookmarkEnd w:id="165"/>
      <w:r>
        <w:rPr>
          <w:rtl w:val="true"/>
        </w:rPr>
        <w:t>الكلامُ في الإمامةِ أصلٌ للكلامِ في الغَيبةِ‌</w:t>
      </w:r>
      <w:bookmarkEnd w:id="16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الغَيبةِ مع الكلامِ في</w:t>
      </w:r>
      <w:r>
        <w:rPr>
          <w:rStyle w:val="FootnoteAnchor"/>
          <w:rtl w:val="true"/>
        </w:rPr>
        <w:footnoteReference w:id="333"/>
      </w:r>
      <w:r>
        <w:rPr>
          <w:rFonts w:ascii="Amiri" w:hAnsi="Amiri" w:eastAsia="Amiri" w:cs="Amiri"/>
          <w:color w:val="111111"/>
          <w:sz w:val="28"/>
          <w:sz w:val="28"/>
          <w:szCs w:val="28"/>
          <w:rtl w:val="true"/>
          <w:lang w:bidi="ar-SA"/>
        </w:rPr>
        <w:t xml:space="preserve">إمامةِ صاحبِ الزمانِ عليه السلام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67" w:name="pg7486_97181"/>
    </w:p>
    <w:p>
      <w:pPr>
        <w:pStyle w:val="BookText"/>
        <w:rPr/>
      </w:pPr>
      <w:bookmarkEnd w:id="167"/>
      <w:r>
        <w:rPr>
          <w:rFonts w:ascii="Amiri" w:hAnsi="Amiri" w:eastAsia="Amiri" w:cs="Amiri"/>
          <w:color w:val="111111"/>
          <w:sz w:val="28"/>
          <w:sz w:val="28"/>
          <w:szCs w:val="28"/>
          <w:rtl w:val="true"/>
          <w:lang w:bidi="ar-SA"/>
        </w:rPr>
        <w:t xml:space="preserve">أنّه أصلٌ و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بمَجرَى</w:t>
      </w:r>
      <w:r>
        <w:rPr>
          <w:rStyle w:val="FootnoteAnchor"/>
          <w:rtl w:val="true"/>
        </w:rPr>
        <w:footnoteReference w:id="334"/>
      </w:r>
      <w:r>
        <w:rPr>
          <w:rFonts w:ascii="Amiri" w:hAnsi="Amiri" w:eastAsia="Amiri" w:cs="Amiri"/>
          <w:color w:val="111111"/>
          <w:sz w:val="28"/>
          <w:sz w:val="28"/>
          <w:szCs w:val="28"/>
          <w:rtl w:val="true"/>
          <w:lang w:bidi="ar-SA"/>
        </w:rPr>
        <w:t xml:space="preserve">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إيلامِ الأطفالِ، و تأويلِ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حِكمةِ القَديمِ تَعالى، فواجبٌ تَقدُّمُ الكلامِ في إمامتِه علَى الكلامِ في سببِ غَيبتِه، مِن حَيثُ الأصلُ و الفَرعُ اللذانِ ذَكرناهما في سببِ إيلامِ الأطفالِ و غيرِه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226004_1051229030"/>
      <w:bookmarkStart w:id="169" w:name="_Toc62"/>
      <w:bookmarkEnd w:id="168"/>
      <w:r>
        <w:rPr>
          <w:rtl w:val="true"/>
        </w:rPr>
        <w:t>مَزيّةٌ في استعمالِ تلكَ الطريقةِ في بَحثِ الغَيبةِ‌</w:t>
      </w:r>
      <w:bookmarkEnd w:id="169"/>
    </w:p>
    <w:p>
      <w:pPr>
        <w:pStyle w:val="BookText"/>
        <w:rPr/>
      </w:pPr>
      <w:r>
        <w:rPr>
          <w:rFonts w:ascii="Amiri" w:hAnsi="Amiri" w:eastAsia="Amiri" w:cs="Amiri"/>
          <w:color w:val="111111"/>
          <w:sz w:val="28"/>
          <w:sz w:val="28"/>
          <w:szCs w:val="28"/>
          <w:rtl w:val="true"/>
          <w:lang w:bidi="ar-SA"/>
        </w:rPr>
        <w:t xml:space="preserve">ثُمَّ يَجِبُ تَقدُّمُه مِن وجهِ الترجيحِ و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الشُّيوخُ في الفَرقِ بَينَ الكلامِ في النبوّةِ و الكلامِ في طريقِ خبرِ</w:t>
      </w:r>
      <w:r>
        <w:rPr>
          <w:rStyle w:val="FootnoteAnchor"/>
          <w:rtl w:val="true"/>
        </w:rPr>
        <w:footnoteReference w:id="335"/>
      </w:r>
      <w:r>
        <w:rPr>
          <w:rFonts w:ascii="Amiri" w:hAnsi="Amiri" w:eastAsia="Amiri" w:cs="Amiri"/>
          <w:color w:val="111111"/>
          <w:sz w:val="28"/>
          <w:sz w:val="28"/>
          <w:szCs w:val="28"/>
          <w:rtl w:val="true"/>
          <w:lang w:bidi="ar-SA"/>
        </w:rPr>
        <w:t xml:space="preserve">نفيِ النسخِ؛ لأنّه 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r>
        <w:rPr>
          <w:rStyle w:val="FootnoteAnchor"/>
          <w:rtl w:val="true"/>
        </w:rPr>
        <w:footnoteReference w:id="336"/>
      </w:r>
      <w:r>
        <w:rPr>
          <w:rFonts w:ascii="Amiri" w:hAnsi="Amiri" w:eastAsia="Amiri" w:cs="Amiri"/>
          <w:color w:val="111111"/>
          <w:sz w:val="28"/>
          <w:sz w:val="28"/>
          <w:szCs w:val="28"/>
          <w:rtl w:val="true"/>
          <w:lang w:bidi="ar-SA"/>
        </w:rPr>
        <w:t>الكلامَ في سببِ الغَيبةِ و وجهِها فيه مِن الاِحتمالِ و التجاذُبِ ما لَيسَ في الطريقةِ‌</w:t>
      </w:r>
      <w:r>
        <w:rPr>
          <w:rStyle w:val="FootnoteAnchor"/>
          <w:rtl w:val="true"/>
        </w:rPr>
        <w:footnoteReference w:id="337"/>
      </w:r>
      <w:r>
        <w:rPr>
          <w:rFonts w:ascii="Amiri" w:hAnsi="Amiri" w:eastAsia="Amiri" w:cs="Amiri"/>
          <w:color w:val="111111"/>
          <w:sz w:val="28"/>
          <w:sz w:val="28"/>
          <w:szCs w:val="28"/>
          <w:rtl w:val="true"/>
          <w:lang w:bidi="ar-SA"/>
        </w:rPr>
        <w:t>التي ذَكرناها في إمامةِ ابنِ الحَسَنِ عليهما السلام، لأنّها مَبنيّةٌ‌</w:t>
      </w:r>
      <w:r>
        <w:rPr>
          <w:rStyle w:val="FootnoteAnchor"/>
          <w:rtl w:val="true"/>
        </w:rPr>
        <w:footnoteReference w:id="338"/>
      </w:r>
      <w:r>
        <w:rPr>
          <w:rFonts w:ascii="Amiri" w:hAnsi="Amiri" w:eastAsia="Amiri" w:cs="Amiri"/>
          <w:color w:val="111111"/>
          <w:sz w:val="28"/>
          <w:sz w:val="28"/>
          <w:szCs w:val="28"/>
          <w:rtl w:val="true"/>
          <w:lang w:bidi="ar-SA"/>
        </w:rPr>
        <w:t>علَى اعتبارِ العقلِ‌</w:t>
      </w:r>
      <w:r>
        <w:rPr>
          <w:rStyle w:val="FootnoteAnchor"/>
          <w:rtl w:val="true"/>
        </w:rPr>
        <w:footnoteReference w:id="339"/>
      </w:r>
      <w:r>
        <w:rPr>
          <w:rFonts w:ascii="Amiri" w:hAnsi="Amiri" w:eastAsia="Amiri" w:cs="Amiri"/>
          <w:color w:val="111111"/>
          <w:sz w:val="28"/>
          <w:sz w:val="28"/>
          <w:szCs w:val="28"/>
          <w:rtl w:val="true"/>
          <w:lang w:bidi="ar-SA"/>
        </w:rPr>
        <w:t>و سَبرِ</w:t>
      </w:r>
      <w:r>
        <w:rPr>
          <w:rStyle w:val="FootnoteAnchor"/>
          <w:rtl w:val="true"/>
        </w:rPr>
        <w:footnoteReference w:id="340"/>
      </w:r>
      <w:r>
        <w:rPr>
          <w:rFonts w:ascii="Amiri" w:hAnsi="Amiri" w:eastAsia="Amiri" w:cs="Amiri"/>
          <w:color w:val="111111"/>
          <w:sz w:val="28"/>
          <w:sz w:val="28"/>
          <w:szCs w:val="28"/>
          <w:rtl w:val="true"/>
          <w:lang w:bidi="ar-SA"/>
        </w:rPr>
        <w:t>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لِمَن تأمَّلَه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226006_1051229030"/>
      <w:bookmarkStart w:id="171" w:name="_Toc63"/>
      <w:bookmarkEnd w:id="170"/>
      <w:r>
        <w:rPr>
          <w:rtl w:val="true"/>
        </w:rPr>
        <w:t>التأكيدُ علَى المحافَظةِ علَى المَنهَجِ الموضوعيِّ للبَحثِ‌</w:t>
      </w:r>
      <w:bookmarkEnd w:id="1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فلا تَنسَوا ما لا يَزالُ شُيوخُكم يَعتَمِدونَه،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المُشتَبِهِ مِن الأُمورِ إلى واضحِها، و بِناءِ المُحتَمِلِ منها على ما لا يَحتَمِلُ، و القضاءِ بالواضحِ علَى الخَفيِّ، حتّى أنّهم يَستَعمِلونَ ذلكَ و يَفزَعون إليه في أُصولِ الدينِ و فُروعِه فيما طريقُه </w:t>
      </w:r>
      <w:bookmarkStart w:id="172" w:name="pg7486_97182"/>
    </w:p>
    <w:p>
      <w:pPr>
        <w:pStyle w:val="BookText"/>
        <w:rPr/>
      </w:pPr>
      <w:bookmarkEnd w:id="172"/>
      <w:r>
        <w:rPr>
          <w:rFonts w:ascii="Amiri" w:hAnsi="Amiri" w:eastAsia="Amiri" w:cs="Amiri"/>
          <w:color w:val="111111"/>
          <w:sz w:val="28"/>
          <w:sz w:val="28"/>
          <w:szCs w:val="28"/>
          <w:rtl w:val="true"/>
          <w:lang w:bidi="ar-SA"/>
        </w:rPr>
        <w:t>العقلُ و فيما طريقُه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تَمنَعونَنا في الغَيبةِ خاصّةً ما هو دأبُكم و دينُكم، و عليه اعتمادُكم و اعتضادُكم؟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w:t>
      </w:r>
      <w:r>
        <w:rPr>
          <w:rStyle w:val="FootnoteAnchor"/>
          <w:rtl w:val="true"/>
        </w:rPr>
        <w:footnoteReference w:id="341"/>
      </w:r>
      <w:r>
        <w:rPr>
          <w:rFonts w:ascii="Amiri" w:hAnsi="Amiri" w:eastAsia="Amiri" w:cs="Amiri"/>
          <w:color w:val="111111"/>
          <w:sz w:val="28"/>
          <w:sz w:val="28"/>
          <w:szCs w:val="28"/>
          <w:rtl w:val="true"/>
          <w:lang w:bidi="ar-SA"/>
        </w:rPr>
        <w:t>لا خَوفُ التطويلِ لَأشَرنا إلَى المَواضِعِ و المَسائلِ التي تُعوِّلونَ‌</w:t>
      </w:r>
      <w:r>
        <w:rPr>
          <w:rStyle w:val="FootnoteAnchor"/>
          <w:rtl w:val="true"/>
        </w:rPr>
        <w:footnoteReference w:id="342"/>
      </w:r>
      <w:r>
        <w:rPr>
          <w:rFonts w:ascii="Amiri" w:hAnsi="Amiri" w:eastAsia="Amiri" w:cs="Amiri"/>
          <w:color w:val="111111"/>
          <w:sz w:val="28"/>
          <w:sz w:val="28"/>
          <w:szCs w:val="28"/>
          <w:rtl w:val="true"/>
          <w:lang w:bidi="ar-SA"/>
        </w:rPr>
        <w:t xml:space="preserve">فيها على هذه الطريقةِ، و هي كثيرةٌ، فلا تَنقُضوا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بدَفعِنا في الغَيبةِ عن النهجِ الذي سَلَكناه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أُصولَكم بفُروعِكم، و لا تَبلُغوا في العَصَبيّةِ إلَى الحَدِّ الذي لا يَخفى على أحَدٍ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226008_1051229030"/>
      <w:bookmarkStart w:id="174" w:name="_Toc64"/>
      <w:bookmarkEnd w:id="173"/>
      <w:r>
        <w:rPr>
          <w:rtl w:val="true"/>
        </w:rPr>
        <w:t>بيانُ سببِ الغَيبةِ و حكمتِها علَى التفصيلِ‌</w:t>
      </w:r>
      <w:bookmarkEnd w:id="174"/>
    </w:p>
    <w:p>
      <w:pPr>
        <w:pStyle w:val="BookText"/>
        <w:rPr/>
      </w:pPr>
      <w:r>
        <w:rPr>
          <w:rFonts w:ascii="Amiri" w:hAnsi="Amiri" w:eastAsia="Amiri" w:cs="Amiri"/>
          <w:color w:val="111111"/>
          <w:sz w:val="28"/>
          <w:sz w:val="28"/>
          <w:szCs w:val="28"/>
          <w:rtl w:val="true"/>
          <w:lang w:bidi="ar-SA"/>
        </w:rPr>
        <w:t>و إذا كُنّا قد وَعَدنا بأن نَتبرَّعَ‌</w:t>
      </w:r>
      <w:r>
        <w:rPr>
          <w:rStyle w:val="FootnoteAnchor"/>
          <w:rtl w:val="true"/>
        </w:rPr>
        <w:footnoteReference w:id="343"/>
      </w:r>
      <w:r>
        <w:rPr>
          <w:rFonts w:ascii="Amiri" w:hAnsi="Amiri" w:eastAsia="Amiri" w:cs="Amiri"/>
          <w:color w:val="111111"/>
          <w:sz w:val="28"/>
          <w:sz w:val="28"/>
          <w:szCs w:val="28"/>
          <w:rtl w:val="true"/>
          <w:lang w:bidi="ar-SA"/>
        </w:rPr>
        <w:t xml:space="preserve">بذِكرِ سببِ الغَيبةِ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يَلزَمُنا، و لا يُخِلُّ‌</w:t>
      </w:r>
      <w:r>
        <w:rPr>
          <w:rStyle w:val="FootnoteAnchor"/>
          <w:rtl w:val="true"/>
        </w:rPr>
        <w:footnoteReference w:id="344"/>
      </w:r>
      <w:r>
        <w:rPr>
          <w:rFonts w:ascii="Amiri" w:hAnsi="Amiri" w:eastAsia="Amiri" w:cs="Amiri"/>
          <w:color w:val="111111"/>
          <w:sz w:val="28"/>
          <w:sz w:val="28"/>
          <w:szCs w:val="28"/>
          <w:rtl w:val="true"/>
          <w:lang w:bidi="ar-SA"/>
        </w:rPr>
        <w:t>الإضرابُ عن ذِكرِه بصحّةِ مَذاهِبنا</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نَفعَلُ ذلكَ، و نُتبِعُه بالأسئلةِ التي تُسألُ‌</w:t>
      </w:r>
      <w:r>
        <w:rPr>
          <w:rStyle w:val="FootnoteAnchor"/>
          <w:rtl w:val="true"/>
        </w:rPr>
        <w:footnoteReference w:id="346"/>
      </w:r>
      <w:r>
        <w:rPr>
          <w:rFonts w:ascii="Amiri" w:hAnsi="Amiri" w:eastAsia="Amiri" w:cs="Amiri"/>
          <w:color w:val="111111"/>
          <w:sz w:val="28"/>
          <w:sz w:val="28"/>
          <w:szCs w:val="28"/>
          <w:rtl w:val="true"/>
          <w:lang w:bidi="ar-SA"/>
        </w:rPr>
        <w:t>عليه</w:t>
      </w:r>
      <w:r>
        <w:rPr>
          <w:rStyle w:val="FootnoteAnchor"/>
          <w:rtl w:val="true"/>
        </w:rPr>
        <w:footnoteReference w:id="347"/>
      </w:r>
      <w:r>
        <w:rPr>
          <w:rFonts w:ascii="Amiri" w:hAnsi="Amiri" w:eastAsia="Amiri" w:cs="Amiri"/>
          <w:color w:val="111111"/>
          <w:sz w:val="28"/>
          <w:sz w:val="28"/>
          <w:szCs w:val="28"/>
          <w:rtl w:val="true"/>
          <w:lang w:bidi="ar-SA"/>
        </w:rPr>
        <w:t>و نُجيبُ‌</w:t>
      </w:r>
      <w:r>
        <w:rPr>
          <w:rStyle w:val="FootnoteAnchor"/>
          <w:rtl w:val="true"/>
        </w:rPr>
        <w:footnoteReference w:id="348"/>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Style w:val="FootnoteAnchor"/>
          <w:rtl w:val="true"/>
        </w:rPr>
        <w:footnoteReference w:id="349"/>
      </w:r>
      <w:r>
        <w:rPr>
          <w:rFonts w:ascii="Amiri" w:hAnsi="Amiri" w:eastAsia="Amiri" w:cs="Amiri"/>
          <w:color w:val="111111"/>
          <w:sz w:val="28"/>
          <w:sz w:val="28"/>
          <w:szCs w:val="28"/>
          <w:rtl w:val="true"/>
          <w:lang w:bidi="ar-SA"/>
        </w:rPr>
        <w:t>كانَ كُلُّ هذا فَضلاً مِنّا اعتَمَدناه استظهاراً في الحُجّةِ، و إلّافالتمسُّكُ بالجُملةِ المُتَقدِّمةِ مُغنٍ كافٍ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سببُ الغَيبةِ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إخافةُ الظالِمينَ له عليه السلام، و قَبضُهم يَدَه عن التصرُّفِ فيما جُعِلَ إليه التصرُّفُ‌</w:t>
      </w:r>
      <w:r>
        <w:rPr>
          <w:rStyle w:val="FootnoteAnchor"/>
          <w:rtl w:val="true"/>
        </w:rPr>
        <w:footnoteReference w:id="350"/>
      </w:r>
      <w:r>
        <w:rPr>
          <w:rFonts w:ascii="Amiri" w:hAnsi="Amiri" w:eastAsia="Amiri" w:cs="Amiri"/>
          <w:color w:val="111111"/>
          <w:sz w:val="28"/>
          <w:sz w:val="28"/>
          <w:szCs w:val="28"/>
          <w:rtl w:val="true"/>
          <w:lang w:bidi="ar-SA"/>
        </w:rPr>
        <w:t>و التدبيرُ له؛ لأنّ الإمامَ إنّما يُنتَفَعُ به إذا كانَ مُمكَّناً</w:t>
      </w:r>
      <w:r>
        <w:rPr>
          <w:rStyle w:val="FootnoteAnchor"/>
          <w:rtl w:val="true"/>
        </w:rPr>
        <w:footnoteReference w:id="351"/>
      </w:r>
      <w:bookmarkStart w:id="175" w:name="pg7486_97183"/>
    </w:p>
    <w:p>
      <w:pPr>
        <w:pStyle w:val="BookText"/>
        <w:rPr/>
      </w:pPr>
      <w:bookmarkEnd w:id="175"/>
      <w:r>
        <w:rPr>
          <w:rFonts w:ascii="Amiri" w:hAnsi="Amiri" w:eastAsia="Amiri" w:cs="Amiri"/>
          <w:color w:val="111111"/>
          <w:sz w:val="28"/>
          <w:sz w:val="28"/>
          <w:szCs w:val="28"/>
          <w:rtl w:val="true"/>
          <w:lang w:bidi="ar-SA"/>
        </w:rPr>
        <w:t>مُطاعاً، مُخَلًّى بَينَه و بَينَ أغراضِه؛ ليُقوِّمَ الجُناةَ‌</w:t>
      </w:r>
      <w:r>
        <w:rPr>
          <w:rStyle w:val="FootnoteAnchor"/>
          <w:rtl w:val="true"/>
        </w:rPr>
        <w:footnoteReference w:id="352"/>
      </w:r>
      <w:r>
        <w:rPr>
          <w:rFonts w:ascii="Amiri" w:hAnsi="Amiri" w:eastAsia="Amiri" w:cs="Amiri"/>
          <w:color w:val="111111"/>
          <w:sz w:val="28"/>
          <w:sz w:val="28"/>
          <w:szCs w:val="28"/>
          <w:rtl w:val="true"/>
          <w:lang w:bidi="ar-SA"/>
        </w:rPr>
        <w:t>، و يُحارِبَ البُغاةَ، و يُقيمَ الحدودَ، و يَسُدَّ الثُّغورَ، و يُنصِفَ المظلومَ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لا يَتِمُّ إلّامع التمكينِ، فإذا حيلَ بَينَه و بَينَ مُرادِه سَقَطَ عنه فرضُ القيامِ بالإمامةِ، فإذا خافَ على نفسِه وَجَبَت غَيبتُه و لَزِمَ استتارُه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الذي يُلزِمُ خائفاً أعداءَه عليه و هُم حَنِقونَ أن يَظهَرَ لهم، و أن يَبرُزُ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التحَرُّزُ مِن المَضارِّ واجبٌ عقلاً و سَمعاً، و قد استَتَرَ النبيُّ صلّى اللّه عليه و آله في الشِّعبِ مَرّةً، و أُخرى في الغارِ</w:t>
      </w:r>
      <w:r>
        <w:rPr>
          <w:rStyle w:val="FootnoteAnchor"/>
          <w:rtl w:val="true"/>
        </w:rPr>
        <w:footnoteReference w:id="353"/>
      </w:r>
      <w:r>
        <w:rPr>
          <w:rFonts w:ascii="Amiri" w:hAnsi="Amiri" w:eastAsia="Amiri" w:cs="Amiri"/>
          <w:color w:val="111111"/>
          <w:sz w:val="28"/>
          <w:sz w:val="28"/>
          <w:szCs w:val="28"/>
          <w:rtl w:val="true"/>
          <w:lang w:bidi="ar-SA"/>
        </w:rPr>
        <w:t>، و لا وجهَ لذلكَ إلّاالخَوفُ مِن المَضارِّ الواصلةِ إليه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226010_1051229030"/>
      <w:bookmarkStart w:id="177" w:name="_Toc65"/>
      <w:bookmarkEnd w:id="176"/>
      <w:r>
        <w:rPr>
          <w:rtl w:val="true"/>
        </w:rPr>
        <w:t>الفَرقُ بَينَ استتارِ النبيِّ و غَيبةِ الإمامِ‌</w:t>
      </w:r>
      <w:bookmarkEnd w:id="17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354"/>
      </w:r>
      <w:r>
        <w:rPr>
          <w:rFonts w:ascii="Amiri" w:hAnsi="Amiri" w:eastAsia="Amiri" w:cs="Amiri"/>
          <w:color w:val="111111"/>
          <w:sz w:val="28"/>
          <w:sz w:val="28"/>
          <w:szCs w:val="28"/>
          <w:rtl w:val="true"/>
          <w:lang w:bidi="ar-SA"/>
        </w:rPr>
        <w:t>النبيَّ صلّى اللّه عليه و آله ما استَتَرَ عن قومِه إلّابَعدَ أدائه إليهم ما وَجَبَ أداؤه، و لَم تَتعلَّقْ‌</w:t>
      </w:r>
      <w:r>
        <w:rPr>
          <w:rStyle w:val="FootnoteAnchor"/>
          <w:rtl w:val="true"/>
        </w:rPr>
        <w:footnoteReference w:id="355"/>
      </w:r>
      <w:r>
        <w:rPr>
          <w:rFonts w:ascii="Amiri" w:hAnsi="Amiri" w:eastAsia="Amiri" w:cs="Amiri"/>
          <w:color w:val="111111"/>
          <w:sz w:val="28"/>
          <w:sz w:val="28"/>
          <w:szCs w:val="28"/>
          <w:rtl w:val="true"/>
          <w:lang w:bidi="ar-SA"/>
        </w:rPr>
        <w:t>بِهم إليه</w:t>
      </w:r>
      <w:r>
        <w:rPr>
          <w:rStyle w:val="FootnoteAnchor"/>
          <w:rtl w:val="true"/>
        </w:rPr>
        <w:footnoteReference w:id="356"/>
      </w:r>
      <w:r>
        <w:rPr>
          <w:rFonts w:ascii="Amiri" w:hAnsi="Amiri" w:eastAsia="Amiri" w:cs="Amiri"/>
          <w:color w:val="111111"/>
          <w:sz w:val="28"/>
          <w:sz w:val="28"/>
          <w:szCs w:val="28"/>
          <w:rtl w:val="true"/>
          <w:lang w:bidi="ar-SA"/>
        </w:rPr>
        <w:t>حاجةٌ، و قولُكم في الإمامِ بخِلافِ ذلكَ؛ و إنّ‌</w:t>
      </w:r>
      <w:r>
        <w:rPr>
          <w:rStyle w:val="FootnoteAnchor"/>
          <w:rtl w:val="true"/>
        </w:rPr>
        <w:footnoteReference w:id="357"/>
      </w:r>
      <w:r>
        <w:rPr>
          <w:rFonts w:ascii="Amiri" w:hAnsi="Amiri" w:eastAsia="Amiri" w:cs="Amiri"/>
          <w:color w:val="111111"/>
          <w:sz w:val="28"/>
          <w:sz w:val="28"/>
          <w:szCs w:val="28"/>
          <w:rtl w:val="true"/>
          <w:lang w:bidi="ar-SA"/>
        </w:rPr>
        <w:t>استتارَه صلّى اللّه عليه و آله ما تَطاوَلَ و لا تَمادى، و استتارُ إمامِكم قد مَضَت عليه العُصورُ، و انقَضَت دونَه الدُّهورُ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ذَكرتم؛ لأنّ النبيَّ صلّى اللّه عليه و آله إنّما استَتَرَ </w:t>
      </w:r>
    </w:p>
    <w:p>
      <w:pPr>
        <w:pStyle w:val="BookText"/>
        <w:rPr/>
      </w:pPr>
      <w:r>
        <w:rPr>
          <w:rFonts w:ascii="Amiri" w:hAnsi="Amiri" w:eastAsia="Amiri" w:cs="Amiri"/>
          <w:color w:val="111111"/>
          <w:sz w:val="28"/>
          <w:sz w:val="28"/>
          <w:szCs w:val="28"/>
          <w:rtl w:val="true"/>
          <w:lang w:bidi="ar-SA"/>
        </w:rPr>
        <w:t>في الشِّعبِ و الغارِ بمَكّةَ و قَبلَ‌</w:t>
      </w:r>
      <w:r>
        <w:rPr>
          <w:rStyle w:val="FootnoteAnchor"/>
          <w:rtl w:val="true"/>
        </w:rPr>
        <w:footnoteReference w:id="358"/>
      </w:r>
      <w:r>
        <w:rPr>
          <w:rFonts w:ascii="Amiri" w:hAnsi="Amiri" w:eastAsia="Amiri" w:cs="Amiri"/>
          <w:color w:val="111111"/>
          <w:sz w:val="28"/>
          <w:sz w:val="28"/>
          <w:szCs w:val="28"/>
          <w:rtl w:val="true"/>
          <w:lang w:bidi="ar-SA"/>
        </w:rPr>
        <w:t>الهِجرةِ، و ما كانَ أدّى صلّى اللّه عليه و آله جميعَ الشريعةِ؛ فإنّ أكثَرَ الأحكامِ و مُعظَمَ القُرآنِ نَزَلَ بالمَدينةِ، فكَيفَ ادَّعَيتم أنّه كانَ بَعدَ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على ما</w:t>
      </w:r>
      <w:r>
        <w:rPr>
          <w:rStyle w:val="FootnoteAnchor"/>
          <w:rtl w:val="true"/>
        </w:rPr>
        <w:footnoteReference w:id="359"/>
      </w:r>
      <w:r>
        <w:rPr>
          <w:rFonts w:ascii="Amiri" w:hAnsi="Amiri" w:eastAsia="Amiri" w:cs="Amiri"/>
          <w:color w:val="111111"/>
          <w:sz w:val="28"/>
          <w:sz w:val="28"/>
          <w:szCs w:val="28"/>
          <w:rtl w:val="true"/>
          <w:lang w:bidi="ar-SA"/>
        </w:rPr>
        <w:t>زَعَمتم مِن تكامُلِ الأداءِ قَبلَ الاِستتارِ، لَما كانَ ذلكَ رافعاً للحاجةِ إلى تدبيرِه عليه السلام و سياستِه و أمرِه في أُمّتِه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بَعدَ أداءِ الشرعِ غيرُ مُحتاجٍ إليه، و لا مُفتَقَرٍ إلى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إلّامُعانِدٌ مُكابِرٌ</w:t>
      </w:r>
      <w:r>
        <w:rPr>
          <w:rStyle w:val="FootnoteAnchor"/>
          <w:rtl w:val="true"/>
        </w:rPr>
        <w:footnoteReference w:id="3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جازَ استتارُه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تَعلُّقِ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 الضرَرِ، و كانَت التبِعةُ في ذلكَ لازمةً لمُخيفيهِ و مُحوِجيهِ إلَى التغيُّبِ، سَقَطَت عنه اللائمةُ، و تَوجَّهَت إلى مَن أحوَجَه إلَى الاِستتارِ و ألجأَه إلَى التغَيُّبِ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غَيبةِ إمامِ‌</w:t>
      </w:r>
      <w:r>
        <w:rPr>
          <w:rStyle w:val="FootnoteAnchor"/>
          <w:rtl w:val="true"/>
        </w:rPr>
        <w:footnoteReference w:id="361"/>
      </w:r>
      <w:r>
        <w:rPr>
          <w:rFonts w:ascii="Amiri" w:hAnsi="Amiri" w:eastAsia="Amiri" w:cs="Amiri"/>
          <w:color w:val="111111"/>
          <w:sz w:val="28"/>
          <w:sz w:val="28"/>
          <w:szCs w:val="28"/>
          <w:rtl w:val="true"/>
          <w:lang w:bidi="ar-SA"/>
        </w:rPr>
        <w:t>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62"/>
      </w:r>
      <w:r>
        <w:rPr>
          <w:rFonts w:ascii="Amiri" w:hAnsi="Amiri" w:eastAsia="Amiri" w:cs="Amiri"/>
          <w:color w:val="111111"/>
          <w:sz w:val="28"/>
          <w:sz w:val="28"/>
          <w:szCs w:val="28"/>
          <w:rtl w:val="true"/>
          <w:lang w:bidi="ar-SA"/>
        </w:rPr>
        <w:t>التفرقةُ بِطولِ الغَيبةِ و قِصَرِها فغَيرُ صحيحةٍ؛ لأنّه لا فَرقَ في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القَصيرِ المُنقَطِعِ و</w:t>
      </w:r>
      <w:r>
        <w:rPr>
          <w:rStyle w:val="FootnoteAnchor"/>
          <w:rtl w:val="true"/>
        </w:rPr>
        <w:footnoteReference w:id="363"/>
      </w:r>
      <w:r>
        <w:rPr>
          <w:rFonts w:ascii="Amiri" w:hAnsi="Amiri" w:eastAsia="Amiri" w:cs="Amiri"/>
          <w:color w:val="111111"/>
          <w:sz w:val="28"/>
          <w:sz w:val="28"/>
          <w:szCs w:val="28"/>
          <w:rtl w:val="true"/>
          <w:lang w:bidi="ar-SA"/>
        </w:rPr>
        <w:t>المُمتَدِّ المُتَمادي، لأنّه إذا لَم يَكُن في الاِستتارِ لائمةٌ‌</w:t>
      </w:r>
      <w:r>
        <w:rPr>
          <w:rStyle w:val="FootnoteAnchor"/>
          <w:rtl w:val="true"/>
        </w:rPr>
        <w:footnoteReference w:id="364"/>
      </w:r>
      <w:r>
        <w:rPr>
          <w:rFonts w:ascii="Amiri" w:hAnsi="Amiri" w:eastAsia="Amiri" w:cs="Amiri"/>
          <w:color w:val="111111"/>
          <w:sz w:val="28"/>
          <w:sz w:val="28"/>
          <w:szCs w:val="28"/>
          <w:rtl w:val="true"/>
          <w:lang w:bidi="ar-SA"/>
        </w:rPr>
        <w:t>علَى المُستَتِرِ إذا أُحوِجَ إليه جازَ أن يَتَطاوَلَ سببُ الاِستتارِ، كما جازَ أن يَقصُرَ زمانُه</w:t>
      </w:r>
      <w:r>
        <w:rPr>
          <w:rFonts w:eastAsia="Amiri" w:cs="Amiri" w:ascii="Amiri" w:hAnsi="Amiri"/>
          <w:color w:val="111111"/>
          <w:sz w:val="28"/>
          <w:szCs w:val="28"/>
          <w:rtl w:val="true"/>
          <w:lang w:bidi="ar-SA"/>
        </w:rPr>
        <w:t xml:space="preserve">.». </w:t>
      </w:r>
      <w:bookmarkStart w:id="178" w:name="pg7486_97185"/>
    </w:p>
    <w:p>
      <w:pPr>
        <w:pStyle w:val="Heading3"/>
        <w:numPr>
          <w:ilvl w:val="2"/>
          <w:numId w:val="1"/>
        </w:numPr>
        <w:rPr/>
      </w:pPr>
      <w:bookmarkStart w:id="179" w:name="__RefHeading___Toc2226012_1051229030"/>
      <w:bookmarkStart w:id="180" w:name="_Toc66"/>
      <w:bookmarkEnd w:id="178"/>
      <w:bookmarkEnd w:id="179"/>
      <w:r>
        <w:rPr>
          <w:rtl w:val="true"/>
        </w:rPr>
        <w:t>علّةُ عدمِ استتارِ الأئمّةِ السابقينَ عليهم السلام</w:t>
      </w:r>
      <w:bookmarkEnd w:id="18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الخَوفُ أحوَجَه إلَى الاِستتارِ، فقَد كانَ آباؤه عليهم السلام عندَكم في تَقيّةٍ و خَوفٍ مِن أعدائهم، فكَيفَ لَم يَستَتِروا؟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آبائه</w:t>
      </w:r>
      <w:r>
        <w:rPr>
          <w:rStyle w:val="FootnoteAnchor"/>
          <w:rtl w:val="true"/>
        </w:rPr>
        <w:footnoteReference w:id="365"/>
      </w:r>
      <w:r>
        <w:rPr>
          <w:rFonts w:ascii="Amiri" w:hAnsi="Amiri" w:eastAsia="Amiri" w:cs="Amiri"/>
          <w:color w:val="111111"/>
          <w:sz w:val="28"/>
          <w:sz w:val="28"/>
          <w:szCs w:val="28"/>
          <w:rtl w:val="true"/>
          <w:lang w:bidi="ar-SA"/>
        </w:rPr>
        <w:t>عليهم السلام خَوفٌ مِن أعدائهم مع لُزومِهم التقيّةَ و العُدولَ عن التظاهُرِ بالإمامةِ و نفيَها عن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الزمانِ كُلُّ الخَوفِ عليه؛ لأنّه يَظهَرُ بالسَّيفِ، و يَدعو إلى نفسِه، و يُجاهِدُ مَن خالَفَ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نسبةٍ بَينَ خَوفِه مِن الأعداءِ و خَوفِ آبائه عليهم السلام منهم لَولا قِلّةُ التأمُّلِ‌</w:t>
      </w:r>
      <w:r>
        <w:rPr>
          <w:rStyle w:val="FootnoteAnchor"/>
          <w:rtl w:val="true"/>
        </w:rPr>
        <w:footnoteReference w:id="3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81" w:name="__RefHeading___Toc2226014_1051229030"/>
      <w:bookmarkStart w:id="182" w:name="_Toc67"/>
      <w:bookmarkEnd w:id="181"/>
      <w:r>
        <w:rPr>
          <w:rtl w:val="true"/>
        </w:rPr>
        <w:t>الفَرقُ بَينَ الغَيبةِ و عدمِ الوجودِ</w:t>
      </w:r>
      <w:bookmarkEnd w:id="18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وجودِه غائباً لا يَصِلُ إليه أحَدٌ و لا يَنتَفِعُ به بَشَرٌ و 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 جازَ أن يُعدِمَه</w:t>
      </w:r>
      <w:r>
        <w:rPr>
          <w:rStyle w:val="FootnoteAnchor"/>
          <w:rtl w:val="true"/>
        </w:rPr>
        <w:footnoteReference w:id="367"/>
      </w:r>
      <w:r>
        <w:rPr>
          <w:rFonts w:ascii="Amiri" w:hAnsi="Amiri" w:eastAsia="Amiri" w:cs="Amiri"/>
          <w:color w:val="111111"/>
          <w:sz w:val="28"/>
          <w:sz w:val="28"/>
          <w:szCs w:val="28"/>
          <w:rtl w:val="true"/>
          <w:lang w:bidi="ar-SA"/>
        </w:rPr>
        <w:t>اللّهُ تَعالى، حتّى إذا عَلِمَ أنّ الرعيّةَ تُمكِّنُه و تُسلِّمُ له أَوجَدَه، كما جازَ أن يُبيحَه الاِستتارَ</w:t>
      </w:r>
      <w:r>
        <w:rPr>
          <w:rStyle w:val="FootnoteAnchor"/>
          <w:rtl w:val="true"/>
        </w:rPr>
        <w:footnoteReference w:id="368"/>
      </w:r>
      <w:r>
        <w:rPr>
          <w:rFonts w:ascii="Amiri" w:hAnsi="Amiri" w:eastAsia="Amiri" w:cs="Amiri"/>
          <w:color w:val="111111"/>
          <w:sz w:val="28"/>
          <w:sz w:val="28"/>
          <w:szCs w:val="28"/>
          <w:rtl w:val="true"/>
          <w:lang w:bidi="ar-SA"/>
        </w:rPr>
        <w:t>حتّى يَعلَمَ منهم التمكينَ له فيُظهِرَه؟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369"/>
      </w:r>
      <w:r>
        <w:rPr>
          <w:rFonts w:ascii="Amiri" w:hAnsi="Amiri" w:eastAsia="Amiri" w:cs="Amiri"/>
          <w:color w:val="111111"/>
          <w:sz w:val="28"/>
          <w:sz w:val="28"/>
          <w:szCs w:val="28"/>
          <w:rtl w:val="true"/>
          <w:lang w:bidi="ar-SA"/>
        </w:rPr>
        <w:t>جازَ أن يَكونَ الاِستتارُ سببُه إخافةُ الظالمينَ، فألا جازَ أن يَكونَ الإعدامُ سببُه ذلكَ بعَينِه؟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نُجيبَ عن سؤالِكَ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r>
        <w:rPr>
          <w:rStyle w:val="FootnoteAnchor"/>
          <w:rtl w:val="true"/>
        </w:rPr>
        <w:footnoteReference w:id="370"/>
      </w:r>
      <w:r>
        <w:rPr>
          <w:rFonts w:ascii="Amiri" w:hAnsi="Amiri" w:eastAsia="Amiri" w:cs="Amiri"/>
          <w:color w:val="111111"/>
          <w:sz w:val="28"/>
          <w:sz w:val="28"/>
          <w:szCs w:val="28"/>
          <w:rtl w:val="true"/>
          <w:lang w:bidi="ar-SA"/>
        </w:rPr>
        <w:t>الإمامَ لا يَصِلُ إليه أحَدٌ</w:t>
      </w:r>
      <w:r>
        <w:rPr>
          <w:rStyle w:val="FootnoteAnchor"/>
          <w:rtl w:val="true"/>
        </w:rPr>
        <w:footnoteReference w:id="371"/>
      </w:r>
      <w:r>
        <w:rPr>
          <w:rFonts w:ascii="IRNazanin" w:hAnsi="IRNazanin" w:eastAsia="IRNazanin"/>
          <w:color w:val="111111"/>
          <w:sz w:val="28"/>
          <w:sz w:val="28"/>
          <w:szCs w:val="28"/>
          <w:rtl w:val="true"/>
          <w:lang w:bidi="fa-IR"/>
        </w:rPr>
        <w:t xml:space="preserve">و لا </w:t>
      </w:r>
    </w:p>
    <w:p>
      <w:pPr>
        <w:pStyle w:val="BookText"/>
        <w:rPr/>
      </w:pPr>
      <w:r>
        <w:rPr>
          <w:rFonts w:ascii="Amiri" w:hAnsi="Amiri" w:eastAsia="Amiri" w:cs="Amiri"/>
          <w:color w:val="111111"/>
          <w:sz w:val="28"/>
          <w:sz w:val="28"/>
          <w:szCs w:val="28"/>
          <w:rtl w:val="true"/>
          <w:lang w:bidi="ar-SA"/>
        </w:rPr>
        <w:t>يَلقاه؛ لأنّ هذا الأمرَ مُغيَّبٌ عنّا، و هو موقوفٌ علَى الشكِّ و التجويزِ</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بَعدَ</w:t>
      </w:r>
      <w:r>
        <w:rPr>
          <w:rStyle w:val="FootnoteAnchor"/>
          <w:rtl w:val="true"/>
        </w:rPr>
        <w:footnoteReference w:id="372"/>
      </w:r>
      <w:r>
        <w:rPr>
          <w:rFonts w:ascii="Amiri" w:hAnsi="Amiri" w:eastAsia="Amiri" w:cs="Amiri"/>
          <w:color w:val="111111"/>
          <w:sz w:val="28"/>
          <w:sz w:val="28"/>
          <w:szCs w:val="28"/>
          <w:rtl w:val="true"/>
          <w:lang w:bidi="ar-SA"/>
        </w:rPr>
        <w:t>هذا بَينَ‌</w:t>
      </w:r>
      <w:r>
        <w:rPr>
          <w:rStyle w:val="FootnoteAnchor"/>
          <w:rtl w:val="true"/>
        </w:rPr>
        <w:footnoteReference w:id="373"/>
      </w:r>
      <w:r>
        <w:rPr>
          <w:rFonts w:ascii="Amiri" w:hAnsi="Amiri" w:eastAsia="Amiri" w:cs="Amiri"/>
          <w:color w:val="111111"/>
          <w:sz w:val="28"/>
          <w:sz w:val="28"/>
          <w:szCs w:val="28"/>
          <w:rtl w:val="true"/>
          <w:lang w:bidi="ar-SA"/>
        </w:rPr>
        <w:t>وجودِه غائباً مِن أجلِ‌</w:t>
      </w:r>
      <w:r>
        <w:rPr>
          <w:rStyle w:val="FootnoteAnchor"/>
          <w:rtl w:val="true"/>
        </w:rPr>
        <w:footnoteReference w:id="374"/>
      </w:r>
      <w:r>
        <w:rPr>
          <w:rFonts w:ascii="Amiri" w:hAnsi="Amiri" w:eastAsia="Amiri" w:cs="Amiri"/>
          <w:color w:val="111111"/>
          <w:sz w:val="28"/>
          <w:sz w:val="28"/>
          <w:szCs w:val="28"/>
          <w:rtl w:val="true"/>
          <w:lang w:bidi="ar-SA"/>
        </w:rPr>
        <w:t xml:space="preserve">التقيّةِ و خَوفِ الضرَرِ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أثناءِ ذلكَ مُتوقِّعٌ أن يُمكِّنوه و يُزيلوا خيفَتَه فيَظهَرَ و يَقومَ بما فُوِّضَ إليه مِن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يُعدِمَه اللّهُ تَعالى جَليٌّ واضحٌ؛ لأنّه إذا كانَ معدوماً كانَ‌</w:t>
      </w:r>
      <w:r>
        <w:rPr>
          <w:rStyle w:val="FootnoteAnchor"/>
          <w:rtl w:val="true"/>
        </w:rPr>
        <w:footnoteReference w:id="375"/>
      </w:r>
      <w:r>
        <w:rPr>
          <w:rFonts w:ascii="Amiri" w:hAnsi="Amiri" w:eastAsia="Amiri" w:cs="Amiri"/>
          <w:color w:val="111111"/>
          <w:sz w:val="28"/>
          <w:sz w:val="28"/>
          <w:szCs w:val="28"/>
          <w:rtl w:val="true"/>
          <w:lang w:bidi="ar-SA"/>
        </w:rPr>
        <w:t>ما يَفوتُ العِبادَ مِن مَصالِحِهم و يُعدَمونَه مِن مَراشِدِهم</w:t>
      </w:r>
      <w:r>
        <w:rPr>
          <w:rStyle w:val="FootnoteAnchor"/>
          <w:rtl w:val="true"/>
        </w:rPr>
        <w:footnoteReference w:id="376"/>
      </w:r>
      <w:r>
        <w:rPr>
          <w:rFonts w:ascii="Amiri" w:hAnsi="Amiri" w:eastAsia="Amiri" w:cs="Amiri"/>
          <w:color w:val="111111"/>
          <w:sz w:val="28"/>
          <w:sz w:val="28"/>
          <w:szCs w:val="28"/>
          <w:rtl w:val="true"/>
          <w:lang w:bidi="ar-SA"/>
        </w:rPr>
        <w:t>و يُحرَمونَه مِن لُطفِهم و انتفاعِهم به</w:t>
      </w:r>
      <w:r>
        <w:rPr>
          <w:rStyle w:val="FootnoteAnchor"/>
          <w:rtl w:val="true"/>
        </w:rPr>
        <w:footnoteReference w:id="377"/>
      </w:r>
      <w:r>
        <w:rPr>
          <w:rFonts w:ascii="Amiri" w:hAnsi="Amiri" w:eastAsia="Amiri" w:cs="Amiri"/>
          <w:color w:val="111111"/>
          <w:sz w:val="28"/>
          <w:sz w:val="28"/>
          <w:szCs w:val="28"/>
          <w:rtl w:val="true"/>
          <w:lang w:bidi="ar-SA"/>
        </w:rPr>
        <w:t>منسوباً إليه تَعالى و معضوباً</w:t>
      </w:r>
      <w:r>
        <w:rPr>
          <w:rStyle w:val="FootnoteAnchor"/>
          <w:rtl w:val="true"/>
        </w:rPr>
        <w:footnoteReference w:id="378"/>
      </w:r>
      <w:r>
        <w:rPr>
          <w:rFonts w:ascii="Amiri" w:hAnsi="Amiri" w:eastAsia="Amiri" w:cs="Amiri"/>
          <w:color w:val="111111"/>
          <w:sz w:val="28"/>
          <w:sz w:val="28"/>
          <w:szCs w:val="28"/>
          <w:rtl w:val="true"/>
          <w:lang w:bidi="ar-SA"/>
        </w:rPr>
        <w:t>، لا حُجّةَ فيه علَى العبادِ، و لا لَومَ يَلزَمُهم و لا ذَمَّ‌</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موجوداً مُستَتِراً بإخافتِهم له كانَ ما يَفوتُ مِن المَصالحِ و يَرتَفِعُ مِن المَنافعِ منسوباً إلَى العبادِ، و هُم المَلومونَ عليه المؤاخَذونَ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الإعدامُ، فلا يَجوزُ أن يَكونَ سببُه إخافةَ الظالمينَ؛ لأنّ العبادَ قد يُلجئُ بعضُهم بعضاً إلى أفعالِه</w:t>
      </w:r>
      <w:r>
        <w:rPr>
          <w:rFonts w:eastAsia="Amiri" w:cs="Amiri" w:ascii="Amiri" w:hAnsi="Amiri"/>
          <w:color w:val="111111"/>
          <w:sz w:val="28"/>
          <w:szCs w:val="28"/>
          <w:rtl w:val="true"/>
          <w:lang w:bidi="ar-SA"/>
        </w:rPr>
        <w:t xml:space="preserve">.». </w:t>
      </w:r>
      <w:bookmarkStart w:id="183" w:name="pg7486_97187"/>
    </w:p>
    <w:p>
      <w:pPr>
        <w:pStyle w:val="BookText"/>
        <w:rPr/>
      </w:pPr>
      <w:bookmarkEnd w:id="183"/>
      <w:r>
        <w:rPr>
          <w:rFonts w:ascii="Amiri" w:hAnsi="Amiri" w:eastAsia="Amiri" w:cs="Amiri"/>
          <w:color w:val="111111"/>
          <w:sz w:val="28"/>
          <w:sz w:val="28"/>
          <w:szCs w:val="28"/>
          <w:rtl w:val="true"/>
          <w:lang w:bidi="ar-SA"/>
        </w:rPr>
        <w:t xml:space="preserve">على أنّ هذا يَنقَلِبُ عليهم في استتارِ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و جودِه مُستَتِراً و بَينَ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في ذلكَ أَجَبناهم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يُفرِّقوا بَينَ الأمرَينِ بأنّ النبيَّ صلّى اللّه عليه و آله ما استَتَرَ مِن كُلِّ أحَدٍ، و إنّما استَتَرَ مِن أعدائه؛ و إمامُ الزمانِ عليه السلام مُستَتِرٌ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النبيَّ صلّى اللّه عليه و آله لمّا استَتَرَ في الغارِ كانَ مُستَتِراً مِن أوليائه و أعدائه، و لَم يَكُن معه إلّاأبو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يَجوزُ عندَنا و عندَكم أن يَستَتِرَ بحَيثُ لا يَكون معه أحَدٌ مِن وَليٍّ و لا عَدُوٍّ إذا اقتَضَت المَصلحةُ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رَضوا لأنفُسِهم بهذا الفَرقِ قُلنا مِثلَه؛ لأنّا قد بيّنّا أنّ الإمامَ يَجوزُ أن يَلقاه في حالِ الغَيبةِ جماعةٌ مِن أوليائه، و أنّ ذلكَ ممّا لا يُقطَعُ على فَقدِه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226016_1051229030"/>
      <w:bookmarkStart w:id="185" w:name="_Toc68"/>
      <w:bookmarkEnd w:id="184"/>
      <w:r>
        <w:rPr>
          <w:rtl w:val="true"/>
        </w:rPr>
        <w:t>إمكانُ ظُهورِ الإمامِ بحِفْظِ اللّهِ تعالى لهُ من الآفاتِ‌</w:t>
      </w:r>
      <w:bookmarkEnd w:id="18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خَوفُ ضَرَرِ الأعداءِ هو الموجِبُ للغَيبةِ، أفَلا</w:t>
      </w:r>
      <w:r>
        <w:rPr>
          <w:rStyle w:val="FootnoteAnchor"/>
          <w:rtl w:val="true"/>
        </w:rPr>
        <w:footnoteReference w:id="380"/>
      </w:r>
      <w:r>
        <w:rPr>
          <w:rFonts w:ascii="Amiri" w:hAnsi="Amiri" w:eastAsia="Amiri" w:cs="Amiri"/>
          <w:color w:val="111111"/>
          <w:sz w:val="28"/>
          <w:sz w:val="28"/>
          <w:szCs w:val="28"/>
          <w:rtl w:val="true"/>
          <w:lang w:bidi="ar-SA"/>
        </w:rPr>
        <w:t>أظهَرَه اللّهُ تَعالى في السحابِ و بحَيثُ‌</w:t>
      </w:r>
      <w:r>
        <w:rPr>
          <w:rStyle w:val="FootnoteAnchor"/>
          <w:rtl w:val="true"/>
        </w:rPr>
        <w:footnoteReference w:id="381"/>
      </w:r>
      <w:r>
        <w:rPr>
          <w:rFonts w:ascii="Amiri" w:hAnsi="Amiri" w:eastAsia="Amiri" w:cs="Amiri"/>
          <w:color w:val="111111"/>
          <w:sz w:val="28"/>
          <w:sz w:val="28"/>
          <w:szCs w:val="28"/>
          <w:rtl w:val="true"/>
          <w:lang w:bidi="ar-SA"/>
        </w:rPr>
        <w:t>لا تَصِلُ إليه أيدي أعدائه، فيَجمَع الظهورَ و الأمانَ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مَن لا يُفكِّرُ فيما يورِدُه؛ لأنّ الحاجةَ مِن العبادِ إنّما تَتعلَّقُ بإمامٍ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يَتولّى عِقابَ جُناتِهم، و قِسمةَ أموالِهم، و سَدَّ ثُغورِهم، و يُباشِرُ تدبيرَ أُمورِهم، و يَكونُ بحَيثُ يَحُلُّ و يَعقِدُ، و يَرفَعُ و يَضَعُ؛ و هذا لا يَتِمُّ إلّامع المُخالَطة و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 بحَيثُ لا وصولَ إليه ارتَفَعَت جهة الحاجةُ إليه، فصارَ </w:t>
      </w:r>
      <w:bookmarkStart w:id="186" w:name="pg7486_97188"/>
    </w:p>
    <w:p>
      <w:pPr>
        <w:pStyle w:val="BookText"/>
        <w:rPr/>
      </w:pPr>
      <w:bookmarkEnd w:id="186"/>
      <w:r>
        <w:rPr>
          <w:rFonts w:ascii="Amiri" w:hAnsi="Amiri" w:eastAsia="Amiri" w:cs="Amiri"/>
          <w:color w:val="111111"/>
          <w:sz w:val="28"/>
          <w:sz w:val="28"/>
          <w:szCs w:val="28"/>
          <w:rtl w:val="true"/>
          <w:lang w:bidi="ar-SA"/>
        </w:rPr>
        <w:t>ظهورُه للعَينِ كظهورِ النجومِ الذي لا يَسُدُّ مِنّا خَلَلاً و لا يَرفَعُ زَلَلاً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احتاجَ في الغَيبةِ إلى مِثلِ هذا السؤالِ فقَد أفلَسَ و لَم تَبقَ فيه مُسكةٌ‌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226018_1051229030"/>
      <w:bookmarkStart w:id="188" w:name="_Toc69"/>
      <w:bookmarkEnd w:id="187"/>
      <w:r>
        <w:rPr>
          <w:rtl w:val="true"/>
        </w:rPr>
        <w:t>كيفيّةُ إقامةِ الحُدودِ في زَمَنِ الغَيبةِ‌</w:t>
      </w:r>
      <w:bookmarkEnd w:id="18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فالحدودُ في حالِ الغَيبةِ ما حُكمُها؟ فإن سَقَطَت عن فاعِلي ما يوجِبُها، فهذا اعترافٌ بنَسخِ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ثابتةً، فمَن يُقيمُها مع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المُستَحَقّةُ ثابتةٌ في جُنوبِ الجُناةِ بما يوجِبُها مِن الأفعالِ، فإن ظَهَرَ الإمامُ و المُستَحِقُّ لهذه الحدودِ باقٍ أقامَها عليه بالبيّنةِ أو الإقرارِ، و إن فاتَ ذلكَ بمَوتِه</w:t>
      </w:r>
      <w:r>
        <w:rPr>
          <w:rStyle w:val="FootnoteAnchor"/>
          <w:rtl w:val="true"/>
        </w:rPr>
        <w:footnoteReference w:id="383"/>
      </w:r>
      <w:r>
        <w:rPr>
          <w:rFonts w:ascii="Amiri" w:hAnsi="Amiri" w:eastAsia="Amiri" w:cs="Amiri"/>
          <w:color w:val="111111"/>
          <w:sz w:val="28"/>
          <w:sz w:val="28"/>
          <w:szCs w:val="28"/>
          <w:rtl w:val="true"/>
          <w:lang w:bidi="ar-SA"/>
        </w:rPr>
        <w:t>كانَ الإثمُ في تفويتِ إقامتِها على مَن أخافَ الإمامَ و ألجَأَه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بنَسخٍ لإقامةِ الحدودِ؛ لأنّ الحَدَّ إنّما تَجِبُ إقامتُه مع التمَكُّنِ و زوالِ المَوانِعِ، و يَسقُطُ مع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ذلكَ نَسخاً لَو سَقَطَ فرضُ إقامةِ الحَدِّ مع التمَكُّنِ و زَوالِ الأسبابِ المانعةِ مِن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يُقلَبُ هذا عليهم،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قولُكم في الحدودِ التي تَستَحِقُّها الجُناةُ في الأحوالِ التي لا يُمكَّنُ فيها أهلُ الحَلِّ و العَقدِ مِن اختيارِ الإمامِ و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قالوه في ذلكَ قيلَ لهم مِثلُه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مع غَيبةِ الإمامِ إلى إصابةِ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إليه، فقَد جَعَلتم الناسَ في حَيرةٍ و ضَلالةٍ و رَيبٍ في سائرِ أُمورِهم،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 الحَقُّ بأدِلّتِه،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بالاِستغناءِ عن الإمامِ بهذه الأدِلّةِ و رُجوعٌ إلَى الحَقِّ</w:t>
      </w:r>
      <w:r>
        <w:rPr>
          <w:rFonts w:eastAsia="Amiri" w:cs="Amiri" w:ascii="Amiri" w:hAnsi="Amiri"/>
          <w:color w:val="111111"/>
          <w:sz w:val="28"/>
          <w:szCs w:val="28"/>
          <w:rtl w:val="true"/>
          <w:lang w:bidi="ar-SA"/>
        </w:rPr>
        <w:t xml:space="preserve">! </w:t>
      </w:r>
      <w:bookmarkStart w:id="189" w:name="pg7486_97189"/>
    </w:p>
    <w:p>
      <w:pPr>
        <w:pStyle w:val="BookText"/>
        <w:rPr/>
      </w:pPr>
      <w:bookmarkEnd w:id="189"/>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فالعقليُّ يُصابُ بأدِلّتِه، و يُدرَكُ بالنظَرِ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السمعيُّ عليه أدِلّةٌ منصوبةٌ، مِن أقوالِ النبيِّ صلّى اللّه عليه و آله و نُصوصِه و أقوالِ الأئمّةِ مِن وُلدِه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بَيَّنوا ذلكَ و أوضَحوه، و لم يَترُكوا مِنه شَيئاً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فالحاجةُ إلَى الإمامِ ثابتةٌ لازمةٌ؛ لأنّ جهةَ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المُستَمِرّةَ في كُلِّ زمانٍ و على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كَونُه لُطفاً لنا في فِعلِ الواجبِ و تَجنُّبِ القَبيحِ، و هذا ممّا لا يُغني عنه شَيءٌ، و لا يَقومُ مَقامَه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الحاجةُ إليه المُتعلِّقةُ بالسمعِ و الشرعِ، فهيَ أيضاً ظاهرةٌ؛ لأنّ النقلَ و إن كانَ وارداً عن الرسولِ صلّى اللّه عليه و آله و عن آباءِ الإمامِ عليهم السلام بجميعِ ما يُحتاجُ إليه في الشريعةِ، فجائزٌ علَى الناقلينَ أن يَعدِلوا عن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اعتماداً، أو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النقلُ، أو يَبقى فيمَن لَيسَ نَقلُه حُجّةً، فيُحتاجُ حينئذٍ إلَى الإمامِ؛ ليَكشِفَ ذلكَ، و يوضِّحَه، و يُبيِّنَ مَوضِعَ التقصيرِ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ثابتةٌ على كُلِّ حالٍ، و إن أمكَنَت إصابةُ الحَقِّ بأدِلّتِه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226020_1051229030"/>
      <w:bookmarkStart w:id="191" w:name="_Toc70"/>
      <w:bookmarkEnd w:id="190"/>
      <w:r>
        <w:rPr>
          <w:rtl w:val="true"/>
        </w:rPr>
        <w:t>الحالُ فيما لَو احتيجَ إلى بيانِ الإمامِ الغائبِ‌</w:t>
      </w:r>
      <w:bookmarkEnd w:id="1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كَتَمَ‌</w:t>
      </w:r>
      <w:r>
        <w:rPr>
          <w:rStyle w:val="FootnoteAnchor"/>
          <w:rtl w:val="true"/>
        </w:rPr>
        <w:footnoteReference w:id="384"/>
      </w:r>
      <w:r>
        <w:rPr>
          <w:rFonts w:ascii="Amiri" w:hAnsi="Amiri" w:eastAsia="Amiri" w:cs="Amiri"/>
          <w:color w:val="111111"/>
          <w:sz w:val="28"/>
          <w:sz w:val="28"/>
          <w:szCs w:val="28"/>
          <w:rtl w:val="true"/>
          <w:lang w:bidi="ar-SA"/>
        </w:rPr>
        <w:t>الناقلونَ بعضَ مُهِمِّ الشريعةِ و احتيجَ إلى بيانِ الإمامِ، و لَم يُعلَمِ الحَقُّ إلّامِن جهتِه، و كانَ خَوفُه القتلَ مِن أعدائِه</w:t>
      </w:r>
      <w:r>
        <w:rPr>
          <w:rStyle w:val="FootnoteAnchor"/>
          <w:rtl w:val="true"/>
        </w:rPr>
        <w:footnoteReference w:id="385"/>
      </w:r>
      <w:r>
        <w:rPr>
          <w:rFonts w:ascii="Amiri" w:hAnsi="Amiri" w:eastAsia="Amiri" w:cs="Amiri"/>
          <w:color w:val="111111"/>
          <w:sz w:val="28"/>
          <w:sz w:val="28"/>
          <w:szCs w:val="28"/>
          <w:rtl w:val="true"/>
          <w:lang w:bidi="ar-SA"/>
        </w:rPr>
        <w:t>مُستَمِرّاً؛ كَيفَ يَكونُ الحالُ؟ فأنتم بَينَ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و إن خافَ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هذا أن </w:t>
      </w:r>
      <w:bookmarkStart w:id="192" w:name="pg7486_97190"/>
    </w:p>
    <w:p>
      <w:pPr>
        <w:pStyle w:val="BookText"/>
        <w:rPr/>
      </w:pPr>
      <w:bookmarkEnd w:id="192"/>
      <w:r>
        <w:rPr>
          <w:rFonts w:ascii="Amiri" w:hAnsi="Amiri" w:eastAsia="Amiri" w:cs="Amiri"/>
          <w:color w:val="111111"/>
          <w:sz w:val="28"/>
          <w:sz w:val="28"/>
          <w:szCs w:val="28"/>
          <w:rtl w:val="true"/>
          <w:lang w:bidi="ar-SA"/>
        </w:rPr>
        <w:t>يَكونَ خَوفُ القتلِ غيرَ مُبيحٍ للغَيبةِ، و يَجِبُ ظهورُه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يَظهَرُ، و يَسقُطُ التكليفُ في ذلكَ الشيءِ المكتومِ عن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فتَخرُجوا بذلكَ مِن الإجماعِ؛ لأنّ الإجماعَ مُنعَقِدٌ على أنّ كُلَّ شَيءٍ شَرَّعَه النبيُّ صلّى اللّه عليه و آله و أَوضَحَه فهو لازمٌ للأُمّةِ إلى أن تَقومَ‌</w:t>
      </w:r>
      <w:r>
        <w:rPr>
          <w:rStyle w:val="FootnoteAnchor"/>
          <w:rtl w:val="true"/>
        </w:rPr>
        <w:footnoteReference w:id="386"/>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لا يَسقُطُ، صَرَّحتم بتكليفِ ما لا يُطاقُ، و إيجابِ العِلمِ بما لا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هذا السؤالِ و فَرَّعناه إلى غايةِ ما يَتفرَّعُ في كتابِنا الشافي</w:t>
      </w:r>
      <w:r>
        <w:rPr>
          <w:rStyle w:val="FootnoteAnchor"/>
          <w:rtl w:val="true"/>
        </w:rPr>
        <w:footnoteReference w:id="387"/>
      </w:r>
      <w:r>
        <w:rPr>
          <w:rFonts w:ascii="Amiri" w:hAnsi="Amiri" w:eastAsia="Amiri" w:cs="Amiri"/>
          <w:color w:val="111111"/>
          <w:sz w:val="28"/>
          <w:sz w:val="28"/>
          <w:szCs w:val="28"/>
          <w:rtl w:val="true"/>
          <w:lang w:bidi="ar-SA"/>
        </w:rPr>
        <w:t>، 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لَو عَلِمَ أنّ النقلَ لبعضِ الشريعةِ المفروضةِ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تَكونُ تَقيّةُ الإمامِ فيها مُستَمِرّةً، و خَوفُه مِن الأعداءِ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لَأسقَطَ ذلكَ التكليفَ عمّن لا طريقَ 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الذي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الشرائعِ مُستَمِرٌّ ثابتٌ على جميعِ الأُمّةِ إلى أن تَقومَ الساعةُ، يُنتِجُ لنا هذا العِلمُ أنّه لَو اتَّفَقَ أن يَنقَطِعَ النقلُ بشيءٍ مِن الشرائعِ لَما كانَ ذلكَ إلّافي حالٍ يَتمكَّنُ فيها الإمامُ مِن الظهورِ و البُروزِ و الإعلامِ و الإنذارِ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226022_1051229030"/>
      <w:bookmarkStart w:id="194" w:name="_Toc71"/>
      <w:bookmarkEnd w:id="193"/>
      <w:r>
        <w:rPr>
          <w:rtl w:val="true"/>
        </w:rPr>
        <w:t>عِلّةُ عدمِ ظهورِ الإمامِ عليه السلام لأوليائه</w:t>
      </w:r>
      <w:bookmarkEnd w:id="19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في غَيبتِه عن أعدائه خَوفَه منهم، فما بالُه لا يَظهَرُ لأوليائه، و هذه العِلّةُ زائلةٌ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يَظهَرْ للأولياءِ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زالَت عنهم عِلّةُ استتارِه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قولُكم في عِلّةِ الغَيبةِ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أصحابُنا عن هذا السؤالِ بأنّ عِلّةَ غَيبتِه عن أوليائه لا تُمنَعُ أن يَكونَ خَوفَه مِن أن يَلقاهم فيُشيعوا خبرَه، و يَتحدَّثوا، سُروراً باجتماعِه معهم، </w:t>
      </w:r>
    </w:p>
    <w:p>
      <w:pPr>
        <w:pStyle w:val="BookText"/>
        <w:rPr/>
      </w:pPr>
      <w:r>
        <w:rPr>
          <w:rFonts w:ascii="Amiri" w:hAnsi="Amiri" w:eastAsia="Amiri" w:cs="Amiri"/>
          <w:color w:val="111111"/>
          <w:sz w:val="28"/>
          <w:sz w:val="28"/>
          <w:szCs w:val="28"/>
          <w:rtl w:val="true"/>
          <w:lang w:bidi="ar-SA"/>
        </w:rPr>
        <w:t xml:space="preserve">فيؤدّي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الخَوفِ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غيرُ مَرضيٍّ؛ لأنّ عُقَلاءَ شيعتِه لا يَجوزُ أن يَخفى عليهم ما في إظهارِ اجتماعِهم معه مِن الضرَرِ عليه و عليهم، فكَيفَ يُخبِرونَ بذلكَ مع العِلمِ بما فيه مِن المَضَرّةِ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هذا الذي ذَكروه علَى الواحدِ و الاِثنَينِ لَم يَجُز على جماعةِ شيعتِه الذينَ لا يَظهَرُ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العِلّةَ توجِبُ أنّ شيعتَه قد عُدِموا الانتفاعَ به على وجهٍ لا يَتمكَّنونَ مِن تَلافيهِ و إزالتِه؛ لأنّه إذا عُلِّقَ الاستتارُ بما يُعلَمُ مِن حالِهم أنّهم يَفعَلونَه فلَيسَ في مقدورِهم الآنَ ما</w:t>
      </w:r>
      <w:r>
        <w:rPr>
          <w:rStyle w:val="FootnoteAnchor"/>
          <w:rtl w:val="true"/>
        </w:rPr>
        <w:footnoteReference w:id="388"/>
      </w:r>
      <w:r>
        <w:rPr>
          <w:rFonts w:ascii="Amiri" w:hAnsi="Amiri" w:eastAsia="Amiri" w:cs="Amiri"/>
          <w:color w:val="111111"/>
          <w:sz w:val="28"/>
          <w:sz w:val="28"/>
          <w:szCs w:val="28"/>
          <w:rtl w:val="true"/>
          <w:lang w:bidi="ar-SA"/>
        </w:rPr>
        <w:t xml:space="preserve">يَقتَضي ظهورَ الإمامِ، و هذا يَقتَضي 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الإمامُ لُطفٌ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بعضُهم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 الغَيبةِ عن الجميعِ هو فِعلُ الأعداءِ؛ لأنّ انتفاعَ جماعةِ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و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w:t>
      </w:r>
      <w:r>
        <w:rPr>
          <w:rStyle w:val="FootnoteAnchor"/>
          <w:rtl w:val="true"/>
        </w:rPr>
        <w:footnoteReference w:id="389"/>
      </w:r>
      <w:r>
        <w:rPr>
          <w:rFonts w:ascii="Amiri" w:hAnsi="Amiri" w:eastAsia="Amiri" w:cs="Amiri"/>
          <w:color w:val="111111"/>
          <w:sz w:val="28"/>
          <w:sz w:val="28"/>
          <w:szCs w:val="28"/>
          <w:rtl w:val="true"/>
          <w:lang w:bidi="ar-SA"/>
        </w:rPr>
        <w:t>إنّما يَكونُ بأن يَنفُذَ أمرُه، و تَنبَسِطَ</w:t>
      </w:r>
      <w:r>
        <w:rPr>
          <w:rStyle w:val="FootnoteAnchor"/>
          <w:rtl w:val="true"/>
        </w:rPr>
        <w:footnoteReference w:id="390"/>
      </w:r>
      <w:r>
        <w:rPr>
          <w:rFonts w:ascii="Amiri" w:hAnsi="Amiri" w:eastAsia="Amiri" w:cs="Amiri"/>
          <w:color w:val="111111"/>
          <w:sz w:val="28"/>
          <w:sz w:val="28"/>
          <w:szCs w:val="28"/>
          <w:rtl w:val="true"/>
          <w:lang w:bidi="ar-SA"/>
        </w:rPr>
        <w:t>يدُه، و يَكونَ ظاهراً مُتصرِّفاً بلا دافِعٍ و لا</w:t>
      </w:r>
      <w:r>
        <w:rPr>
          <w:rStyle w:val="FootnoteAnchor"/>
          <w:rtl w:val="true"/>
        </w:rPr>
        <w:footnoteReference w:id="391"/>
      </w:r>
      <w:r>
        <w:rPr>
          <w:rFonts w:ascii="Amiri" w:hAnsi="Amiri" w:eastAsia="Amiri" w:cs="Amiri"/>
          <w:color w:val="111111"/>
          <w:sz w:val="28"/>
          <w:sz w:val="28"/>
          <w:szCs w:val="28"/>
          <w:rtl w:val="true"/>
          <w:lang w:bidi="ar-SA"/>
        </w:rPr>
        <w:t>مُنازِعٍ، وهذا مِن</w:t>
      </w:r>
      <w:r>
        <w:rPr>
          <w:rStyle w:val="FootnoteAnchor"/>
          <w:rtl w:val="true"/>
        </w:rPr>
        <w:footnoteReference w:id="392"/>
      </w:r>
      <w:r>
        <w:rPr>
          <w:rFonts w:ascii="Amiri" w:hAnsi="Amiri" w:eastAsia="Amiri" w:cs="Amiri"/>
          <w:color w:val="111111"/>
          <w:sz w:val="28"/>
          <w:sz w:val="28"/>
          <w:szCs w:val="28"/>
          <w:rtl w:val="true"/>
          <w:lang w:bidi="ar-SA"/>
        </w:rPr>
        <w:t>المعلومِ أنّ الأعداءَ قد حالوا دونَه، و مَنَعوا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فائدةَ في ظهورِه سِرّاً لبعضِ أوليائه؛ لأنّ النفعَ المُبتَغى مِن تدبيرِ الأئمّةِ عليهم السلام لا يَتِمُّ إلّابالظهورِ للكُلِّ و نُفوذِ الأمرِ، فقَد صارَت العِلّةُ في استتارِ الإمامِ و فَقدِ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هو لُطفٌ و مَصلحةٌ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جوابٌ غيرُ مَرضيٍّ؛ لأنّ الأعداءَ إن كانوا حالوا بَينَه و بَينَ الظهورِ</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وجهِ التصرُّفِ و التدبيرِ، فلَم يَحولوا بَينَه و بَينَ مَن شاءَ‌</w:t>
      </w:r>
      <w:r>
        <w:rPr>
          <w:rStyle w:val="FootnoteAnchor"/>
          <w:rtl w:val="true"/>
        </w:rPr>
        <w:footnoteReference w:id="393"/>
      </w:r>
      <w:r>
        <w:rPr>
          <w:rFonts w:ascii="Amiri" w:hAnsi="Amiri" w:eastAsia="Amiri" w:cs="Amiri"/>
          <w:color w:val="111111"/>
          <w:sz w:val="28"/>
          <w:sz w:val="28"/>
          <w:szCs w:val="28"/>
          <w:rtl w:val="true"/>
          <w:lang w:bidi="ar-SA"/>
        </w:rPr>
        <w:t>مِن أوليائه على جهةِ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يَنتَفِعُ به مَن يَلقاه مِن أوليائه على سَبيلِ الاِختصاصِ، و هو يَعتَقِدُ طاعتَه و فرضَ اتّباعِ أوامرِه، و يُحكِّمُه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يَقَعُ هذا اللقاءُ لأجلِ اختصاصِه، و لأنّ الإمامَ معه</w:t>
      </w:r>
      <w:r>
        <w:rPr>
          <w:rStyle w:val="FootnoteAnchor"/>
          <w:rtl w:val="true"/>
        </w:rPr>
        <w:footnoteReference w:id="394"/>
      </w:r>
      <w:r>
        <w:rPr>
          <w:rFonts w:ascii="Amiri" w:hAnsi="Amiri" w:eastAsia="Amiri" w:cs="Amiri"/>
          <w:color w:val="111111"/>
          <w:sz w:val="28"/>
          <w:sz w:val="28"/>
          <w:szCs w:val="28"/>
          <w:rtl w:val="true"/>
          <w:lang w:bidi="ar-SA"/>
        </w:rPr>
        <w:t>غيرُ نافذِ الأمرِ في الكُلِّ، و لا مُفوَّضٌ إليه تدبيرُ الجميعِ، فهذا تصريحٌ بأنّه لا انتفاعَ للشيعةِ الإماميّةِ‌</w:t>
      </w:r>
      <w:r>
        <w:rPr>
          <w:rStyle w:val="FootnoteAnchor"/>
          <w:rtl w:val="true"/>
        </w:rPr>
        <w:footnoteReference w:id="395"/>
      </w:r>
      <w:r>
        <w:rPr>
          <w:rFonts w:ascii="Amiri" w:hAnsi="Amiri" w:eastAsia="Amiri" w:cs="Amiri"/>
          <w:color w:val="111111"/>
          <w:sz w:val="28"/>
          <w:sz w:val="28"/>
          <w:szCs w:val="28"/>
          <w:rtl w:val="true"/>
          <w:lang w:bidi="ar-SA"/>
        </w:rPr>
        <w:t>بلِقاءِ أئمّتِها مِن لَدُن وفاةِ أميرِ المؤمنينَ عليه السلام إلى أيّامِ الحَسَنِ بنِ عليٍّ أبي القائمِ عليهم السلام؛ للعِلّةِ التي ذُكِرَت، و يوجِبُ‌</w:t>
      </w:r>
      <w:r>
        <w:rPr>
          <w:rStyle w:val="FootnoteAnchor"/>
          <w:rtl w:val="true"/>
        </w:rPr>
        <w:footnoteReference w:id="396"/>
      </w:r>
      <w:r>
        <w:rPr>
          <w:rFonts w:ascii="Amiri" w:hAnsi="Amiri" w:eastAsia="Amiri" w:cs="Amiri"/>
          <w:color w:val="111111"/>
          <w:sz w:val="28"/>
          <w:sz w:val="28"/>
          <w:szCs w:val="28"/>
          <w:rtl w:val="true"/>
          <w:lang w:bidi="ar-SA"/>
        </w:rPr>
        <w:t>أيضاً أنّ أولياءَ أميرِ المؤمنينَ عليه السلام و شيعتَه لَم يَكُن لهم بلِقائه انتفاعٌ قَبلَ انتقالِ الأمرِ إلى تدبيرِه و حصولِه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بلوغٌ مِن قائلِه إلى حَدٍّ لا يَبلُغُه 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397"/>
      </w:r>
      <w:r>
        <w:rPr>
          <w:rFonts w:ascii="Amiri" w:hAnsi="Amiri" w:eastAsia="Amiri" w:cs="Amiri"/>
          <w:color w:val="111111"/>
          <w:sz w:val="28"/>
          <w:sz w:val="28"/>
          <w:szCs w:val="28"/>
          <w:rtl w:val="true"/>
          <w:lang w:bidi="ar-SA"/>
        </w:rPr>
        <w:t>أنّه إذا سَلِمَ لهم</w:t>
      </w:r>
      <w:r>
        <w:rPr>
          <w:rStyle w:val="FootnoteAnchor"/>
          <w:rtl w:val="true"/>
        </w:rPr>
        <w:footnoteReference w:id="398"/>
      </w:r>
      <w:r>
        <w:rPr>
          <w:rFonts w:ascii="Amiri" w:hAnsi="Amiri" w:eastAsia="Amiri" w:cs="Amiri"/>
          <w:color w:val="111111"/>
          <w:sz w:val="28"/>
          <w:sz w:val="28"/>
          <w:szCs w:val="28"/>
          <w:rtl w:val="true"/>
          <w:lang w:bidi="ar-SA"/>
        </w:rPr>
        <w:t xml:space="preserve">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الانتفاعَ بالإمامِ لا يَكونُ إلّامع ظهورِه لجميعِ الرعيّةِ، و نُفوذِ أمرِه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قولُهم مِن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إلى سقوطِ التكليفِ الذي الإمامُ لُطفٌ فيه عن شيعتِه؛ لأنّه</w:t>
      </w:r>
      <w:r>
        <w:rPr>
          <w:rStyle w:val="FootnoteAnchor"/>
          <w:rtl w:val="true"/>
        </w:rPr>
        <w:footnoteReference w:id="399"/>
      </w:r>
      <w:r>
        <w:rPr>
          <w:rFonts w:ascii="Amiri" w:hAnsi="Amiri" w:eastAsia="Amiri" w:cs="Amiri"/>
          <w:color w:val="111111"/>
          <w:sz w:val="28"/>
          <w:sz w:val="28"/>
          <w:szCs w:val="28"/>
          <w:rtl w:val="true"/>
          <w:lang w:bidi="ar-SA"/>
        </w:rPr>
        <w:t>إذا لَم يَظهَرْ لهم لعِلّةٍ لا تَرجِعُ‌</w:t>
      </w:r>
      <w:r>
        <w:rPr>
          <w:rStyle w:val="FootnoteAnchor"/>
          <w:rtl w:val="true"/>
        </w:rPr>
        <w:footnoteReference w:id="400"/>
      </w:r>
      <w:r>
        <w:rPr>
          <w:rFonts w:ascii="Amiri" w:hAnsi="Amiri" w:eastAsia="Amiri" w:cs="Amiri"/>
          <w:color w:val="111111"/>
          <w:sz w:val="28"/>
          <w:sz w:val="28"/>
          <w:szCs w:val="28"/>
          <w:rtl w:val="true"/>
          <w:lang w:bidi="ar-SA"/>
        </w:rPr>
        <w:t>إليهم، و لا كانَ في قُدرتِهم و إمكانِهم إزالةُ ما يَمْنَعُهُم مِن الظهورِ، فلا بُدَّ مِن سقوطِ التكليفِ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يَجرونَ في ذلكَ مَجرى أعدائه؛ لأنّ الأعداءَ و إن لَم يَظهَرْ لهم فسببُ ذلكَ مِن جهتِهم، و في إمكانِهم أن يُزيلوا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ظهورِه فيَظهَرَ، فلَزِمَهم التكليفُ الذي تدبيرُ الإمامُ لُطفٌ فيه، و لَو لَم يَلزَم ذلكَ شيعتَه على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جازَ أن يَمنَعَ قومٌ مِن المُكلَّفينَ غيرَهم مِن لُطفِهم، و يَكونَ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ذلكَ اللطفُ لُطفٌ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عليهم، لَجازَ أن يَمنَعَ بعضُ المُكلَّفينَ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أو 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 على وجهٍ لا يَتمكَّنُ ذلكَ المُقيَّدُ مِن إزالتِه، و يَكونَ المشيُ مع ذلكَ مُستَمِرّاً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لهم أن يُفرِّقوا بَينَ القَيدِ و فَقدِ اللطفِ، مِن حَيثُ كانَ القَيدُ يَتعذَّرُ معه الفعلُ و لا يُتوهَّمُ وقوعُه، و لَيسَ كذلكَ فَقدُ اللطفِ؛ لأنّ المَذهَبَ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نَتَّفِقُ نَحنُ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فَقْدَ اللطفِ يَجري مَجرى فَقدِ القُدرةِ و الآلةِ، و أنّ التكليفَ مع فَقدِ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له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قُبحُه، كالتكليفِ مع فَقدِ القُدرةِ و الآلةِ و وجودِ المانعِ، و أنّ مَن لَم يُفعَلْ به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لُطفٌ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مُتمكِّنٍ مِن الفعلِ، كما أنّ الممنوعَ غيرُ مُتمكِّنٍ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يَجِبُ أن يُجابَ به عن هذا السؤالِ الذي قَدَّمنا ذِكرَه في عِلّةِ الاستتارِ مِن أوليائه، أن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Style w:val="FootnoteAnchor"/>
          <w:rtl w:val="true"/>
        </w:rPr>
        <w:footnoteReference w:id="401"/>
      </w:r>
      <w:r>
        <w:rPr>
          <w:rFonts w:ascii="Amiri" w:hAnsi="Amiri" w:eastAsia="Amiri" w:cs="Amiri"/>
          <w:color w:val="111111"/>
          <w:sz w:val="28"/>
          <w:sz w:val="28"/>
          <w:szCs w:val="28"/>
          <w:rtl w:val="true"/>
          <w:lang w:bidi="ar-SA"/>
        </w:rPr>
        <w:t>قاطعينَ على أنّه لا يَظهَرُ لجميعِ أوليائه؛ فإنّ هذا مُغيَّبٌ عنّا، و لا يَعرِفُ كُلُّ واحدٍ مِنّا إلّاحالَ نفسِه دونَ حالِ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نُجوِّزُ ظُهورَه لهم كما نُجوِّزُ خِلافَه، فلا بُدَّ مِن ذِكرِ العِلّةِ فيما نُجوِّزُه</w:t>
      </w:r>
      <w:r>
        <w:rPr>
          <w:rStyle w:val="FootnoteAnchor"/>
          <w:rtl w:val="true"/>
        </w:rPr>
        <w:footnoteReference w:id="402"/>
      </w:r>
      <w:r>
        <w:rPr>
          <w:rFonts w:ascii="Amiri" w:hAnsi="Amiri" w:eastAsia="Amiri" w:cs="Amiri"/>
          <w:color w:val="111111"/>
          <w:sz w:val="28"/>
          <w:sz w:val="28"/>
          <w:szCs w:val="28"/>
          <w:rtl w:val="true"/>
          <w:lang w:bidi="ar-SA"/>
        </w:rPr>
        <w:t xml:space="preserve">مِن غَيبتِه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ما قيلَ في ذلكَ و أقرَبُه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فيما سَلَفَ أنّ هذا البابَ ممّا لا يَجِبُ العِلمُ به على سَبيلِ التفصيلِ، و أنّ العِلمَ على وجهِ الجُملةِ فيه كافٍ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تَكونَ عِلّةُ الغَيبةِ عن الأولياءِ مُضاهيةً لِعلّةِ الغَيبةِ عن الأعداءِ، في أنّها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تَقتَضي</w:t>
      </w:r>
      <w:r>
        <w:rPr>
          <w:rStyle w:val="FootnoteAnchor"/>
          <w:rtl w:val="true"/>
        </w:rPr>
        <w:footnoteReference w:id="403"/>
      </w:r>
      <w:r>
        <w:rPr>
          <w:rFonts w:ascii="Amiri" w:hAnsi="Amiri" w:eastAsia="Amiri" w:cs="Amiri"/>
          <w:color w:val="111111"/>
          <w:sz w:val="28"/>
          <w:sz w:val="28"/>
          <w:szCs w:val="28"/>
          <w:rtl w:val="true"/>
          <w:lang w:bidi="ar-SA"/>
        </w:rPr>
        <w:t>سقوطَ التكليفِ عنهم، و لا تُلحِقُ‌</w:t>
      </w:r>
      <w:r>
        <w:rPr>
          <w:rStyle w:val="FootnoteAnchor"/>
          <w:rtl w:val="true"/>
        </w:rPr>
        <w:footnoteReference w:id="404"/>
      </w:r>
      <w:r>
        <w:rPr>
          <w:rFonts w:ascii="Amiri" w:hAnsi="Amiri" w:eastAsia="Amiri" w:cs="Amiri"/>
          <w:color w:val="111111"/>
          <w:sz w:val="28"/>
          <w:sz w:val="28"/>
          <w:szCs w:val="28"/>
          <w:rtl w:val="true"/>
          <w:lang w:bidi="ar-SA"/>
        </w:rPr>
        <w:t>اللائمةَ بمُكلِّفِهم تَعالى، و لا بُدَّ مِن أن يَكونوا مُتمكِّنينَ مِن رَفعِها و إزالتِها فيَظهَرَ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صفاتٌ لا بُدَّ مِن أن تَحصُلَ لِما تُعلَّلُ به الغَيبةُ، و إلّاأدّى إلى ما تَقدَّمَ ذِكرُه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هذه الجُملةُ، فأَولى ما عُلِّلَ به التغيُّبُ عن الأولياءِ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العِلمَ بإمامِ الزمانِ على سَبيلِ التعيينِ و التمييزِ لا يَتِمُّ إلّابالمُعجِزِ؛ فإنّ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هذا الإمامِ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تَعيُّنِه، و لا بُدَّ مِن المُعجِزِ الظاهرِ على يدِه حتّى نُصدِّقَه في أنّه ابنُ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بالمُعجِزِ و دَلالتِه علَى الظهورِ طريقُه الاِستدلالُ الذي يَجوزُ أن تَعتَرِضَ فيه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عارَضَته شُبهةٌ في مَن ظَهَرَ على يدِه مُعجِزٌ، فاعتَقَدَ أنّه زُورٌ و مَخرَقةٌ‌</w:t>
      </w:r>
      <w:r>
        <w:rPr>
          <w:rStyle w:val="FootnoteAnchor"/>
          <w:rtl w:val="true"/>
        </w:rPr>
        <w:footnoteReference w:id="405"/>
      </w:r>
      <w:r>
        <w:rPr>
          <w:rFonts w:ascii="Amiri" w:hAnsi="Amiri" w:eastAsia="Amiri" w:cs="Amiri"/>
          <w:color w:val="111111"/>
          <w:sz w:val="28"/>
          <w:sz w:val="28"/>
          <w:szCs w:val="28"/>
          <w:rtl w:val="true"/>
          <w:lang w:bidi="ar-SA"/>
        </w:rPr>
        <w:t>، و أنّ مُظهِرَه كَذّابٌ مُتقوِّلٌ، لَحِقَ بالأعداءِ في الخَوفِ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تقصيرٍ وَقَعَ مِن الوليِّ الذي لَم يَظهَرْ له الإمامُ لأجلِ هذا المعلومِ مِن حالِه؟</w:t>
      </w:r>
    </w:p>
    <w:p>
      <w:pPr>
        <w:pStyle w:val="BookText"/>
        <w:rPr/>
      </w:pPr>
      <w:r>
        <w:rPr>
          <w:rFonts w:ascii="Amiri" w:hAnsi="Amiri" w:eastAsia="Amiri" w:cs="Amiri"/>
          <w:color w:val="111111"/>
          <w:sz w:val="28"/>
          <w:sz w:val="28"/>
          <w:szCs w:val="28"/>
          <w:rtl w:val="true"/>
          <w:lang w:bidi="ar-SA"/>
        </w:rPr>
        <w:t>و أيُّ قُدرةٍ له على فِعلِ ما يَظهَرُ له الإمامُ معه؟</w:t>
      </w:r>
    </w:p>
    <w:p>
      <w:pPr>
        <w:pStyle w:val="BookText"/>
        <w:rPr/>
      </w:pPr>
      <w:r>
        <w:rPr>
          <w:rFonts w:ascii="Amiri" w:hAnsi="Amiri" w:eastAsia="Amiri" w:cs="Amiri"/>
          <w:color w:val="111111"/>
          <w:sz w:val="28"/>
          <w:sz w:val="28"/>
          <w:szCs w:val="28"/>
          <w:rtl w:val="true"/>
          <w:lang w:bidi="ar-SA"/>
        </w:rPr>
        <w:t>و إلى أيِّ شَيءٍ يَفزَعُ في تَلافي سببِ غَيبتِه عنه؟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الغَيبةِ عن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معلومٍ‌</w:t>
      </w:r>
      <w:r>
        <w:rPr>
          <w:rStyle w:val="FootnoteAnchor"/>
          <w:rtl w:val="true"/>
        </w:rPr>
        <w:footnoteReference w:id="406"/>
      </w:r>
      <w:r>
        <w:rPr>
          <w:rFonts w:ascii="Amiri" w:hAnsi="Amiri" w:eastAsia="Amiri" w:cs="Amiri"/>
          <w:color w:val="111111"/>
          <w:sz w:val="28"/>
          <w:sz w:val="28"/>
          <w:szCs w:val="28"/>
          <w:rtl w:val="true"/>
          <w:lang w:bidi="ar-SA"/>
        </w:rPr>
        <w:t>يَظهَرُ مَوضِعُ‌</w:t>
      </w:r>
      <w:r>
        <w:rPr>
          <w:rStyle w:val="FootnoteAnchor"/>
          <w:rtl w:val="true"/>
        </w:rPr>
        <w:footnoteReference w:id="407"/>
      </w:r>
      <w:r>
        <w:rPr>
          <w:rFonts w:ascii="Amiri" w:hAnsi="Amiri" w:eastAsia="Amiri" w:cs="Amiri"/>
          <w:color w:val="111111"/>
          <w:sz w:val="28"/>
          <w:sz w:val="28"/>
          <w:szCs w:val="28"/>
          <w:rtl w:val="true"/>
          <w:lang w:bidi="ar-SA"/>
        </w:rPr>
        <w:t>التقصيرِ فيه و إمكانُ تَلافيهِ؛ لأنّه غيرُ</w:t>
      </w:r>
      <w:r>
        <w:rPr>
          <w:rStyle w:val="FootnoteAnchor"/>
          <w:rtl w:val="true"/>
        </w:rPr>
        <w:footnoteReference w:id="408"/>
      </w:r>
      <w:r>
        <w:rPr>
          <w:rFonts w:ascii="Amiri" w:hAnsi="Amiri" w:eastAsia="Amiri" w:cs="Amiri"/>
          <w:color w:val="111111"/>
          <w:sz w:val="28"/>
          <w:sz w:val="28"/>
          <w:szCs w:val="28"/>
          <w:rtl w:val="true"/>
          <w:lang w:bidi="ar-SA"/>
        </w:rPr>
        <w:t>مُمتَنِعٍ أن يَكونَ مِن المعلومِ مِن حالِه أنّه متى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ظَهَرَ له الإمامُ قَصَّرَ في النظَرِ في مُعجِزِه، و أنّما أُتيَ في ذلكَ لتقصيرِ الناظرِ في العِلمِ بالفَرقِ بَينَ المُعجِزِ و المُمكِنِ و الدليلِ مِن ذلكَ و ما لَيسَ بدليلٍ، و لَو كانَ مِن هذا الأمرِ على قاعدةٍ صحيحةٍ و طريقةٍ مُستَقيمةٍ لَم يَجُز أن يَشتَبِهَ عليه مُعجِزُ الإمامِ عندَ ظُهورِه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تَلافي هذا التقصيرِ و استدراكُه، حتّى يَخرُجَ بذلكَ مِن حَدِّ مَن يَشتَبِهُ عليه المُعجِزُ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تكليفُ‌</w:t>
      </w:r>
      <w:r>
        <w:rPr>
          <w:rStyle w:val="FootnoteAnchor"/>
          <w:rtl w:val="true"/>
        </w:rPr>
        <w:footnoteReference w:id="409"/>
      </w:r>
      <w:r>
        <w:rPr>
          <w:rFonts w:ascii="Amiri" w:hAnsi="Amiri" w:eastAsia="Amiri" w:cs="Amiri"/>
          <w:color w:val="111111"/>
          <w:sz w:val="28"/>
          <w:sz w:val="28"/>
          <w:szCs w:val="28"/>
          <w:rtl w:val="true"/>
          <w:lang w:bidi="ar-SA"/>
        </w:rPr>
        <w:t>ما لا يُطاقُ، و حَوالةٌ على غَيبٍ لا يُدرَكُ؛ لأنّ هذا الوليَّ لَيسَ يَعرِفُ ما قَصَّرَ فيه بعَينِه مِن النظَرِ و الاستدلالِ فيَستَدرِكُه حتّى يَتمهَّدَ في نفسِه و يَتقرَّرَ، و نَراكُم تُلزِمونَه على ما لا يَلزَمُه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يَلزَمُ في التكليفِ قد يَتميَّزُ و يَنفَرِدُ</w:t>
      </w:r>
      <w:r>
        <w:rPr>
          <w:rStyle w:val="FootnoteAnchor"/>
          <w:rtl w:val="true"/>
        </w:rPr>
        <w:footnoteReference w:id="410"/>
      </w:r>
      <w:r>
        <w:rPr>
          <w:rFonts w:ascii="Amiri" w:hAnsi="Amiri" w:eastAsia="Amiri" w:cs="Amiri"/>
          <w:color w:val="111111"/>
          <w:sz w:val="28"/>
          <w:sz w:val="28"/>
          <w:szCs w:val="28"/>
          <w:rtl w:val="true"/>
          <w:lang w:bidi="ar-SA"/>
        </w:rPr>
        <w:t>، و قد يَشتَبِهُ بغَيرِه و يَختَلِطُ، و إن كانَ التمكُّنُ مِن الأمرَينِ حاصلاً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 على هذا إذا حاسَبَ نفسَه و رأى إمامَه لا يَظهَرُ له، و أفسَدَ</w:t>
      </w:r>
      <w:r>
        <w:rPr>
          <w:rStyle w:val="FootnoteAnchor"/>
          <w:rtl w:val="true"/>
        </w:rPr>
        <w:footnoteReference w:id="411"/>
      </w:r>
      <w:r>
        <w:rPr>
          <w:rFonts w:ascii="Amiri" w:hAnsi="Amiri" w:eastAsia="Amiri" w:cs="Amiri"/>
          <w:color w:val="111111"/>
          <w:sz w:val="28"/>
          <w:sz w:val="28"/>
          <w:szCs w:val="28"/>
          <w:rtl w:val="true"/>
          <w:lang w:bidi="ar-SA"/>
        </w:rPr>
        <w:t>أن يَكونَ السببُ في الغَيبةِ ما ذَكرناه مِن الوجوهِ الباطلةِ و أجناسِها، عَلِمَ أنّه لا بُدَّ مِن سببٍ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رأى أنّ أقوَى الأسبابِ ما ذَكرناه، عَلِمَ أنّ تقصيراً واقعاً مِن جهتِه في صفاتِ المُعجِزِ و شُروطِه، فعَلَيه حينئذٍ مُعاوَدةُ النظَرِ في ذلكَ، و تخليصُه مِن الشوائبِ، و تَصفيَتُه ممّا يَقتَضي</w:t>
      </w:r>
      <w:r>
        <w:rPr>
          <w:rStyle w:val="FootnoteAnchor"/>
          <w:rtl w:val="true"/>
        </w:rPr>
        <w:footnoteReference w:id="412"/>
      </w:r>
      <w:r>
        <w:rPr>
          <w:rFonts w:ascii="Amiri" w:hAnsi="Amiri" w:eastAsia="Amiri" w:cs="Amiri"/>
          <w:color w:val="111111"/>
          <w:sz w:val="28"/>
          <w:sz w:val="28"/>
          <w:szCs w:val="28"/>
          <w:rtl w:val="true"/>
          <w:lang w:bidi="ar-SA"/>
        </w:rPr>
        <w:t>الشُّبهةَ و يوجِبُ الالتباسَ؛ فإنّه متَى اجتَهَدَ في ذلكَ حَقَّ الاجتهادِ، و وَفَّى النظَرَ نصيبَه غيرَ مبخوسٍ و لا منقوصٍ، فلا بُدَّ له مِن وقوعِ العِلمِ بالفَرقِ‌</w:t>
      </w:r>
      <w:r>
        <w:rPr>
          <w:rStyle w:val="FootnoteAnchor"/>
          <w:rtl w:val="true"/>
        </w:rPr>
        <w:footnoteReference w:id="413"/>
      </w:r>
      <w:r>
        <w:rPr>
          <w:rFonts w:ascii="Amiri" w:hAnsi="Amiri" w:eastAsia="Amiri" w:cs="Amiri"/>
          <w:color w:val="111111"/>
          <w:sz w:val="28"/>
          <w:sz w:val="28"/>
          <w:szCs w:val="28"/>
          <w:rtl w:val="true"/>
          <w:lang w:bidi="ar-SA"/>
        </w:rPr>
        <w:t>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العِلمُ بذلكَ، فلا بُدَّ مِن زوالِ سببِ الغَيبةِ عن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المَواضِعُ الإنسانُ فيها على نفسِه بَصيرةٌ، و لَيسَ يُمكِنُ أن يؤمَرَ فيها بأكثَرَ مِن التناهي في الاجتهادِ و البحثِ و الفحصِ و الاستسلامِ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للمُخالِفِ لنا في هذه المَسألةِ إلّامِثلُ ما عليه؛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الدليلِ إنّما يوَلِّدُ العِلمَ على صفاتٍ مخصوصةٍ و شُروطٍ كثيرةٍ معلومةٍ، متَى اختَلَّ شَرطٌ منها لَم يَتولَّدِ العِلمُ بالمنظورِ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لهم مُخالِفوهم</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نَظَرنا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يَقَعْ لنا العِلمُ بما تَذكُرونَ أنّكم عالِمونَ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ما نَظَرتم علَى الوجهِ الذي نَظَرْنا فيه</w:t>
      </w:r>
      <w:r>
        <w:rPr>
          <w:rStyle w:val="FootnoteAnchor"/>
          <w:rtl w:val="true"/>
        </w:rPr>
        <w:footnoteReference w:id="415"/>
      </w:r>
      <w:r>
        <w:rPr>
          <w:rFonts w:ascii="Amiri" w:hAnsi="Amiri" w:eastAsia="Amiri" w:cs="Amiri"/>
          <w:color w:val="111111"/>
          <w:sz w:val="28"/>
          <w:sz w:val="28"/>
          <w:szCs w:val="28"/>
          <w:rtl w:val="true"/>
          <w:lang w:bidi="ar-SA"/>
        </w:rPr>
        <w:t>، و لا تَكامَلَت لكم شُروطُ توليدِ النظَرِ العِلمَ؛ لأنّها كثيرةٌ مُختَلِفةٌ 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لهم مُخالِفوهم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تُحيلونَنا في الإخلالِ بشُروطِ</w:t>
      </w:r>
      <w:r>
        <w:rPr>
          <w:rStyle w:val="FootnoteAnchor"/>
          <w:rtl w:val="true"/>
        </w:rPr>
        <w:footnoteReference w:id="416"/>
      </w:r>
      <w:r>
        <w:rPr>
          <w:rFonts w:ascii="Amiri" w:hAnsi="Amiri" w:eastAsia="Amiri" w:cs="Amiri"/>
          <w:color w:val="111111"/>
          <w:sz w:val="28"/>
          <w:sz w:val="28"/>
          <w:szCs w:val="28"/>
          <w:rtl w:val="true"/>
          <w:lang w:bidi="ar-SA"/>
        </w:rPr>
        <w:t>توليدِ النظَرِ إلّاعلى سَرابٍ، و ما تُشيرونَ إلى شرطٍ مُعيَّنٍ أخلَلنا به و قَصَّرنا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لَم تَكونوا عالِمينَ كما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تقصيرٍ وَقَعَ منكم في بعضِ شُروطِ النظَرِ؛ لأنّكم لَو كَمَّلتم الشروطَ و استَوفَيتموها لَعَلِمتم كما عَلِمنا، فالتقصيرُ منكم على سَبيلِ الجُملةِ واقعٌ، و إن لَم يُمكِنّا الإشارةُ إلى ما قَصَّرتم فيه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 هذا مُتمكِّنونَ مِن أن تَستَوفوا شُروطَ النظَرِ و تَستَسلِموا للحَقِّ و تَخلُوَ قُلوبُكم مِن الاِعتقاداتِ و الأسبابِ المانعةِ مِن وقوعِ العِلمِ، و متى فَعَلتم ذلكَ فلا بُدَّ مِن أن تَعلَموا، و الإنسانُ على نفسِه بَصيرةٌ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هذا الجوابُ منهم صحيحاً، فبمِثلِه أجَبناهم</w:t>
      </w:r>
      <w:r>
        <w:rPr>
          <w:rFonts w:eastAsia="Amiri" w:cs="Amiri" w:ascii="Amiri" w:hAnsi="Amiri"/>
          <w:color w:val="111111"/>
          <w:sz w:val="28"/>
          <w:szCs w:val="28"/>
          <w:rtl w:val="true"/>
          <w:lang w:bidi="ar-SA"/>
        </w:rPr>
        <w:t xml:space="preserve">.». </w:t>
      </w:r>
      <w:bookmarkStart w:id="195" w:name="pg7486_97197"/>
    </w:p>
    <w:p>
      <w:pPr>
        <w:pStyle w:val="Heading3"/>
        <w:numPr>
          <w:ilvl w:val="2"/>
          <w:numId w:val="1"/>
        </w:numPr>
        <w:rPr/>
      </w:pPr>
      <w:bookmarkStart w:id="196" w:name="__RefHeading___Toc2226024_1051229030"/>
      <w:bookmarkStart w:id="197" w:name="_Toc72"/>
      <w:bookmarkEnd w:id="195"/>
      <w:bookmarkEnd w:id="196"/>
      <w:r>
        <w:rPr>
          <w:rtl w:val="true"/>
        </w:rPr>
        <w:t>عدمُ الظهورِ لَيسَ دليلاً على كُفرِ المُكلَّفِ و فَسادِه</w:t>
      </w:r>
      <w:bookmarkEnd w:id="19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أن يَكونَ كُلُّ وليٍّ لَم يَظهَرْ له الإمامُ يَقطَعُ على أنّه على كبيرةٍ عظيمةٍ تَلحَقُ‌</w:t>
      </w:r>
      <w:r>
        <w:rPr>
          <w:rStyle w:val="FootnoteAnchor"/>
          <w:rtl w:val="true"/>
        </w:rPr>
        <w:footnoteReference w:id="417"/>
      </w:r>
      <w:r>
        <w:rPr>
          <w:rFonts w:ascii="Amiri" w:hAnsi="Amiri" w:eastAsia="Amiri" w:cs="Amiri"/>
          <w:color w:val="111111"/>
          <w:sz w:val="28"/>
          <w:sz w:val="28"/>
          <w:szCs w:val="28"/>
          <w:rtl w:val="true"/>
          <w:lang w:bidi="ar-SA"/>
        </w:rPr>
        <w:t xml:space="preserve">بالكُفرِ؛ لأنّه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فَرَضتموه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يوجِبُ غَيبةَ الإمامِ عنه، و يَقتَضي تفويتَه ما فيه مَصلَحتُه</w:t>
      </w:r>
      <w:r>
        <w:rPr>
          <w:rStyle w:val="FootnoteAnchor"/>
          <w:rtl w:val="true"/>
        </w:rPr>
        <w:footnoteReference w:id="418"/>
      </w:r>
      <w:r>
        <w:rPr>
          <w:rFonts w:ascii="Amiri" w:hAnsi="Amiri" w:eastAsia="Amiri" w:cs="Amiri"/>
          <w:color w:val="111111"/>
          <w:sz w:val="28"/>
          <w:sz w:val="28"/>
          <w:szCs w:val="28"/>
          <w:rtl w:val="true"/>
          <w:lang w:bidi="ar-SA"/>
        </w:rPr>
        <w:t>، فقَد لَحِقَ الوليُّ على هذا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في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كُفراً و لا ذَنباً عظيماً؛ لأنّه في هذه الحالِ الحاضرةِ ما اعتَقَدَ في الإمامِ أنّه لَيسَ بإمامٍ، و لا أخافَه على نفسِه، و إنّما قَصَّرَ في بعضِ العلومِ تقصيراً، كانَ كالسببِ في أنّه عُلِمَ مِن حالِه أنّ ذلكَ يؤدّي إلى أنّ الشكَّ في الإمامةِ يَقَعُ منه مُستَقبَلاً و الآنَ لَيسَ بواقعٍ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لازمٍ في هذا التقصيرِ أن يَكونَ بمَنزِلةِ ما يُفضي إليه ممّا المعلومُ أنّه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و إن لَم يَلزَمْ أن يَكونَ كُفراً، و لا جارياً مَجرى تكذيبِ الإمامِ و الشكِّ في صِدقِه، فهو ذَنبٌ و خَطأٌ، لا</w:t>
      </w:r>
      <w:r>
        <w:rPr>
          <w:rStyle w:val="FootnoteAnchor"/>
          <w:rtl w:val="true"/>
        </w:rPr>
        <w:footnoteReference w:id="419"/>
      </w:r>
      <w:r>
        <w:rPr>
          <w:rFonts w:ascii="Amiri" w:hAnsi="Amiri" w:eastAsia="Amiri" w:cs="Amiri"/>
          <w:color w:val="111111"/>
          <w:sz w:val="28"/>
          <w:sz w:val="28"/>
          <w:szCs w:val="28"/>
          <w:rtl w:val="true"/>
          <w:lang w:bidi="ar-SA"/>
        </w:rPr>
        <w:t>يُنافيانِ الإيمانَ و استحقاقَ الثوابِ، و أن</w:t>
      </w:r>
      <w:r>
        <w:rPr>
          <w:rStyle w:val="FootnoteAnchor"/>
          <w:rtl w:val="true"/>
        </w:rPr>
        <w:footnoteReference w:id="420"/>
      </w:r>
      <w:r>
        <w:rPr>
          <w:rFonts w:ascii="Amiri" w:hAnsi="Amiri" w:eastAsia="Amiri" w:cs="Amiri"/>
          <w:color w:val="111111"/>
          <w:sz w:val="28"/>
          <w:sz w:val="28"/>
          <w:szCs w:val="28"/>
          <w:rtl w:val="true"/>
          <w:lang w:bidi="ar-SA"/>
        </w:rPr>
        <w:t>يَلحَقَ الوَليُّ بالعَدُوِّ على هذا التقديرِ؛ لأنّ العَدُوَّ في الحالِ مُعتَقِدٌ في الإمامةِ ما هو كُفرٌ و كَبيرةٌ، و الوليَّ بخِلافِ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يُبيِّنُ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هو كالسببِ في الكُفرِ لا يَلزَمُ أن يَكونَ في الحالِ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مُعتَقِدٌ في القادرِ مِنّا بقُدرةٍ أنّه يَصِحُّ أن يَفعَلَ في غيرِه مِن الأجسامِ مِن غيرِ مُماسّةٍ، فهذا خطأٌ و جهلٌ لَيسَ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يَمتَنِعُ أن يَكونَ </w:t>
      </w:r>
    </w:p>
    <w:p>
      <w:pPr>
        <w:pStyle w:val="BookText"/>
        <w:rPr/>
      </w:pPr>
      <w:r>
        <w:rPr>
          <w:rFonts w:ascii="Amiri" w:hAnsi="Amiri" w:eastAsia="Amiri" w:cs="Amiri"/>
          <w:color w:val="111111"/>
          <w:sz w:val="28"/>
          <w:sz w:val="28"/>
          <w:szCs w:val="28"/>
          <w:rtl w:val="true"/>
          <w:lang w:bidi="ar-SA"/>
        </w:rPr>
        <w:t>المعلومُ مِن حالِ المُعتَقِدِ أنّه لَو ظَهَرَ نبيٌّ يَدعو إلى نُبوّتِه، و جَعَلَ مُعجِزَه أن يَفعَلَ اللّهُ على يَدَيه فِعلاً بحَيثُ لا تَصِلُ‌</w:t>
      </w:r>
      <w:r>
        <w:rPr>
          <w:rStyle w:val="FootnoteAnchor"/>
          <w:rtl w:val="true"/>
        </w:rPr>
        <w:footnoteReference w:id="421"/>
      </w:r>
      <w:r>
        <w:rPr>
          <w:rFonts w:ascii="Amiri" w:hAnsi="Amiri" w:eastAsia="Amiri" w:cs="Amiri"/>
          <w:color w:val="111111"/>
          <w:sz w:val="28"/>
          <w:sz w:val="28"/>
          <w:szCs w:val="28"/>
          <w:rtl w:val="true"/>
          <w:lang w:bidi="ar-SA"/>
        </w:rPr>
        <w:t xml:space="preserve">إليه أسبابُ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مَحالةَ عَلَمٌ مُعجِزٌ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يُكذِّبُه، فلا يؤمِنُ به، و يَجوزُ أن يُقدَّرَ أنّه كانَ يَقتُلُه، و ما سَبَقَ مِن اعتقادِه في مقدورِ القادرِ كالسببِ في هذا، و لَم يَلزَمْ أن يَجريَ مَجراه في الكِبَرِ 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مِن الكلامِ في الغَيبةِ يُطَّلَعُ بها على أُصولِها و فُروعِها، و لا يَبقى</w:t>
      </w:r>
    </w:p>
    <w:p>
      <w:pPr>
        <w:pStyle w:val="BookText"/>
        <w:rPr/>
      </w:pPr>
      <w:r>
        <w:rPr>
          <w:rFonts w:ascii="Amiri" w:hAnsi="Amiri" w:eastAsia="Amiri" w:cs="Amiri"/>
          <w:color w:val="111111"/>
          <w:sz w:val="28"/>
          <w:sz w:val="28"/>
          <w:szCs w:val="28"/>
          <w:rtl w:val="true"/>
          <w:lang w:bidi="ar-SA"/>
        </w:rPr>
        <w:t>بَعدَها إلّاما هو كالمُستَغنى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w:t>
      </w:r>
      <w:r>
        <w:rPr>
          <w:rStyle w:val="FootnoteAnchor"/>
          <w:rtl w:val="true"/>
        </w:rPr>
        <w:footnoteReference w:id="422"/>
      </w:r>
      <w:r>
        <w:rPr>
          <w:rFonts w:ascii="Amiri" w:hAnsi="Amiri" w:eastAsia="Amiri" w:cs="Amiri"/>
          <w:color w:val="111111"/>
          <w:sz w:val="28"/>
          <w:sz w:val="28"/>
          <w:szCs w:val="28"/>
          <w:rtl w:val="true"/>
          <w:lang w:bidi="ar-SA"/>
        </w:rPr>
        <w:t>نَستَمِدُّ المَعونةَ و حُسنَ التوفيقِ لِما وافَقَ الحَقَّ و طابَقَه و خالَفَ الباطلَ و جانَبَه، و هو</w:t>
      </w:r>
      <w:r>
        <w:rPr>
          <w:rStyle w:val="FootnoteAnchor"/>
          <w:rtl w:val="true"/>
        </w:rPr>
        <w:footnoteReference w:id="423"/>
      </w:r>
      <w:r>
        <w:rPr>
          <w:rFonts w:ascii="Amiri" w:hAnsi="Amiri" w:eastAsia="Amiri" w:cs="Amiri"/>
          <w:color w:val="111111"/>
          <w:sz w:val="28"/>
          <w:sz w:val="28"/>
          <w:szCs w:val="28"/>
          <w:rtl w:val="true"/>
          <w:lang w:bidi="ar-SA"/>
        </w:rPr>
        <w:t>السميعُ المُجيبُ بلُطفِه و رحمتِه، و حَسبُنا اللّهُ و نِعمَ الوكيلُ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المُقنِعِ، و الحمدُ لِلّهِ أوّلاً و آخِراً و ظاهراً و باطناً</w:t>
      </w:r>
      <w:r>
        <w:rPr>
          <w:rFonts w:eastAsia="Amiri" w:cs="Amiri" w:ascii="Amiri" w:hAnsi="Amiri"/>
          <w:color w:val="111111"/>
          <w:sz w:val="28"/>
          <w:szCs w:val="28"/>
          <w:rtl w:val="true"/>
          <w:lang w:bidi="ar-SA"/>
        </w:rPr>
        <w:t xml:space="preserve">.». </w:t>
      </w:r>
      <w:bookmarkStart w:id="198" w:name="pg7486_97199"/>
    </w:p>
    <w:p>
      <w:pPr>
        <w:pStyle w:val="Heading2"/>
        <w:numPr>
          <w:ilvl w:val="1"/>
          <w:numId w:val="1"/>
        </w:numPr>
        <w:rPr/>
      </w:pPr>
      <w:bookmarkStart w:id="199" w:name="__RefHeading___Toc2226026_1051229030"/>
      <w:bookmarkStart w:id="200" w:name="_Toc73"/>
      <w:bookmarkEnd w:id="198"/>
      <w:bookmarkEnd w:id="199"/>
      <w:r>
        <w:rPr>
          <w:rtl w:val="true"/>
        </w:rPr>
        <w:t xml:space="preserve">الزيادةُ المُكمَّلُ بِها كتابُ </w:t>
      </w:r>
      <w:r>
        <w:rPr>
          <w:rtl w:val="true"/>
        </w:rPr>
        <w:t>«</w:t>
      </w:r>
      <w:r>
        <w:rPr>
          <w:rtl w:val="true"/>
        </w:rPr>
        <w:t>المُقنِعِ</w:t>
      </w:r>
      <w:r>
        <w:rPr>
          <w:rtl w:val="true"/>
        </w:rPr>
        <w:t>»</w:t>
      </w:r>
      <w:bookmarkEnd w:id="20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2226028_1051229030"/>
      <w:bookmarkStart w:id="202" w:name="_Toc74"/>
      <w:bookmarkEnd w:id="201"/>
      <w:r>
        <w:rPr>
          <w:rtl w:val="true"/>
        </w:rPr>
        <w:t>اشارة</w:t>
      </w:r>
      <w:bookmarkEnd w:id="2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7486_97201"/>
      <w:bookmarkStart w:id="204" w:name="pg7486_97201"/>
      <w:bookmarkEnd w:id="204"/>
    </w:p>
    <w:p>
      <w:pPr>
        <w:pStyle w:val="BookText"/>
        <w:rPr/>
      </w:pPr>
      <w:bookmarkStart w:id="205" w:name="pg7486_97201"/>
      <w:bookmarkEnd w:id="205"/>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عَلَمُ الهُدى‌</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رَضيَ عنه، و أرضاه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في كتابِنا الشافي في الإمامةِ ثُمَّ في كتابِنا المُقنِعِ في الغَيبة السببَ في استتارِ إمامِ الزمانِ عليه السلام عن أعدائه و أوليائه، و خالَفْنا بَينَ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عدمَ الانتفاعِ مِن الجميعِ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يَرجِعُ إليهم، لا إليه، و استَقصَينا ذلكَ، و بَلَغْنا فيه أبعَدَ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استأنَفنا في المُقنِعِ طريقةً غريبةً لَم نُسبَقْ إليها، و دَلَّلنا على أنّه لا يَجِبُ علينا بيانُ السببِ في غَيبتِه علَى التعيينِ؛ بَل يَكفي في العِلمِ بحُسنِ الغَيبةِ منه عِلمُنا بعِصمتِه، و أنّه ممّن لا يَفعَلُ قَبيحاً، و لا يَترُكُ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لذلكَ الأمثالَ في الأُصولِ، و أنّ مِثلَ ذلكَ مُستَعمَلٌ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خَطَرَ ببالِنا الآنَ ما لا بُدَّ مِن ذِكرِه ليُعرَفَ، فهو قَويٌّ سَليمٌ مِن الشُّبَهِ و المَطاعِنِ</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226030_1051229030"/>
      <w:bookmarkStart w:id="207" w:name="_Toc75"/>
      <w:bookmarkEnd w:id="206"/>
      <w:r>
        <w:rPr>
          <w:rtl w:val="true"/>
        </w:rPr>
        <w:t>استلهامُ الأولياءِ مِن وجودِ الإمامِ و لَو في الغَيبةِ‌</w:t>
      </w:r>
      <w:bookmarkEnd w:id="2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أولياءَ إمامِ الزمانِ عليه السلام و شيعتَه و مُعتَقِدي إمامتِه يَنتَفِعونَ به في حالِ غَيبتِه النفعَ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425"/>
      </w:r>
      <w:r>
        <w:rPr>
          <w:rFonts w:ascii="Amiri" w:hAnsi="Amiri" w:eastAsia="Amiri" w:cs="Amiri"/>
          <w:color w:val="111111"/>
          <w:sz w:val="28"/>
          <w:sz w:val="28"/>
          <w:szCs w:val="28"/>
          <w:rtl w:val="true"/>
          <w:lang w:bidi="ar-SA"/>
        </w:rPr>
        <w:t xml:space="preserve">لا بُدَّ في التكليفِ منه؛ لأنّهم مع عِلمِهم </w:t>
      </w:r>
      <w:bookmarkStart w:id="208" w:name="pg7486_97202"/>
    </w:p>
    <w:p>
      <w:pPr>
        <w:pStyle w:val="BookText"/>
        <w:rPr/>
      </w:pPr>
      <w:bookmarkEnd w:id="208"/>
      <w:r>
        <w:rPr>
          <w:rFonts w:ascii="Amiri" w:hAnsi="Amiri" w:eastAsia="Amiri" w:cs="Amiri"/>
          <w:color w:val="111111"/>
          <w:sz w:val="28"/>
          <w:sz w:val="28"/>
          <w:szCs w:val="28"/>
          <w:rtl w:val="true"/>
          <w:lang w:bidi="ar-SA"/>
        </w:rPr>
        <w:t>بوجودِه بَينَهم و قَطعِهم على وجوبِ طاعتِه عليهم و لُزومِها لهم لا بُدَّ مِن أن يَهابوه و يَخافوه في ارتكابِ القَبائحِ، و يَخشَوا تأديبَه و انتقامَه و مؤاخَذتَه و سَطوَتَه، فيَكثُرَ منهم فِعلُ الواجبِ، و يَقِلَّ ارتكابُ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أقرَبَ و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w:t>
      </w:r>
      <w:r>
        <w:rPr>
          <w:rStyle w:val="FootnoteAnchor"/>
          <w:rtl w:val="true"/>
        </w:rPr>
        <w:footnoteReference w:id="426"/>
      </w:r>
      <w:r>
        <w:rPr>
          <w:rFonts w:ascii="Amiri" w:hAnsi="Amiri" w:eastAsia="Amiri" w:cs="Amiri"/>
          <w:color w:val="111111"/>
          <w:sz w:val="28"/>
          <w:sz w:val="28"/>
          <w:szCs w:val="28"/>
          <w:rtl w:val="true"/>
          <w:lang w:bidi="ar-SA"/>
        </w:rPr>
        <w:t>جهةُ الحاجةِ العقليّةِ إلَى الإمامِ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226032_1051229030"/>
      <w:bookmarkStart w:id="210" w:name="_Toc76"/>
      <w:bookmarkEnd w:id="209"/>
      <w:r>
        <w:rPr>
          <w:rtl w:val="true"/>
        </w:rPr>
        <w:t>هَل الغَيبةُ تَمنَعُ الإمامَ مِن التأثيرِ و العملِ؟</w:t>
      </w:r>
      <w:bookmarkEnd w:id="210"/>
    </w:p>
    <w:p>
      <w:pPr>
        <w:pStyle w:val="BookText"/>
        <w:rPr/>
      </w:pPr>
      <w:r>
        <w:rPr>
          <w:rFonts w:ascii="Amiri" w:hAnsi="Amiri" w:eastAsia="Amiri" w:cs="Amiri"/>
          <w:color w:val="111111"/>
          <w:sz w:val="28"/>
          <w:sz w:val="28"/>
          <w:szCs w:val="28"/>
          <w:rtl w:val="true"/>
          <w:lang w:bidi="ar-SA"/>
        </w:rPr>
        <w:t>و كأنّي بمَن سَمِعَ هذا مِن المُخالِفينَ رُبَّما 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سُطوَةٍ لِغائبٍ مُستَتِرٍ خائفٍ 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انتقامٍ يُخشى ممّن لا يَدٌ له باسطةٌ، و لا أمرٌ نافذٌ، و لا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يُرهَبُ مَن</w:t>
      </w:r>
      <w:r>
        <w:rPr>
          <w:rStyle w:val="FootnoteAnchor"/>
          <w:rtl w:val="true"/>
        </w:rPr>
        <w:footnoteReference w:id="427"/>
      </w:r>
      <w:r>
        <w:rPr>
          <w:rFonts w:ascii="Amiri" w:hAnsi="Amiri" w:eastAsia="Amiri" w:cs="Amiri"/>
          <w:color w:val="111111"/>
          <w:sz w:val="28"/>
          <w:sz w:val="28"/>
          <w:szCs w:val="28"/>
          <w:rtl w:val="true"/>
          <w:lang w:bidi="ar-SA"/>
        </w:rPr>
        <w:t>لا يُعرَفُ و لا يُميَّزُ و لا يُدرى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التعَجُّبَ بغَيرِ حُجّةٍ تَظهَرُ و بيِّنةٌ تُذكَرُ هو الذي يَجِبُ العَجَبُ منه، و قد عَلِمنا أنّ أولياءَ الإمامِ، و إن لَم يَعرِفوا شَخصَه و يُميِّزوه بعَينِه، فإنّهم يُحقِّقونَ وجودَه، و يَتيقَّنونَ‌</w:t>
      </w:r>
      <w:r>
        <w:rPr>
          <w:rStyle w:val="FootnoteAnchor"/>
          <w:rtl w:val="true"/>
        </w:rPr>
        <w:footnoteReference w:id="428"/>
      </w:r>
      <w:r>
        <w:rPr>
          <w:rFonts w:ascii="Amiri" w:hAnsi="Amiri" w:eastAsia="Amiri" w:cs="Amiri"/>
          <w:color w:val="111111"/>
          <w:sz w:val="28"/>
          <w:sz w:val="28"/>
          <w:szCs w:val="28"/>
          <w:rtl w:val="true"/>
          <w:lang w:bidi="ar-SA"/>
        </w:rPr>
        <w:t>أنّه معهم بَينَهم، ولا يَشُكّونَ في ذلكَ، و لا يَرتابونَ به؛ لأنّهم إن لَم يَكونوا على هذه الصفةِ لَحِقوا بالأعداءِ، و خَرَجوا عن مَنزِلةِ الأولياءِ، و ما فيهم إلّا مَن يَعتَقِدُ أنّ الإمامَ بحَيثُ لا تَخفى عليه أخبارُه، و لا تَغيبُ عنه سَرائرُه فَضلاً عن ظواهرِه، و أنّه يَجوزُ أن يَعرِفَ ما يَقَعُ منهم مِن قَبيحٍ و حَسَنٍ، فلا يأمَنونَ أن يُقدِموا علَى القَبائحِ، فيؤدِّبَهم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الذي يَمتَنِعُ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w:t>
      </w:r>
      <w:r>
        <w:rPr>
          <w:rStyle w:val="FootnoteAnchor"/>
          <w:rtl w:val="true"/>
        </w:rPr>
        <w:footnoteReference w:id="429"/>
      </w:r>
      <w:r>
        <w:rPr>
          <w:rFonts w:ascii="Amiri" w:hAnsi="Amiri" w:eastAsia="Amiri" w:cs="Amiri"/>
          <w:color w:val="111111"/>
          <w:sz w:val="28"/>
          <w:sz w:val="28"/>
          <w:szCs w:val="28"/>
          <w:rtl w:val="true"/>
          <w:lang w:bidi="ar-SA"/>
        </w:rPr>
        <w:t xml:space="preserve">له الإمامُ، و أظهَرَ له مُعجِزةً يَعلَمُ بها أنّه إمامُ </w:t>
      </w:r>
      <w:bookmarkStart w:id="211" w:name="pg7486_97203"/>
    </w:p>
    <w:p>
      <w:pPr>
        <w:pStyle w:val="BookText"/>
        <w:rPr/>
      </w:pPr>
      <w:bookmarkEnd w:id="211"/>
      <w:r>
        <w:rPr>
          <w:rFonts w:ascii="Amiri" w:hAnsi="Amiri" w:eastAsia="Amiri" w:cs="Amiri"/>
          <w:color w:val="111111"/>
          <w:sz w:val="28"/>
          <w:sz w:val="28"/>
          <w:szCs w:val="28"/>
          <w:rtl w:val="true"/>
          <w:lang w:bidi="ar-SA"/>
        </w:rPr>
        <w:t xml:space="preserve">الزمانِ، و أرادَ تقويمَه و تأديبَه وإقامةَ 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ذلكَ مِن نفسِه، و يَستَسلِمَ‌</w:t>
      </w:r>
      <w:r>
        <w:rPr>
          <w:rStyle w:val="FootnoteAnchor"/>
          <w:rtl w:val="true"/>
        </w:rPr>
        <w:footnoteReference w:id="430"/>
      </w:r>
      <w:r>
        <w:rPr>
          <w:rFonts w:ascii="Amiri" w:hAnsi="Amiri" w:eastAsia="Amiri" w:cs="Amiri"/>
          <w:color w:val="111111"/>
          <w:sz w:val="28"/>
          <w:sz w:val="28"/>
          <w:szCs w:val="28"/>
          <w:rtl w:val="true"/>
          <w:lang w:bidi="ar-SA"/>
        </w:rPr>
        <w:t>لِما يَفعَلُه إمامُه به، و هو يَعتَقِدُ إمامتَه و فرضَ طاعتِه؟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226034_1051229030"/>
      <w:bookmarkStart w:id="213" w:name="_Toc77"/>
      <w:bookmarkEnd w:id="212"/>
      <w:r>
        <w:rPr>
          <w:rtl w:val="true"/>
        </w:rPr>
        <w:t>لا فَرقَ في الاِستلهامِ مِن وجودِ الأئمّةِ بَينَ الغَيبةِ و الظهورِ</w:t>
      </w:r>
      <w:bookmarkEnd w:id="213"/>
    </w:p>
    <w:p>
      <w:pPr>
        <w:pStyle w:val="BookText"/>
        <w:rPr/>
      </w:pPr>
      <w:r>
        <w:rPr>
          <w:rFonts w:ascii="Amiri" w:hAnsi="Amiri" w:eastAsia="Amiri" w:cs="Amiri"/>
          <w:color w:val="111111"/>
          <w:sz w:val="28"/>
          <w:sz w:val="28"/>
          <w:szCs w:val="28"/>
          <w:rtl w:val="true"/>
          <w:lang w:bidi="ar-SA"/>
        </w:rPr>
        <w:t>و هَل حالُه مع شيعتِه غائباً إلّاكحالِه ظاهراً فيما ذَكرناه خاصّةً و في وجوبِ طاعتِه و التحرُّزِ مِن معصيتِه و التزامِ مُراقَبتِه و تَجنُّبِ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الحَذَرُ من السَّطوةِ و الإشفاقُ مِن النِّقمةِ بمَوقوفَينِ على مَعرفةِ العَينِ و تمييزِ الشخصِ و القَطعِ على مكانِه بعَينِه؛ فإنّ كَثيراً مِن رعيّةِ الإمامِ الظاهرِ لا يَعرِفونَ عَينَه، و لا يُميِّزونَ شَخصَه، و في</w:t>
      </w:r>
      <w:r>
        <w:rPr>
          <w:rStyle w:val="FootnoteAnchor"/>
          <w:rtl w:val="true"/>
        </w:rPr>
        <w:footnoteReference w:id="431"/>
      </w:r>
      <w:r>
        <w:rPr>
          <w:rFonts w:ascii="Amiri" w:hAnsi="Amiri" w:eastAsia="Amiri" w:cs="Amiri"/>
          <w:color w:val="111111"/>
          <w:sz w:val="28"/>
          <w:sz w:val="28"/>
          <w:szCs w:val="28"/>
          <w:rtl w:val="true"/>
          <w:lang w:bidi="ar-SA"/>
        </w:rPr>
        <w:t>كَثيرٍ مِن الأحوالِ لا يَعرِفونَ مكانَ حُلولِه، و هُم خائفونَ متى فَعَلوا قَبيحاً أن يؤدِّبَهم و يُقوِّمَهم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يَنتَفِعونَ بهذه الرَّهبةِ حتّى يَكُفّوا عن كَثيرٍ مِن القَبائحِ، أو يَكونوا أقرَبَ إلَى الاِنكفافِ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أوضَحناه، فقَد سَقَطَ عنّا السؤالُ المُتضمِّنُ لأنّ الإمام إذا لَم يَظهَرْ لأعدائه لِخَوفِه منهم و ارتيابِه بهم فألا ظَهَرَ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إلّافكَيفَ حُرِمَ الأولياءُ مَنفَعتَهم و مَصلَحتَهم بشَيءٍ جَرَّه الأعداءُ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شَيءٌ يُنافي العَدلَ مع استمرارِ تكليفِ شيعتِه ما الإمامُ لُطفٌ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قد بيّنّا أنّهم بإمامِهم عليه السلام مع الغَيبةِ مُنتَفِعونَ، و أنّ الغَيبةَ لا تُنافي الاِنتفاعَ الذي تَمَسُّ الحاجةُ إليه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أنّه لَيسَ مِن شَرطِ الاِنتفاعِ الظهورُ و البُروزُ، و بَرِئنا مِن عُهدَة هذا السؤالِ القَويِّ الذي يَعتَقِدُ مُخالِفونا أنّه لا جوابَ عنه و لا مَحيصَ منه</w:t>
      </w:r>
      <w:r>
        <w:rPr>
          <w:rFonts w:eastAsia="Amiri" w:cs="Amiri" w:ascii="Amiri" w:hAnsi="Amiri"/>
          <w:color w:val="111111"/>
          <w:sz w:val="28"/>
          <w:szCs w:val="28"/>
          <w:rtl w:val="true"/>
          <w:lang w:bidi="ar-SA"/>
        </w:rPr>
        <w:t xml:space="preserve">. </w:t>
      </w:r>
      <w:bookmarkStart w:id="214" w:name="pg7486_97204"/>
    </w:p>
    <w:p>
      <w:pPr>
        <w:pStyle w:val="Heading3"/>
        <w:numPr>
          <w:ilvl w:val="2"/>
          <w:numId w:val="1"/>
        </w:numPr>
        <w:rPr/>
      </w:pPr>
      <w:bookmarkStart w:id="215" w:name="__RefHeading___Toc2226036_1051229030"/>
      <w:bookmarkStart w:id="216" w:name="_Toc78"/>
      <w:bookmarkEnd w:id="214"/>
      <w:bookmarkEnd w:id="215"/>
      <w:r>
        <w:rPr>
          <w:rtl w:val="true"/>
        </w:rPr>
        <w:t>الظهورُ للأولياءِ لَيسَ بواجبٍ‌</w:t>
      </w:r>
      <w:bookmarkEnd w:id="216"/>
    </w:p>
    <w:p>
      <w:pPr>
        <w:pStyle w:val="BookText"/>
        <w:rPr/>
      </w:pPr>
      <w:r>
        <w:rPr>
          <w:rFonts w:ascii="Amiri" w:hAnsi="Amiri" w:eastAsia="Amiri" w:cs="Amiri"/>
          <w:color w:val="111111"/>
          <w:sz w:val="28"/>
          <w:sz w:val="28"/>
          <w:szCs w:val="28"/>
          <w:rtl w:val="true"/>
          <w:lang w:bidi="ar-SA"/>
        </w:rPr>
        <w:t>و مع هذا، فما نَمنَعَ‌</w:t>
      </w:r>
      <w:r>
        <w:rPr>
          <w:rStyle w:val="FootnoteAnchor"/>
          <w:rtl w:val="true"/>
        </w:rPr>
        <w:footnoteReference w:id="432"/>
      </w:r>
      <w:r>
        <w:rPr>
          <w:rFonts w:ascii="Amiri" w:hAnsi="Amiri" w:eastAsia="Amiri" w:cs="Amiri"/>
          <w:color w:val="111111"/>
          <w:sz w:val="28"/>
          <w:sz w:val="28"/>
          <w:szCs w:val="28"/>
          <w:rtl w:val="true"/>
          <w:lang w:bidi="ar-SA"/>
        </w:rPr>
        <w:t>مِن ظُهورِه عليه السلام لبعضِهم؛ إمّا لتقويمٍ، أو تأديبٍ، أو وعظٍ و تنبيهٍ و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ذلكَ كُلَّه غيرُ واجبٍ، فيُطلَبَ في فَوتِه العِلَلُ، و تُتمحَّلَ‌</w:t>
      </w:r>
      <w:r>
        <w:rPr>
          <w:rStyle w:val="FootnoteAnchor"/>
          <w:rtl w:val="true"/>
        </w:rPr>
        <w:footnoteReference w:id="433"/>
      </w:r>
      <w:r>
        <w:rPr>
          <w:rFonts w:ascii="Amiri" w:hAnsi="Amiri" w:eastAsia="Amiri" w:cs="Amiri"/>
          <w:color w:val="111111"/>
          <w:sz w:val="28"/>
          <w:sz w:val="28"/>
          <w:szCs w:val="28"/>
          <w:rtl w:val="true"/>
          <w:lang w:bidi="ar-SA"/>
        </w:rPr>
        <w:t>له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يَصعُبُ الكلامُ و يَشتَبِهُ إذا كانَ ظُهورُه للوَليِّ واجباً؛ مِن حَيثُ لا يَنتَفِعُ أو يَرتَدِعُ إلّامع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على خِلافِ ذلكَ سَقَطَ وجوبُ الظهورِ للوَليِّ؛ لِما دَلَّلنا عليه مِن حصولِ الاِنتفاعِ و الاِرتداعِ مِن دونِه، فلَم تَبقَ شُبهةٌ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226038_1051229030"/>
      <w:bookmarkStart w:id="218" w:name="_Toc79"/>
      <w:bookmarkEnd w:id="217"/>
      <w:r>
        <w:rPr>
          <w:rtl w:val="true"/>
        </w:rPr>
        <w:t>طُرُقُ عِلمِ الإمامِ حالَ الغَيبةِ بما يَجري</w:t>
      </w:r>
      <w:bookmarkEnd w:id="21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يَعلَمُ الإمامُ في حالِ الغَيبةِ و الاستتارِ بوقوعِ القَبائحِ مِن شيعتِه حتّى يَخافوا تأديبَه عليها، و هو في حالِ الغَيبةِ ممّن لا يُقِرُّ عندَه مُقِرٌّ، و لا يَشهَدُ لَدَيه شاهدٌ، و هَل هذا إلّاتعليلٌ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المُتعلِّلُ‌</w:t>
      </w:r>
      <w:r>
        <w:rPr>
          <w:rStyle w:val="FootnoteAnchor"/>
          <w:rtl w:val="true"/>
        </w:rPr>
        <w:footnoteReference w:id="434"/>
      </w:r>
      <w:r>
        <w:rPr>
          <w:rFonts w:ascii="Amiri" w:hAnsi="Amiri" w:eastAsia="Amiri" w:cs="Amiri"/>
          <w:color w:val="111111"/>
          <w:sz w:val="28"/>
          <w:sz w:val="28"/>
          <w:szCs w:val="28"/>
          <w:rtl w:val="true"/>
          <w:lang w:bidi="ar-SA"/>
        </w:rPr>
        <w:t>بالباطِلِ إلّامَن لا يُنصِفُ مِن نفسِه، و لا يَلحَظُ ما عليه كما يَلحَظُ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مَعرِفةُ الإمامِ بوقوعِ القَبائحِ مِن بعضِ أوليائه فقَد يَكونُ مِن كُلِّ الوجوهِ التي يُعلَمُ منها وقوعُ ذلكَ منهم، و هو ظاهرٌ نافذُ الأمرِ باسطُ اليَدِ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يَجوزُ أن يُشاهِدَ ذلكَ فيَعرِفَه بنفسِه، و حالُ الظهورِ في هذا الوجهِ كحالِ الغَيبةِ، بَل حالُ الغَيبةِ فيه أقوى؛ لأنّ الإمامَ إذا لم تُعرَفْ عَينُه و يُميَّزْ شَخصهُ، كانَ التحَرُّزُ مِن مُشاهَدتِه لنا على بعضِ القَبيحِ أضيَقَ و أبعَدَ، و مع المَعرِفةِ له بعَينِه </w:t>
      </w:r>
    </w:p>
    <w:p>
      <w:pPr>
        <w:pStyle w:val="BookText"/>
        <w:rPr/>
      </w:pPr>
      <w:r>
        <w:rPr>
          <w:rFonts w:ascii="Amiri" w:hAnsi="Amiri" w:eastAsia="Amiri" w:cs="Amiri"/>
          <w:color w:val="111111"/>
          <w:sz w:val="28"/>
          <w:sz w:val="28"/>
          <w:szCs w:val="28"/>
          <w:rtl w:val="true"/>
          <w:lang w:bidi="ar-SA"/>
        </w:rPr>
        <w:t>يَكونُ التحَرُّزُ أوسَعَ و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لكُلِّ عاقلٍ الفَرقُ بَينَ الأمرَينِ؛ لأنّا إذا لَم نَعرِفْه جَوَّزنا في كُلِّ مَن</w:t>
      </w:r>
      <w:r>
        <w:rPr>
          <w:rStyle w:val="FootnoteAnchor"/>
          <w:rtl w:val="true"/>
        </w:rPr>
        <w:footnoteReference w:id="435"/>
      </w:r>
      <w:r>
        <w:rPr>
          <w:rFonts w:ascii="Amiri" w:hAnsi="Amiri" w:eastAsia="Amiri" w:cs="Amiri"/>
          <w:color w:val="111111"/>
          <w:sz w:val="28"/>
          <w:sz w:val="28"/>
          <w:szCs w:val="28"/>
          <w:rtl w:val="true"/>
          <w:lang w:bidi="ar-SA"/>
        </w:rPr>
        <w:t>نَراه و لا نَعرِفُ نَسَبَه أنّه هو، حتّى أنّا لا نأمَنُ أن يَكونَ بعضَ جيرانِنا أو أضيافِنا أو الداخلينَ‌</w:t>
      </w:r>
      <w:r>
        <w:rPr>
          <w:rStyle w:val="FootnoteAnchor"/>
          <w:rtl w:val="true"/>
        </w:rPr>
        <w:footnoteReference w:id="436"/>
      </w:r>
      <w:r>
        <w:rPr>
          <w:rFonts w:ascii="Amiri" w:hAnsi="Amiri" w:eastAsia="Amiri" w:cs="Amiri"/>
          <w:color w:val="111111"/>
          <w:sz w:val="28"/>
          <w:sz w:val="28"/>
          <w:szCs w:val="28"/>
          <w:rtl w:val="true"/>
          <w:lang w:bidi="ar-SA"/>
        </w:rPr>
        <w:t>و الخارجينَ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مُرتَفِعٌ مع المعرفةِ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شاهَدَ الإمامُ مِنّا قَبيحاً يوجِبُ تأديباً و تقويماً أدَّبَ عليه و قَوَّمَ، و لَم يَحتَجْ إلى إقرارٍ و بيِّنةٍ؛ لأنّهما يَقتَضيانِ غَلَبةَ الظنِّ، و العِلمُ أقوى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الوجوهِ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أيضاً لا تَمنَعُ مِن استماعِها و العملِ بها؛ لأنّه يَجوزُ أن يَظهَرَ على بعضِ الفَواحِشِ مِن أحَدِ شيعتِه العَدَدُ الذي تَقومُ به الشهادةُ عليها، و يَكونَ‌</w:t>
      </w:r>
      <w:r>
        <w:rPr>
          <w:rStyle w:val="FootnoteAnchor"/>
          <w:rtl w:val="true"/>
        </w:rPr>
        <w:footnoteReference w:id="437"/>
      </w:r>
      <w:r>
        <w:rPr>
          <w:rFonts w:ascii="Amiri" w:hAnsi="Amiri" w:eastAsia="Amiri" w:cs="Amiri"/>
          <w:color w:val="111111"/>
          <w:sz w:val="28"/>
          <w:sz w:val="28"/>
          <w:szCs w:val="28"/>
          <w:rtl w:val="true"/>
          <w:lang w:bidi="ar-SA"/>
        </w:rPr>
        <w:t>هؤلاءِ‌</w:t>
      </w:r>
      <w:r>
        <w:rPr>
          <w:rStyle w:val="FootnoteAnchor"/>
          <w:rtl w:val="true"/>
        </w:rPr>
        <w:footnoteReference w:id="438"/>
      </w:r>
      <w:r>
        <w:rPr>
          <w:rFonts w:ascii="Amiri" w:hAnsi="Amiri" w:eastAsia="Amiri" w:cs="Amiri"/>
          <w:color w:val="111111"/>
          <w:sz w:val="28"/>
          <w:sz w:val="28"/>
          <w:szCs w:val="28"/>
          <w:rtl w:val="true"/>
          <w:lang w:bidi="ar-SA"/>
        </w:rPr>
        <w:t xml:space="preserve">العَدَدُ ممّن يَلقَى الإمامَ و يَظهَرُ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نَمنَعُ مِن ذلكَ، و إن كُنّا لا نوجِبُه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شَهِدوا عندَه بها، و رأى إقامةَ حَدِّها، تَوَلّاه بنفسِه أو بأعوانِه؛ فلا مانِعَ له مِن ذلكَ، و لا وجهَ يوجِبُ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لَم يَكُن مَن شاهَدَ هذه الفاحشةَ ممّن يَلقَى الإمامَ، فلا يَقدِرُ على إقامةِ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بيانِ الطُّرُقِ المُمكِنةِ المُقدَّرةِ في هذا البابِ، لا في وجوبِ حصولِها، و إذا كانَ ما ذَكرناه مُمكِناً فقَد وَجَبَ الخَوفُ و التحَرُّزُ، و تَمَّ اللطفُ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بعَينِه قائمٌ مع ظُهورِ الإمامِ و تَمكُّنِه؛ لأنّ الفاحشةَ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يُشاهِدَها مَن يَشهَدُ بها، ثُمَّ يَجوزُ أن يُشاهِدَها مَن لا عَدالةَ له فلا يَشهَدَ، و إن شَهِدَ</w:t>
      </w:r>
      <w:r>
        <w:rPr>
          <w:rFonts w:eastAsia="Amiri" w:cs="Amiri" w:ascii="Amiri" w:hAnsi="Amiri"/>
          <w:color w:val="111111"/>
          <w:sz w:val="28"/>
          <w:szCs w:val="28"/>
          <w:rtl w:val="true"/>
          <w:lang w:bidi="ar-SA"/>
        </w:rPr>
        <w:t xml:space="preserve">». </w:t>
      </w:r>
      <w:bookmarkStart w:id="219" w:name="pg7486_97206"/>
    </w:p>
    <w:p>
      <w:pPr>
        <w:pStyle w:val="BookText"/>
        <w:rPr/>
      </w:pPr>
      <w:bookmarkEnd w:id="219"/>
      <w:r>
        <w:rPr>
          <w:rFonts w:ascii="Amiri" w:hAnsi="Amiri" w:eastAsia="Amiri" w:cs="Amiri"/>
          <w:color w:val="111111"/>
          <w:sz w:val="28"/>
          <w:sz w:val="28"/>
          <w:szCs w:val="28"/>
          <w:rtl w:val="true"/>
          <w:lang w:bidi="ar-SA"/>
        </w:rPr>
        <w:t>لَم تُقبَلْ شَهادتُه، و إن شاهَدَها مِن العُدولِ مَن تُقبَلُ مِثلُ شَهادتِه يَجوزُ أن لا يَختارَ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كأنّنا نَقدِرُ على أن نُحصيَ الوجوهَ التي تَسقُطُ معها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فالرَّهبةُ قائمةٌ، و الحَذَرُ ثابتٌ، و يَكفي التجويزُ دونَ القَطعِ</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226040_1051229030"/>
      <w:bookmarkStart w:id="221" w:name="_Toc80"/>
      <w:bookmarkEnd w:id="220"/>
      <w:r>
        <w:rPr>
          <w:rtl w:val="true"/>
        </w:rPr>
        <w:t>الإقرارُ عندَ الإمامِ‌</w:t>
      </w:r>
      <w:bookmarkEnd w:id="221"/>
    </w:p>
    <w:p>
      <w:pPr>
        <w:pStyle w:val="BookText"/>
        <w:rPr/>
      </w:pPr>
      <w:r>
        <w:rPr>
          <w:rFonts w:ascii="Amiri" w:hAnsi="Amiri" w:eastAsia="Amiri" w:cs="Amiri"/>
          <w:color w:val="111111"/>
          <w:sz w:val="28"/>
          <w:sz w:val="28"/>
          <w:szCs w:val="28"/>
          <w:rtl w:val="true"/>
          <w:lang w:bidi="ar-SA"/>
        </w:rPr>
        <w:t>فأمّا الإقرارُ، فيُمكِنُ أيضاً مع الغَيبةِ؛ لأنّ بعضَ الأولياءِ الذينَ رُبَّما ظَهَرَ لهم الإمامُ قد يَجوزُ أن يواقِعَ فاحشةً فيَتوبَ منها، و يؤثِرَ التطهيرَ له بالحَدِّ الواجبِ فيها، فيُقِرَّ بها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صارَت الوجوهُ التي تَكونُ مع الظهورِ ثابتةً في حالِ الغَيبةِ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226042_1051229030"/>
      <w:bookmarkStart w:id="223" w:name="_Toc81"/>
      <w:bookmarkEnd w:id="222"/>
      <w:r>
        <w:rPr>
          <w:rtl w:val="true"/>
        </w:rPr>
        <w:t>احتمالُ بُعدِ الإمامِ و قُربِه</w:t>
      </w:r>
      <w:bookmarkEnd w:id="22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ما أحَدٌ مِن شيعتِه إلّاو هو يُجوِّزُ أن يَكونَ الإمامُ بَعيدَ الدارِ منه، و أنّه يَحِلُّ إمّا المَشرِقَ أو المَغرِبَ؟ فهو آمِنٌ مِن مُشاهَدتِه له على معصيتِه، أو أن يَشهَدَ بها عليه شاهدٌ</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يَلزَمُ مع ظُهورِ الإمامِ و العِلمِ ببُعدِ دارِه؛ لأنّه لا يَبعُدُ مِن بَلَدٍ إلّاو يَستَخلِفُ فيه مَن يَقومُ مَقامَه؛ ممّن يُرهَبُ و يُخشى و يُتَّقَى انتقامُه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أحَدَ مِن شيعتِه إلّاو هو يُجوِّزُ بُعدَ مَحَلِّ الإمامِ عنه، فكذلكَ لا أحَدَ منهم إلّاو هو يُجوِّزُ كَونَه في بَلَدِه و قَريباً مِن دارِه و جِوارِه، و التجويزُ كافٍ في وقوعِ الحَذَرِ و عدمِ الأمانِ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فمَعَ‌</w:t>
      </w:r>
      <w:r>
        <w:rPr>
          <w:rStyle w:val="FootnoteAnchor"/>
          <w:rtl w:val="true"/>
        </w:rPr>
        <w:footnoteReference w:id="440"/>
      </w:r>
      <w:r>
        <w:rPr>
          <w:rFonts w:ascii="Amiri" w:hAnsi="Amiri" w:eastAsia="Amiri" w:cs="Amiri"/>
          <w:color w:val="111111"/>
          <w:sz w:val="28"/>
          <w:sz w:val="28"/>
          <w:szCs w:val="28"/>
          <w:rtl w:val="true"/>
          <w:lang w:bidi="ar-SA"/>
        </w:rPr>
        <w:t xml:space="preserve">ظُهورِ الإمامِ و انبساطِ يدِه و نُفوذِ أمرِه في جميعِ الأُمّةِ لا أحَدَ مِن </w:t>
      </w:r>
      <w:bookmarkStart w:id="224" w:name="pg7486_97207"/>
    </w:p>
    <w:p>
      <w:pPr>
        <w:pStyle w:val="BookText"/>
        <w:rPr/>
      </w:pPr>
      <w:bookmarkEnd w:id="224"/>
      <w:r>
        <w:rPr>
          <w:rFonts w:ascii="Amiri" w:hAnsi="Amiri" w:eastAsia="Amiri" w:cs="Amiri"/>
          <w:color w:val="111111"/>
          <w:sz w:val="28"/>
          <w:sz w:val="28"/>
          <w:szCs w:val="28"/>
          <w:rtl w:val="true"/>
          <w:lang w:bidi="ar-SA"/>
        </w:rPr>
        <w:t>مُرتَكِبي القَبائحِ‌</w:t>
      </w:r>
      <w:r>
        <w:rPr>
          <w:rStyle w:val="FootnoteAnchor"/>
          <w:rtl w:val="true"/>
        </w:rPr>
        <w:footnoteReference w:id="441"/>
      </w:r>
      <w:r>
        <w:rPr>
          <w:rFonts w:ascii="Amiri" w:hAnsi="Amiri" w:eastAsia="Amiri" w:cs="Amiri"/>
          <w:color w:val="111111"/>
          <w:sz w:val="28"/>
          <w:sz w:val="28"/>
          <w:szCs w:val="28"/>
          <w:rtl w:val="true"/>
          <w:lang w:bidi="ar-SA"/>
        </w:rPr>
        <w:t>إلّاو هو يُجوِّزُ خَفاءَ ذلكَ علَى الإمامِ و لا يَتَّصِلَ به، و مع هذا فالرَّهبةُ قائمةٌ، و اللطفُ بالإمامِ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يَنسى هذا مَن يُلزِمُنا بمِثلِه مع الغَيبةِ؟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226044_1051229030"/>
      <w:bookmarkStart w:id="226" w:name="_Toc82"/>
      <w:bookmarkEnd w:id="225"/>
      <w:r>
        <w:rPr>
          <w:rtl w:val="true"/>
        </w:rPr>
        <w:t>إمكانُ استخلافِ الإمامِ لغَيرِه في الغَيبةِ و الظهورِ</w:t>
      </w:r>
      <w:bookmarkEnd w:id="226"/>
    </w:p>
    <w:p>
      <w:pPr>
        <w:pStyle w:val="BookText"/>
        <w:rPr/>
      </w:pPr>
      <w:r>
        <w:rPr>
          <w:rFonts w:ascii="Amiri" w:hAnsi="Amiri" w:eastAsia="Amiri" w:cs="Amiri"/>
          <w:color w:val="111111"/>
          <w:sz w:val="28"/>
          <w:sz w:val="28"/>
          <w:szCs w:val="28"/>
          <w:rtl w:val="true"/>
          <w:lang w:bidi="ar-SA"/>
        </w:rPr>
        <w:t>فأمّا ما مضى في السؤالِ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إذا كانَ ظاهراً مُتميِّزاً، و غابَ عن بَلَدٍ، فلَن يَغيبَ عنه إلّابَعدَ أن يَستَخلِفَ عليه مَن يُرهَبُ كرَهبَتِه، فقَد ثَبَتَ أنّ التجويزَ في حالِ الغَيبةِ لِأن يَكونَ قَريبَ الدارِ مِنّا، مُخالِطاً لنا، كافٍ في قيامِ الهَيبةِ و تَمامِ الرَّهبةِ؛ لكنّنا نَنزِلُ على هذا الحُكمِ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يَمنَعُ مَن قالَ بغَيبةِ الإمامِ مِن مِثلِ ذلكَ؟ فنَقولَ‌</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يَبعُدُ في أطرافِ الأرضِ إلّابَعدَ أن يَستَخلِفَ مِن أصحابِه و أعوانِه، فلا بُدَّ مِن أن يَكونَ له و في صُحبَتِه أعوانٌ و أصحابٌ على كُلِّ بَلَدٍ يَبعُدُ عنه مَن يَقومُ مَقامَه في مُراعاةِ ما يَجري مِن شيعتِه، فإن جَرى ما يوجِبُ تقويماً و يَقتَضي تأديباً تَوَلّاه هذا المُستَخلَفُ كما يَتولّاه الإمامُ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يُطاعُ هذا المُستَخلَفُ؟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يَعلَمُ الوليُّ الذي يُريدُ تأديبَه أنّه خَليفةُ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بمُعجِزٍ يُظهِرُه اللّهُ تَعالى على يدِه؛ فالمُعجِزات على مَذاهبِنا تَظهَرُ على أيدي الصالحينَ، فَضلاً عمّن يَستَخلِفُه الإمامُ و يُقيمُه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يُرهَبُ خَليفةُ الإمامِ مع بُعدِ الإمامِ إذا عَرَفناه و مَيَّزناه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مِن هذا الزمانِ‌</w:t>
      </w:r>
      <w:r>
        <w:rPr>
          <w:rStyle w:val="FootnoteAnchor"/>
          <w:rtl w:val="true"/>
        </w:rPr>
        <w:footnoteReference w:id="443"/>
      </w:r>
      <w:r>
        <w:rPr>
          <w:rFonts w:ascii="Amiri" w:hAnsi="Amiri" w:eastAsia="Amiri" w:cs="Amiri"/>
          <w:color w:val="111111"/>
          <w:sz w:val="28"/>
          <w:sz w:val="28"/>
          <w:szCs w:val="28"/>
          <w:rtl w:val="true"/>
          <w:lang w:bidi="ar-SA"/>
        </w:rPr>
        <w:t>ما 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كُنّا نَقطَعُ على وجودِ الإمامِ في </w:t>
      </w:r>
      <w:bookmarkStart w:id="227" w:name="pg7486_97208"/>
    </w:p>
    <w:p>
      <w:pPr>
        <w:pStyle w:val="BookText"/>
        <w:rPr/>
      </w:pPr>
      <w:bookmarkEnd w:id="227"/>
      <w:r>
        <w:rPr>
          <w:rFonts w:ascii="Amiri" w:hAnsi="Amiri" w:eastAsia="Amiri" w:cs="Amiri"/>
          <w:color w:val="111111"/>
          <w:sz w:val="28"/>
          <w:sz w:val="28"/>
          <w:szCs w:val="28"/>
          <w:rtl w:val="true"/>
          <w:lang w:bidi="ar-SA"/>
        </w:rPr>
        <w:t>الزمانِ و مُراعاتِه لأُمورِنا، فحالُه عندَنا مُنقَسِمةٌ إلى أمرَينِ،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مَعَنا في بَلَدٍ واحدٍ، فيُراعيَ أُمورَنا بنفسِه، و لا يَحتاجَ إلى غيرِه؛ أو بَعيداً عنّا، فلَيسَ يَجوزُ مع حِكمتِه أن يَبعُدَ إلّابَعدَ أن يَستَخلِفَ مَن يَقومُ مَقامَه، كما يَجِبُ أن يَفعَلَ لَو كانَ ظاهرَ العَينِ مُتميِّزَ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غايةٌ لا شُبهةَ بَعدَها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226046_1051229030"/>
      <w:bookmarkStart w:id="229" w:name="_Toc83"/>
      <w:bookmarkEnd w:id="228"/>
      <w:r>
        <w:rPr>
          <w:rtl w:val="true"/>
        </w:rPr>
        <w:t>الفَرقُ بَينَ الغَيبةِ و الظهورِ في الاِنتفاعِ بوُجودِ الإمامِ‌</w:t>
      </w:r>
      <w:bookmarkEnd w:id="22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منكم بأنّ ظُهورَ الإمامِ كاستتارِه في الاِنتفاعِ به و الخَوفِ منه و نَيلِ المَصالحِ مِن جهتِه، و في ذلكَ 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ظُهورَه في المَرافِقِ به و المَنافِعِ كاستتارِه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نَقولُ ذلكَ و في ظُهورِه و انبِساطِ يدِه و قُوّةِ سُلطانِه انتفاعُ الوَليِّ و العَدُوِّ و المُحِبِّ و المُبغِضِ، و لَيسَ يَنتَفِعُ به في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إلّاوَليُّه دونَ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ظُهورِه و انبساطِه أيضاً مَنافِعُ جَمّةٌ لأوليائه و غيرِهم؛ لأنّه يَحمي بَيضَتَهم، و يَسُدُّ ثُغورَهم، و يؤمِنُ سُبُلَهم، فيَتمكَّنونَ‌</w:t>
      </w:r>
      <w:r>
        <w:rPr>
          <w:rStyle w:val="FootnoteAnchor"/>
          <w:rtl w:val="true"/>
        </w:rPr>
        <w:footnoteReference w:id="444"/>
      </w:r>
      <w:r>
        <w:rPr>
          <w:rFonts w:ascii="Amiri" w:hAnsi="Amiri" w:eastAsia="Amiri" w:cs="Amiri"/>
          <w:color w:val="111111"/>
          <w:sz w:val="28"/>
          <w:sz w:val="28"/>
          <w:szCs w:val="28"/>
          <w:rtl w:val="true"/>
          <w:lang w:bidi="ar-SA"/>
        </w:rPr>
        <w:t>مِن التجاراتِ و المَكاسِبِ و المَغانِمِ، و يَمنَعُ مِن ظُلمِ غيرِهم لهم، فتَتوفَّرُ أموالُهم، و تَدِرُّ مَعايِشُهم، و تَتضاعَفُ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مَنافِعُ دُنياويّةٌ لا يَجِبُ‌</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 بالغَيبةِ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التكليفُ معها، و المَنافِعُ الدينيّةُ الواجبةُ في كُلِّ حالٍ بالإمامةِ قد بيّنّا أنّها ثابتةٌ مع الغَيبةِ، فلا يَجِبُ سقوطُ التكليفِ لها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انتفاعَهم به على سَبيلِ اللطفِ في فِعلِ الواجبِ، و الاِمتناعِ 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ثُبوتَه في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أقوى في </w:t>
      </w:r>
      <w:bookmarkStart w:id="230" w:name="pg7486_97209"/>
    </w:p>
    <w:p>
      <w:pPr>
        <w:pStyle w:val="BookText"/>
        <w:rPr/>
      </w:pPr>
      <w:bookmarkEnd w:id="230"/>
      <w:r>
        <w:rPr>
          <w:rFonts w:ascii="Amiri" w:hAnsi="Amiri" w:eastAsia="Amiri" w:cs="Amiri"/>
          <w:color w:val="111111"/>
          <w:sz w:val="28"/>
          <w:sz w:val="28"/>
          <w:szCs w:val="28"/>
          <w:rtl w:val="true"/>
          <w:lang w:bidi="ar-SA"/>
        </w:rPr>
        <w:t>حالِ الظهورِ للكُلِّ و انبساطِ اليدِ في الجميعِ، لَجاز؛ لأنّ اعتراضَ‌</w:t>
      </w:r>
      <w:r>
        <w:rPr>
          <w:rStyle w:val="FootnoteAnchor"/>
          <w:rtl w:val="true"/>
        </w:rPr>
        <w:footnoteReference w:id="446"/>
      </w:r>
      <w:r>
        <w:rPr>
          <w:rFonts w:ascii="Amiri" w:hAnsi="Amiri" w:eastAsia="Amiri" w:cs="Amiri"/>
          <w:color w:val="111111"/>
          <w:sz w:val="28"/>
          <w:sz w:val="28"/>
          <w:szCs w:val="28"/>
          <w:rtl w:val="true"/>
          <w:lang w:bidi="ar-SA"/>
        </w:rPr>
        <w:t>ما يُفوِّتُ قُوّةَ اللطفِ مع ثُبوتِ أصلِه لا</w:t>
      </w:r>
      <w:r>
        <w:rPr>
          <w:rStyle w:val="FootnoteAnchor"/>
          <w:rtl w:val="true"/>
        </w:rPr>
        <w:footnoteReference w:id="447"/>
      </w:r>
      <w:r>
        <w:rPr>
          <w:rFonts w:ascii="Amiri" w:hAnsi="Amiri" w:eastAsia="Amiri" w:cs="Amiri"/>
          <w:color w:val="111111"/>
          <w:sz w:val="28"/>
          <w:sz w:val="28"/>
          <w:szCs w:val="28"/>
          <w:rtl w:val="true"/>
          <w:lang w:bidi="ar-SA"/>
        </w:rPr>
        <w:t>يَمنَعُ مِن الاِنتفاعِ به علَى الوجهِ الذي هو لُطفٌ فيه، و لا</w:t>
      </w:r>
      <w:r>
        <w:rPr>
          <w:rStyle w:val="FootnoteAnchor"/>
          <w:rtl w:val="true"/>
        </w:rPr>
        <w:footnoteReference w:id="448"/>
      </w:r>
      <w:r>
        <w:rPr>
          <w:rFonts w:ascii="Amiri" w:hAnsi="Amiri" w:eastAsia="Amiri" w:cs="Amiri"/>
          <w:color w:val="111111"/>
          <w:sz w:val="28"/>
          <w:sz w:val="28"/>
          <w:szCs w:val="28"/>
          <w:rtl w:val="true"/>
          <w:lang w:bidi="ar-SA"/>
        </w:rPr>
        <w:t>يوجِبُ سقوطَ التكليفِ</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226048_1051229030"/>
      <w:bookmarkStart w:id="232" w:name="_Toc84"/>
      <w:bookmarkEnd w:id="231"/>
      <w:r>
        <w:rPr>
          <w:rtl w:val="true"/>
        </w:rPr>
        <w:t>هَل يَقومُ شَيءٌ مَقامَ الإمامِ في أداءِ دَورِه؟</w:t>
      </w:r>
      <w:bookmarkEnd w:id="23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جَوَّزتم أن يَكونَ أولياؤه غيرَ مُنتَفِعينَ به في حالِ الغَيبةِ، إلّاأنّ اللّهَ تَعالى يَفعَلُ لهم مِن اللطفِ في هذه الأحوالِ ما يَقومُ في تكليفِهم مَقامَ الانتفاعِ بالإمامِ، كما قالَه جماعةٌ مِن الشُّيوخِ في إقامةِ الحدودِ إذا فاتَت؛ فإنّ اللّهَ تَعالى يَفعَلُ ما يَقومُ مَقامَها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أولياءَ الإمامِ يَنتَفِعونَ به في أحوالِ الغَيبةِ على وجهٍ لا مَجالَ للرَّيبِ عليه، وبهذا القَدرِ يَسقُطُ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يَبطُلُ مِن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تدبيرَ الإمامِ و تَصرُّفَه و اللطفُ لرَعيّتِه به ممّا لا يَقومُ عندَنا شَيءٌ مِن الأُمورِ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الأمرَ على ذلكَ لَما وَجَبَت الإمامةُ على كُلِّ حالٍ، و في كُلِّ مُكلَّفٍ، و لَكانَ تجويزُنا قيامَ غيرِها مَقامَها في اللطفِ يَمنَعُ مِن القَطعِ على وجوبِها في كُلِّ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السؤالُ طَعنٌ في وجوبِ الإمامةِ، فكَيفَ نَتقبَّلُه</w:t>
      </w:r>
      <w:r>
        <w:rPr>
          <w:rStyle w:val="FootnoteAnchor"/>
          <w:rtl w:val="true"/>
        </w:rPr>
        <w:footnoteReference w:id="449"/>
      </w:r>
      <w:r>
        <w:rPr>
          <w:rFonts w:ascii="Amiri" w:hAnsi="Amiri" w:eastAsia="Amiri" w:cs="Amiri"/>
          <w:color w:val="111111"/>
          <w:sz w:val="28"/>
          <w:sz w:val="28"/>
          <w:szCs w:val="28"/>
          <w:rtl w:val="true"/>
          <w:lang w:bidi="ar-SA"/>
        </w:rPr>
        <w:t>و نُسألُ عنه في عِلّةِ الغَيبةِ؟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كذلكَ الحدودُ؛ لأنّها إذا كانَت لُطفاً، و لَم يَمنَعْ دليلٌ عقليٌّ و لا سَمعيٌّ </w:t>
      </w:r>
      <w:bookmarkStart w:id="233" w:name="pg7486_97210"/>
    </w:p>
    <w:p>
      <w:pPr>
        <w:pStyle w:val="BookText"/>
        <w:rPr/>
      </w:pPr>
      <w:bookmarkEnd w:id="233"/>
      <w:r>
        <w:rPr>
          <w:rFonts w:ascii="Amiri" w:hAnsi="Amiri" w:eastAsia="Amiri" w:cs="Amiri"/>
          <w:color w:val="111111"/>
          <w:sz w:val="28"/>
          <w:sz w:val="28"/>
          <w:szCs w:val="28"/>
          <w:rtl w:val="true"/>
          <w:lang w:bidi="ar-SA"/>
        </w:rPr>
        <w:t>مِن جوازِ نظيرٍ لها و قائمٍ في اللطفِ مَقامَها،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يَفعَلُ عندَ فَوتِها ما يَقومُ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ما بيّنّاه لا يَتأتّى في الإمامةِ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226050_1051229030"/>
      <w:bookmarkStart w:id="235" w:name="_Toc85"/>
      <w:bookmarkEnd w:id="234"/>
      <w:r>
        <w:rPr>
          <w:rtl w:val="true"/>
        </w:rPr>
        <w:t>كَيفَ يَعلَمُ الإمامُ بوَقتِ ظُهورِه؟</w:t>
      </w:r>
      <w:bookmarkEnd w:id="23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عَلَّقتم ظُهورَ الإمامِ بزَوالِ خَوفِه مِن أعدائه و أمنِه مِن جهتِهم، فكَيفَ يَعلَمُ ذلكَ؟ و أيُّ طريقٍ له</w:t>
      </w:r>
      <w:r>
        <w:rPr>
          <w:rStyle w:val="FootnoteAnchor"/>
          <w:rtl w:val="true"/>
        </w:rPr>
        <w:footnoteReference w:id="450"/>
      </w:r>
      <w:r>
        <w:rPr>
          <w:rFonts w:ascii="Amiri" w:hAnsi="Amiri" w:eastAsia="Amiri" w:cs="Amiri"/>
          <w:color w:val="111111"/>
          <w:sz w:val="28"/>
          <w:sz w:val="28"/>
          <w:szCs w:val="28"/>
          <w:rtl w:val="true"/>
          <w:lang w:bidi="ar-SA"/>
        </w:rPr>
        <w:t xml:space="preserve">إليه؟ و ما يُضمِرُه أعداؤه أو يُظهِرونَه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الشرقِ و الغَربِ و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إلى معرفتِه علَى التحديدِ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فعندَهم أنّ آباءَ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عَهِدوا إليه، و أنذَروه، و أطلَعوه على ما عَرَفوه مِن توقيفِ الرسولِ صلّى اللّه عليه و آله على زمانِ الغَيبةِ و كَيفيّتِها و طولِها و قِصَرِها، و علاماتِها و أماراتِها، و وقتِ الظهورِ، و الدلائلِ على تيسيرِه و تسهيلِه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سؤالَ علينا؛ لأنّ زمانَ الظهورِ إذا كان منصوصاً على صفتِه و الوقتِ الذي يَجِبُ أن يَكونَ فيه، فلا حاجةَ إلَى العِلمِ بالسرائرِ و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البابُ موقوفاً على غَلَبةِ الظنِّ و قُوّةِ الأماراتِ و تَظاهُرِ الدَّلالاتِ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ظُهورُ الإمامِ إنّما هو بأحَدِ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بكَثرةِ أعوانِه و أنصارِه</w:t>
      </w:r>
      <w:r>
        <w:rPr>
          <w:rStyle w:val="FootnoteAnchor"/>
          <w:rtl w:val="true"/>
        </w:rPr>
        <w:footnoteReference w:id="451"/>
      </w:r>
      <w:r>
        <w:rPr>
          <w:rFonts w:ascii="Amiri" w:hAnsi="Amiri" w:eastAsia="Amiri" w:cs="Amiri"/>
          <w:color w:val="111111"/>
          <w:sz w:val="28"/>
          <w:sz w:val="28"/>
          <w:szCs w:val="28"/>
          <w:rtl w:val="true"/>
          <w:lang w:bidi="ar-SA"/>
        </w:rPr>
        <w:t xml:space="preserve">، أو قُوّتِهم و نَجدتِهم، أو قِلّةِ أعدائه، أو ضَعفِهم و جَورِهم، و هذه أُمورٌ عليها أماراتٌ يَعرِفُها مَن نَظَرَ فيها و راعاها و قَرُبَت مُخالَطتُه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 الإمامُ عليه السلام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مُجتَمِعاً أو مُتفرِّقاً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في ظنِّه السلامةُ، و قَويَ عندَه بلوغُ الغرضِ </w:t>
      </w:r>
      <w:bookmarkStart w:id="236" w:name="pg7486_97211"/>
    </w:p>
    <w:p>
      <w:pPr>
        <w:pStyle w:val="BookText"/>
        <w:rPr/>
      </w:pPr>
      <w:bookmarkEnd w:id="236"/>
      <w:r>
        <w:rPr>
          <w:rFonts w:ascii="Amiri" w:hAnsi="Amiri" w:eastAsia="Amiri" w:cs="Amiri"/>
          <w:color w:val="111111"/>
          <w:sz w:val="28"/>
          <w:sz w:val="28"/>
          <w:szCs w:val="28"/>
          <w:rtl w:val="true"/>
          <w:lang w:bidi="ar-SA"/>
        </w:rPr>
        <w:t>و الظفَرُ بالأرَبِ‌</w:t>
      </w:r>
      <w:r>
        <w:rPr>
          <w:rStyle w:val="FootnoteAnchor"/>
          <w:rtl w:val="true"/>
        </w:rPr>
        <w:footnoteReference w:id="452"/>
      </w:r>
      <w:r>
        <w:rPr>
          <w:rFonts w:ascii="Amiri" w:hAnsi="Amiri" w:eastAsia="Amiri" w:cs="Amiri"/>
          <w:color w:val="111111"/>
          <w:sz w:val="28"/>
          <w:sz w:val="28"/>
          <w:szCs w:val="28"/>
          <w:rtl w:val="true"/>
          <w:lang w:bidi="ar-SA"/>
        </w:rPr>
        <w:t>، تَعيَّنَ عليه فرضُ الظهورِ، كما يَتعيَّنُ على أحَدِنا فرضُ الإقدامِ و الإحجامِ عندَ الأماراتِ المؤمِنةِ و المُخيفةِ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226052_1051229030"/>
      <w:bookmarkStart w:id="238" w:name="_Toc86"/>
      <w:bookmarkEnd w:id="237"/>
      <w:r>
        <w:rPr>
          <w:rtl w:val="true"/>
        </w:rPr>
        <w:t>هَل يَعتَمِدُ الإمامُ علَى الظنِّ في أسبابِ ظُهورِه؟</w:t>
      </w:r>
      <w:bookmarkEnd w:id="23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غَلَبَ عندَه ظنُّ السلامةِ، يُجوِّزُ خِلافَها، و لا يأمَنُ أن يُحقَّقَ ظنُّه، فكَيفَ يَعمَلُ إمامُ الزمانِ و مَهديُّ الأُمّةِ علَى الظنِّ في الظهورِ و رفعِ التقيّةِ، و هو مُجوِّزٌ أن يُقتَلَ 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غَلَبةُ الظنِّ، فتَقومُ مَقامَ العِلمِ في تَصرُّفِنا و كَثيرٍ مِن أحوالِنا الدينيّةِ و الدنياويّةِ مِن غيرِ عِلمٍ بما تَئولُ إليه العَواقِبُ، غيرَ أنّ الإمامَ خَطْبُه يُخالِفُ خَطْبَ غيرِه في هذا البابِ، فلا بُدَّ فيه مِن أن يَكونَ قاطعاً علَى النصرِ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سَلَكنا في هذه المسألةِ الطريقَ الثانيَ مِن الطريقَينِ اللذَينِ ذَكرناهما، كانَ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أعلَمَ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وَسائطِ عِلمِه، و هُم آباؤه و جَدُّه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غَلَبَ في ظنِّه الظفَرُ و ظَهَرَت له أماراتُ السلامةِ فظُهورُه واجبٌ و لا خَوفَ عليه مِن أحَدٍ، فيَكونُ الظنُّ هاهُنا طريقاً إلَى</w:t>
      </w:r>
      <w:r>
        <w:rPr>
          <w:rStyle w:val="FootnoteAnchor"/>
          <w:rtl w:val="true"/>
        </w:rPr>
        <w:footnoteReference w:id="453"/>
      </w:r>
      <w:r>
        <w:rPr>
          <w:rFonts w:ascii="Amiri" w:hAnsi="Amiri" w:eastAsia="Amiri" w:cs="Amiri"/>
          <w:color w:val="111111"/>
          <w:sz w:val="28"/>
          <w:sz w:val="28"/>
          <w:szCs w:val="28"/>
          <w:rtl w:val="true"/>
          <w:lang w:bidi="ar-SA"/>
        </w:rPr>
        <w:t>العِلمِ، و باباً إلَى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يَقولُه أصحابُ القياسِ إذا قالَ لهم نافوه في الشريعةِ و مُبطِلوه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يَجوزُ أن يُقدِمَ مَن يَظُنُّ أنّ الفَرعَ مُشبِهٌ للأصلِ في الإباحةِ و مُشارِكٌ له في عِلّتِها علَى الفِعلِ، و هو يُجوِّزُ أن يَكونَ الأمرُ بخِلافِ ظنِّه؟ لأنّ الظنَّ لا قَطْعَ </w:t>
      </w:r>
      <w:bookmarkStart w:id="239" w:name="pg7486_97212"/>
    </w:p>
    <w:p>
      <w:pPr>
        <w:pStyle w:val="BookText"/>
        <w:rPr/>
      </w:pPr>
      <w:bookmarkEnd w:id="239"/>
      <w:r>
        <w:rPr>
          <w:rFonts w:ascii="Amiri" w:hAnsi="Amiri" w:eastAsia="Amiri" w:cs="Amiri"/>
          <w:color w:val="111111"/>
          <w:sz w:val="28"/>
          <w:sz w:val="28"/>
          <w:szCs w:val="28"/>
          <w:rtl w:val="true"/>
          <w:lang w:bidi="ar-SA"/>
        </w:rPr>
        <w:t>معه، و التجويزُ بخِلافِ ما تَناوَلَه ثابتٌ، أوَ لَيسَ هذا موجِباً أن يَكونَ المُكلَّفُ مُقدِماً على ما لا يأمَنُ كَونَه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الإقدامُ على ما لا يؤمَنُ قُبحُه كالإقدامِ على ما يُعلَمُ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الحكيمِ سُبحانَه بالقياسِ يَمنَعُ مِن هذا التجويزِ؛ لأنّ اللّهَ تَعالى إذا تَعبَّدَ بالقياسِ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 على ظَنِّه بأماراتٍ، فظَهَرَ له في فَرعٍ أنّه يُشبِهُ أصلاً مُحلَّلاً، فيَعمَلْ على ظنِّه، فذلكَ فرضُه، و المشروعُ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أمِنَ بهذا الدليلِ و مِن هذه الجهةِ الإقدامَ علَى القبيحِ، و صارَ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الفَرعَ يُشبِهُ الأصلَ في الحُكمِ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العِلمِ بحالِه و صفتِه في حقِّه و فيما يَرجِعُ إليه، و إن جازَ أن يَكونَ حُكمُ غيرِه في هذه الحادثةِ بخِلافِ حُكمِه إذا خالَفَه في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حُجّتُه، و عليها عُمدتُه، كَيفَ يَشتَبِهُ عليه ما ذَكرناه في غَلَبة الظنِّ للإمامِ‌</w:t>
      </w:r>
      <w:r>
        <w:rPr>
          <w:rStyle w:val="FootnoteAnchor"/>
          <w:rtl w:val="true"/>
        </w:rPr>
        <w:footnoteReference w:id="454"/>
      </w:r>
      <w:r>
        <w:rPr>
          <w:rFonts w:ascii="Amiri" w:hAnsi="Amiri" w:eastAsia="Amiri" w:cs="Amiri"/>
          <w:color w:val="111111"/>
          <w:sz w:val="28"/>
          <w:sz w:val="28"/>
          <w:szCs w:val="28"/>
          <w:rtl w:val="true"/>
          <w:lang w:bidi="ar-SA"/>
        </w:rPr>
        <w:t>بالسلامةِ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بالمُنصِفِ أن يَنظُرَ لخَصمِه كما يَنظُرُ لنفسِه، و يَقنَعُ به مِن نفسِه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226054_1051229030"/>
      <w:bookmarkStart w:id="241" w:name="_Toc87"/>
      <w:bookmarkEnd w:id="240"/>
      <w:r>
        <w:rPr>
          <w:rtl w:val="true"/>
        </w:rPr>
        <w:t>كَيفَ يُساوى بَينَ حُكمِ الظهورِ و الغَيبةِ مع أنّ مَبنَى الأوّلِ الضرورةُ، و مَبنىَ الثاني النظَرُ؟</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الإمامُ لُطفاً لأوليائه في أحوالِ غَيبتِه</w:t>
      </w:r>
      <w:r>
        <w:rPr>
          <w:rStyle w:val="FootnoteAnchor"/>
          <w:rtl w:val="true"/>
        </w:rPr>
        <w:footnoteReference w:id="455"/>
      </w:r>
      <w:r>
        <w:rPr>
          <w:rFonts w:ascii="Amiri" w:hAnsi="Amiri" w:eastAsia="Amiri" w:cs="Amiri"/>
          <w:color w:val="111111"/>
          <w:sz w:val="28"/>
          <w:sz w:val="28"/>
          <w:szCs w:val="28"/>
          <w:rtl w:val="true"/>
          <w:lang w:bidi="ar-SA"/>
        </w:rPr>
        <w:t xml:space="preserve">و زاجراً لهم عن فِعلِ القَبيحِ و باعِثاً على فِعلِ الواجبِ، علَى الحَدِّ الذي يَكونُ عليه مع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ظاهراً مُتصرِّفاً، عُلِمَ ضَرورةً، و خيفَت سَطوَتُه و عِقابُه مُشاهَدةً؛ و إذا كانَ غائباً </w:t>
      </w:r>
    </w:p>
    <w:p>
      <w:pPr>
        <w:pStyle w:val="BookText"/>
        <w:rPr/>
      </w:pPr>
      <w:r>
        <w:rPr>
          <w:rFonts w:ascii="Amiri" w:hAnsi="Amiri" w:eastAsia="Amiri" w:cs="Amiri"/>
          <w:color w:val="111111"/>
          <w:sz w:val="28"/>
          <w:sz w:val="28"/>
          <w:szCs w:val="28"/>
          <w:rtl w:val="true"/>
          <w:lang w:bidi="ar-SA"/>
        </w:rPr>
        <w:t xml:space="preserve">مُستَتِراً، عُلِمَ ذلك بالدلائلِ المُتطرِّقِ عليها ضُروبُ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الجَمعُ بَينَ الأمرَينِ إلّادَفعاً للعِيانِ‌</w:t>
      </w:r>
      <w:r>
        <w:rPr>
          <w:rStyle w:val="FootnoteAnchor"/>
          <w:rtl w:val="true"/>
        </w:rPr>
        <w:footnoteReference w:id="4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لَم يَصدُرْ عن تأمُّلٍ؛ لأنّ الإمامَ و إن كانَ مع ظُهورِه نَعلَمُ وجودَه ضَرورةً، و نَرى تَصرُّفَه مُشاهَدةً، فالعِلمُ بأنّه الإمامُ المُفتَرَضُ الطاعةِ المُستَحِقُّ للتدبيرِ و التصَرُّفِ لا يُعلَمُ إلّابالاِستدلالِ الذي يَجوزُ اعتراضُ الشُّبهةِ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بأنّه</w:t>
      </w:r>
      <w:r>
        <w:rPr>
          <w:rStyle w:val="FootnoteAnchor"/>
          <w:rtl w:val="true"/>
        </w:rPr>
        <w:footnoteReference w:id="457"/>
      </w:r>
      <w:r>
        <w:rPr>
          <w:rFonts w:ascii="Amiri" w:hAnsi="Amiri" w:eastAsia="Amiri" w:cs="Amiri"/>
          <w:color w:val="111111"/>
          <w:sz w:val="28"/>
          <w:sz w:val="28"/>
          <w:szCs w:val="28"/>
          <w:rtl w:val="true"/>
          <w:lang w:bidi="ar-SA"/>
        </w:rPr>
        <w:t xml:space="preserve">الإمامُ المفروضُ الطاعةِ، و أنّ الطريقَ إليه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 الظهورِ واحدةٌ‌</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صارَت المُشاهَدةُ و الضرورةُ لا تُغني في هذا البابِ شَيئاً؛ لأنّهما ممّا لا يَتعلَّقانِ إلّابوُجودِ عَينِ الإمامِ، دونَ صحّةِ إمامتِه و وجوبِ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اللطفُ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بما هو غيرُ مُشاهَدٍ و لا مَعلومٌ ضَرورَةً، بَل طَريقُه الدّليلُ؛ فقدِ اسْتَوَت حالُ الغَيبَةِ‌</w:t>
      </w:r>
      <w:r>
        <w:rPr>
          <w:rStyle w:val="FootnoteAnchor"/>
          <w:rtl w:val="true"/>
        </w:rPr>
        <w:footnoteReference w:id="459"/>
      </w:r>
      <w:r>
        <w:rPr>
          <w:rFonts w:ascii="Amiri" w:hAnsi="Amiri" w:eastAsia="Amiri" w:cs="Amiri"/>
          <w:color w:val="111111"/>
          <w:sz w:val="28"/>
          <w:sz w:val="28"/>
          <w:szCs w:val="28"/>
          <w:rtl w:val="true"/>
          <w:lang w:bidi="ar-SA"/>
        </w:rPr>
        <w:t xml:space="preserve">، و حالُ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الإمامِ عليه السلام لُطفاً لِمَن يَعتَقدُ</w:t>
      </w:r>
      <w:r>
        <w:rPr>
          <w:rStyle w:val="FootnoteAnchor"/>
          <w:rtl w:val="true"/>
        </w:rPr>
        <w:footnoteReference w:id="460"/>
      </w:r>
      <w:r>
        <w:rPr>
          <w:rFonts w:ascii="Amiri" w:hAnsi="Amiri" w:eastAsia="Amiri" w:cs="Amiri"/>
          <w:color w:val="111111"/>
          <w:sz w:val="28"/>
          <w:sz w:val="28"/>
          <w:szCs w:val="28"/>
          <w:rtl w:val="true"/>
          <w:lang w:bidi="ar-SA"/>
        </w:rPr>
        <w:t>إمامتَه و فَرضَ طاعتِه، و سَقَطَت الشُّبهةُ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وَحدَه، و صَلَّى اللّهُ على محمّدٍ و آلِه و سَلَّمَ</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7486_97215"/>
      <w:bookmarkStart w:id="243" w:name="pg7486_97215"/>
      <w:bookmarkEnd w:id="243"/>
    </w:p>
    <w:p>
      <w:pPr>
        <w:pStyle w:val="Heading2"/>
        <w:numPr>
          <w:ilvl w:val="1"/>
          <w:numId w:val="1"/>
        </w:numPr>
        <w:rPr/>
      </w:pPr>
      <w:bookmarkStart w:id="244" w:name="pg7486_97215"/>
      <w:bookmarkStart w:id="245" w:name="__RefHeading___Toc2226056_1051229030"/>
      <w:bookmarkStart w:id="246" w:name="_Toc88"/>
      <w:bookmarkEnd w:id="244"/>
      <w:bookmarkEnd w:id="245"/>
      <w:r>
        <w:rPr>
          <w:rtl w:val="true"/>
        </w:rPr>
        <w:t>الملحقات</w:t>
      </w:r>
      <w:bookmarkEnd w:id="2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2226058_1051229030"/>
      <w:bookmarkStart w:id="248" w:name="_Toc89"/>
      <w:bookmarkEnd w:id="247"/>
      <w:r>
        <w:rPr>
          <w:rtl w:val="true"/>
        </w:rPr>
        <w:t>اشارة</w:t>
      </w:r>
      <w:bookmarkEnd w:id="2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7486_97217"/>
      <w:bookmarkStart w:id="250" w:name="pg7486_97217"/>
      <w:bookmarkEnd w:id="250"/>
    </w:p>
    <w:p>
      <w:pPr>
        <w:pStyle w:val="Heading3"/>
        <w:numPr>
          <w:ilvl w:val="2"/>
          <w:numId w:val="1"/>
        </w:numPr>
        <w:rPr/>
      </w:pPr>
      <w:bookmarkStart w:id="251" w:name="pg7486_97217"/>
      <w:bookmarkStart w:id="252" w:name="__RefHeading___Toc2226060_1051229030"/>
      <w:bookmarkStart w:id="253" w:name="_Toc90"/>
      <w:bookmarkEnd w:id="251"/>
      <w:bookmarkEnd w:id="252"/>
      <w:r>
        <w:rPr>
          <w:rtl w:val="true"/>
        </w:rPr>
        <w:t>المقدّمة</w:t>
      </w:r>
      <w:bookmarkEnd w:id="253"/>
    </w:p>
    <w:p>
      <w:pPr>
        <w:pStyle w:val="BookText"/>
        <w:rPr/>
      </w:pPr>
      <w:r>
        <w:rPr>
          <w:rFonts w:ascii="Amiri" w:hAnsi="Amiri" w:eastAsia="Amiri" w:cs="Amiri"/>
          <w:color w:val="111111"/>
          <w:sz w:val="28"/>
          <w:sz w:val="28"/>
          <w:szCs w:val="28"/>
          <w:rtl w:val="true"/>
          <w:lang w:bidi="ar-SA"/>
        </w:rPr>
        <w:t xml:space="preserve">تعرّض الشريف المرتضى في اثني و عشرين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كتاب و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الأبحاث المهدويّة و المسائل المرتبطة بها، كما مضت الإشارة إلى ذلك في مقدّمة الكتاب، من بين هذه الموارد استقلّت ثلاث مصنّفات بصورة مستقلّة بالأبحاث المهدويّة،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ضمن كتب أو رسائل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سعينا في هذه الملحقات أن نتمّم كتاب المقنع و تكملته باستخراج هذه الأبحاث المهدويّة و ترتيبها و تنظيمها حسب الترتيب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في مقدّمة الكتاب إلى خلاصة هذه الأبحاث و فهرستها، فلا موجب لتكرارها، و لكن نشير في هذه المقدّمة إلى ملاحظات في كيفيّة جمع هذه الملحقات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هذه الأبحاث محقّقة حسب التحقيق المنثور في أعمال مؤتمر الشريف المرتضى، و لكن تحاشياً للاستثقال حذفنا اختلافات النسخ و التعليقات و اكتفينا بهوامش التخريج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للنصوص المطوّلة عناوين لموضوعاتها بين معقوفين، للفصل بين مطالب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أبحاث الرجعة و الإجماع اكتفينا بما يرتبط بالإمام المهدي عليه السلام و المهدويّة خاصّة، و لم ننقل سائر الموارد</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226062_1051229030"/>
      <w:bookmarkStart w:id="255" w:name="_Toc91"/>
      <w:bookmarkEnd w:id="254"/>
      <w:r>
        <w:rPr>
          <w:rtl w:val="true"/>
        </w:rPr>
        <w:t>مصادر الملحقات</w:t>
      </w:r>
      <w:bookmarkEnd w:id="25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النصوص الواردة في الملحقات، فقد استقيناها من المصادر التالية حسب </w:t>
      </w:r>
    </w:p>
    <w:p>
      <w:pPr>
        <w:pStyle w:val="BookText"/>
        <w:rPr/>
      </w:pPr>
      <w:r>
        <w:rPr>
          <w:rFonts w:ascii="Amiri" w:hAnsi="Amiri" w:eastAsia="Amiri" w:cs="Amiri"/>
          <w:color w:val="111111"/>
          <w:sz w:val="28"/>
          <w:sz w:val="28"/>
          <w:szCs w:val="28"/>
          <w:rtl w:val="true"/>
          <w:lang w:bidi="ar-SA"/>
        </w:rPr>
        <w:t>الترتيب التاريخي،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أو غرر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المقنع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شرح جمع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الطرابلسيّات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القصيدة المذهّبة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الموصليّات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الردّ على 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الرسيّة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 xml:space="preserve">). </w:t>
      </w:r>
      <w:bookmarkStart w:id="256" w:name="pg7486_97219"/>
    </w:p>
    <w:p>
      <w:pPr>
        <w:pStyle w:val="Heading3"/>
        <w:numPr>
          <w:ilvl w:val="2"/>
          <w:numId w:val="1"/>
        </w:numPr>
        <w:rPr/>
      </w:pPr>
      <w:bookmarkStart w:id="257" w:name="__RefHeading___Toc2226064_1051229030"/>
      <w:bookmarkStart w:id="258" w:name="_Toc92"/>
      <w:bookmarkEnd w:id="256"/>
      <w:bookmarkEnd w:id="257"/>
      <w:r>
        <w:rPr/>
        <w:t>1</w:t>
      </w:r>
      <w:r>
        <w:rPr>
          <w:rtl w:val="true"/>
        </w:rPr>
        <w:t xml:space="preserve"> - </w:t>
      </w:r>
      <w:r>
        <w:rPr>
          <w:rtl w:val="true"/>
        </w:rPr>
        <w:t xml:space="preserve">ما ذكره في كتابه </w:t>
      </w:r>
      <w:r>
        <w:rPr>
          <w:rtl w:val="true"/>
        </w:rPr>
        <w:t>«</w:t>
      </w:r>
      <w:r>
        <w:rPr>
          <w:rtl w:val="true"/>
        </w:rPr>
        <w:t>الشافي في الإمامة</w:t>
      </w:r>
      <w:r>
        <w:rPr>
          <w:rtl w:val="true"/>
        </w:rPr>
        <w:t>»</w:t>
      </w:r>
      <w:bookmarkEnd w:id="258"/>
    </w:p>
    <w:p>
      <w:pPr>
        <w:pStyle w:val="Heading4"/>
        <w:numPr>
          <w:ilvl w:val="3"/>
          <w:numId w:val="1"/>
        </w:numPr>
        <w:rPr/>
      </w:pPr>
      <w:bookmarkStart w:id="259" w:name="__RefHeading___Toc2226066_1051229030"/>
      <w:bookmarkStart w:id="260" w:name="_Toc93"/>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قد تعرّض صاحب المغني في مواضع من كتابه لما يتعلّق بالإمام الثاني عشر فنقضه الشريف، و هي ستّة مواضع، نقتصر على نقل موضع الحاجة منها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226068_1051229030"/>
      <w:bookmarkStart w:id="262" w:name="_Toc94"/>
      <w:bookmarkEnd w:id="261"/>
      <w:r>
        <w:rPr>
          <w:rtl w:val="true"/>
        </w:rPr>
        <w:t>ألف</w:t>
      </w:r>
      <w:r>
        <w:rPr>
          <w:rtl w:val="true"/>
        </w:rPr>
        <w:t xml:space="preserve">: </w:t>
      </w:r>
      <w:r>
        <w:rPr>
          <w:rtl w:val="true"/>
        </w:rPr>
        <w:t>ما ذكره في وجه الانتفاع به عليه السلام في زمن الغيبة و ما يتعلّق به</w:t>
      </w:r>
      <w:r>
        <w:rPr>
          <w:rtl w:val="true"/>
        </w:rPr>
        <w:t>:</w:t>
      </w:r>
      <w:bookmarkEnd w:id="262"/>
    </w:p>
    <w:p>
      <w:pPr>
        <w:pStyle w:val="Heading5"/>
        <w:numPr>
          <w:ilvl w:val="4"/>
          <w:numId w:val="1"/>
        </w:numPr>
        <w:rPr/>
      </w:pPr>
      <w:bookmarkStart w:id="263" w:name="__RefHeading___Toc2226070_1051229030"/>
      <w:bookmarkStart w:id="264" w:name="_Toc95"/>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الإمامَ لا يَصِحُّ أن يُغيِّرَ حالَهم في القدرةِ و الآلةِ و العقلِ و سائرِ وجوهِ التمكينِ، فلا بُدَّ مِن كَونِها حاصلةً‌</w:t>
      </w:r>
      <w:r>
        <w:rPr>
          <w:rStyle w:val="FootnoteAnchor"/>
          <w:rtl w:val="true"/>
        </w:rPr>
        <w:footnoteReference w:id="461"/>
      </w:r>
      <w:r>
        <w:rPr>
          <w:rFonts w:ascii="Amiri" w:hAnsi="Amiri" w:eastAsia="Amiri" w:cs="Amiri"/>
          <w:color w:val="111111"/>
          <w:sz w:val="28"/>
          <w:sz w:val="28"/>
          <w:szCs w:val="28"/>
          <w:rtl w:val="true"/>
          <w:lang w:bidi="ar-SA"/>
        </w:rPr>
        <w:t>، و كذلكَ فالأدلّةُ على ما كُلِّفوه منصوبةٌ مع فَقدِ الحُجّةِ؛ فإذا صَحَّ ذلكَ فما الذي يَمنَعُ مِن أن يَستَدِلّوا بها فيَعلَموا ما كُلِّفوه و يَقوموا به مع فَقدِ الإمامِ؟ و هَلّا كانَ حالُهم مع فَقدِه كحالِهم مع وجودِه؟ لأنّه مع وجودِه إنّما يَستَفيدونَ بالنظَرِ في الأدلّةِ، و ذلك مُمكِنٌ مع عَدَمِه</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توَهُّمٌ مِنكَ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إيجابَ الإمامةِ و وجودَ الإمامِ في كُلِّ زمانٍ؛ لِيُعلَمَ عندَ وجودِه ما لا يَصِحُّ أن يُعلَمَ عندَ فَقدِه، و إن كانَت الأدلّةُ علَى المعلومِ </w:t>
      </w:r>
    </w:p>
    <w:p>
      <w:pPr>
        <w:pStyle w:val="BookText"/>
        <w:rPr/>
      </w:pPr>
      <w:r>
        <w:rPr>
          <w:rFonts w:ascii="Amiri" w:hAnsi="Amiri" w:eastAsia="Amiri" w:cs="Amiri"/>
          <w:color w:val="111111"/>
          <w:sz w:val="28"/>
          <w:sz w:val="28"/>
          <w:szCs w:val="28"/>
          <w:rtl w:val="true"/>
          <w:lang w:bidi="ar-SA"/>
        </w:rPr>
        <w:t>موجودةً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أنّا لا نَذهَبُ إلى ذلكَ و لا نَعتَمِدُه، و بيّنّا كَيفَ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يَمنَعُ مِن أن يَستَدِلّوا و يَعلَموا و يَقوموا بما كُلِّفوا؟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ما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القيامُ بجميعِ ما كُلِّفوه، فهو و إن كانَ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لُطفٌ في وقوعِه على ما دَلَّلنا عليه، و مُحالٌ إذا كانَ لُطفاً أن يَكونَ حالُهم مع وجودِه كحالِهم مع فَقدِه في القيامِ بما كُلِّفوه مِن العباداتِ التي بيّنّا أنّ وجودَ الإمامِ لُطفٌ في وقوعِها و فَقدَه داعٍ إلَى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لكَ نافي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أنّ جميعَ الألطافِ لا تُغيِّرُ حالَ المكلَّفِ في قدرةٍ و آلةٍ إلى سائرِ وجوهِ التمكينِ؛ لأنّ المكلَّفَ متمكِّنٌ مِن الفِعلِ مع عَدَمِ اللُّطفِ كما أنّه متمكِّنٌ مِنه مع وجودِه، فألّا جازَ الاستغناءُ عن الألطافِ و الاقتصارُ بالمكلَّفينَ على قُدَرِهم و تَمكُّنِهم؟ و جميعُ ما يَبطُلُ به هذا القولُ و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و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الألطافِ، بمِثلِه يَبطُلُ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زَعمِكم إذا لَم يَظهَرِ الإمامُ حتّى يَزولَ‌</w:t>
      </w:r>
      <w:r>
        <w:rPr>
          <w:rStyle w:val="FootnoteAnchor"/>
          <w:rtl w:val="true"/>
        </w:rPr>
        <w:footnoteReference w:id="463"/>
      </w:r>
      <w:r>
        <w:rPr>
          <w:rFonts w:ascii="Amiri" w:hAnsi="Amiri" w:eastAsia="Amiri" w:cs="Amiri"/>
          <w:color w:val="111111"/>
          <w:sz w:val="28"/>
          <w:sz w:val="28"/>
          <w:szCs w:val="28"/>
          <w:rtl w:val="true"/>
          <w:lang w:bidi="ar-SA"/>
        </w:rPr>
        <w:t>النقصُ به، أن يَكونَ الحالُ فيه كالحالِ و لا حُجّةَ في الزمانِ؛ لأنّ النقصَ لا يَزولُ بوجودِ الإمام، و إنّما يَزولُ بما يَظهَرُ مِنه و يُعلَمُ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عَلَيهم في هذا الزمانِ و في كثيرٍ مِن الأزمنةِ أن يَكونَ المُكلَّفُ معذوراً، أو التكليفُ ساقِطاً</w:t>
      </w:r>
      <w:r>
        <w:rPr>
          <w:rFonts w:eastAsia="Amiri" w:cs="Amiri" w:ascii="Amiri" w:hAnsi="Amiri"/>
          <w:color w:val="111111"/>
          <w:sz w:val="28"/>
          <w:szCs w:val="28"/>
          <w:rtl w:val="true"/>
          <w:lang w:bidi="ar-SA"/>
        </w:rPr>
        <w:t>....</w:t>
      </w:r>
      <w:r>
        <w:rPr>
          <w:rStyle w:val="FootnoteAnchor"/>
        </w:rPr>
        <w:footnoteReference w:id="46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إذا لَم يَظهَرِ الإمامُ ففاتَ النفعُ به أن يَكونَ الحالُ عندَ عَدَمِ ظُهورِه كالحالِ عندَ عَدَمِ عَينِه</w:t>
      </w:r>
      <w:r>
        <w:rPr>
          <w:rStyle w:val="FootnoteAnchor"/>
          <w:rtl w:val="true"/>
        </w:rPr>
        <w:footnoteReference w:id="465"/>
      </w:r>
      <w:r>
        <w:rPr>
          <w:rFonts w:ascii="Amiri" w:hAnsi="Amiri" w:eastAsia="Amiri" w:cs="Amiri"/>
          <w:color w:val="111111"/>
          <w:sz w:val="28"/>
          <w:sz w:val="28"/>
          <w:szCs w:val="28"/>
          <w:rtl w:val="true"/>
          <w:lang w:bidi="ar-SA"/>
        </w:rPr>
        <w:t>لأنّه إذا لَم يَظهَرْ لإخافةِ الظالِمينَ له و لأنّهم أحوَجوه إلَى الغَيبةِ و الاستتارِ، كانَت الحُجّةُ في فَوتِ المَصلَحةِ به عَلَيهم، فكانوا هُم المانِعينَ أنفسَهم مِن الانتفاعِ به، و إذا عُدِمَت عَينُ الإمامِ ففاتَ المكلَّفينَ الانتفاعُ به، كانَت الحُجّةُ في ذلكَ على مَن فَوَّتَهم النفعَ به و هو القَديمُ تَعالى، و إذا أُوجِبَت</w:t>
      </w:r>
      <w:r>
        <w:rPr>
          <w:rStyle w:val="FootnoteAnchor"/>
          <w:rtl w:val="true"/>
        </w:rPr>
        <w:footnoteReference w:id="466"/>
      </w:r>
      <w:r>
        <w:rPr>
          <w:rFonts w:ascii="Amiri" w:hAnsi="Amiri" w:eastAsia="Amiri" w:cs="Amiri"/>
          <w:color w:val="111111"/>
          <w:sz w:val="28"/>
          <w:sz w:val="28"/>
          <w:szCs w:val="28"/>
          <w:rtl w:val="true"/>
          <w:lang w:bidi="ar-SA"/>
        </w:rPr>
        <w:t>إزاحةُ عِلَلِ المكلَّفينَ علَيه تَعالى، عَلِمنا أنّه لا بُدَّ مِن أن يوجِدَ الإمامَ و يأمُرَ بطاعتِه و الانقيادِ له؛ سَواءٌ عَلِمَ وقوعَ الطاعةِ مِن المكلَّفينَ، أو عَلِمَ أنّهم يُخيفونَه و يُلجِئونَه إلَى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ظَنَّه مِن كَونِ المكلَّفينَ مَعذورينَ، أو سقوطِ التكليفِ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المكلَّفونَ غيرَ معذورينَ و قد أخافوا الإمامَ على دعواكم، و أحوَجوه إلى الكَونِ‌</w:t>
      </w:r>
      <w:r>
        <w:rPr>
          <w:rStyle w:val="FootnoteAnchor"/>
          <w:rtl w:val="true"/>
        </w:rPr>
        <w:footnoteReference w:id="467"/>
      </w:r>
      <w:r>
        <w:rPr>
          <w:rFonts w:ascii="Amiri" w:hAnsi="Amiri" w:eastAsia="Amiri" w:cs="Amiri"/>
          <w:color w:val="111111"/>
          <w:sz w:val="28"/>
          <w:sz w:val="28"/>
          <w:szCs w:val="28"/>
          <w:rtl w:val="true"/>
          <w:lang w:bidi="ar-SA"/>
        </w:rPr>
        <w:t>بحَيثُ لا يَنتَفِعونَ به، و لا يَصِلونَ إلى مَصالحِهم مِن جهتِه، فيَجِبُ أن يَسقُطَ عنهم التكليفُ الذي أمْرُ الإمامِ و نهيُه و تصرُّفُه لُطفٌ فيه؛ لأنّهم بما فَعَلوه قد مُنِعوا</w:t>
      </w:r>
      <w:r>
        <w:rPr>
          <w:rStyle w:val="FootnoteAnchor"/>
          <w:rtl w:val="true"/>
        </w:rPr>
        <w:footnoteReference w:id="468"/>
      </w:r>
      <w:r>
        <w:rPr>
          <w:rFonts w:ascii="Amiri" w:hAnsi="Amiri" w:eastAsia="Amiri" w:cs="Amiri"/>
          <w:color w:val="111111"/>
          <w:sz w:val="28"/>
          <w:sz w:val="28"/>
          <w:szCs w:val="28"/>
          <w:rtl w:val="true"/>
          <w:lang w:bidi="ar-SA"/>
        </w:rPr>
        <w:t>مِن هذا اللُّطفِ‌</w:t>
      </w:r>
      <w:r>
        <w:rPr>
          <w:rStyle w:val="FootnoteAnchor"/>
          <w:rtl w:val="true"/>
        </w:rPr>
        <w:footnoteReference w:id="469"/>
      </w:r>
      <w:r>
        <w:rPr>
          <w:rFonts w:ascii="Amiri" w:hAnsi="Amiri" w:eastAsia="Amiri" w:cs="Amiri"/>
          <w:color w:val="111111"/>
          <w:sz w:val="28"/>
          <w:sz w:val="28"/>
          <w:szCs w:val="28"/>
          <w:rtl w:val="true"/>
          <w:lang w:bidi="ar-SA"/>
        </w:rPr>
        <w:t>، و جَرَوا في هذا الوجهِ مَجرى مَن قَطَعَ رِجْلَ نَفسِه في أنّ تكليفَه بالصلاةِ قائماً لا يَلزَمُه و يَجِبُ سقوطُه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يَفْتَرِقُ في سقوطِ التكليفِ عنه حالُ قَطعِه لرِجْلِ نَفسِه، و قَطعِ اللّهِ تَعالى لها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يُشبَّهُ حالُ المكلَّفينَ المانِعينَ للإمامِ مِن الظهورِ و القيامِ بأمرِه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الإمامةِ بحالِ القاطعِ لرِجْلِ نَفسِه في سقوطِ تكليفِ الصلاةِ مع القيامِ عنه؛ لأنّ مَن قَطَعَ رِجْلَ نَفسِه قد أخرَجَ نَفسَه عن التمكُّنِ مِن الصلاةِ قائماً؛ لأنّه لا وصولَ له إلى هذه الصلاةِ بشَيءٍ مِن أفعالِه و مقدوراتِه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حالُ الظالِمينَ المُخيفينَ للإمامِ؛ لأنّهم قادرونَ و متمكِّنونَ مِن إزالةِ إخافتِه و ما أحوَجَه إلَى الغَيبةِ، و يَجرونَ في هذا الوجهِ مَجرى مَن شَدَّ رِجْلَ نَفسِه في أنّ تكليفَه للصلاةِ قائماً لا يَسقُطُ عنه و إن كانَ في حالِ شَدِّها غيرَ متمكِّنٍ مِن الصلاةِ؛ لأنّه قادرٌ على إزالةِ الشَّدِّ، فيَصِحُّ مِنه 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الأمرُ الذي فَعَلَه الظالمونَ فمَنَعوا به الإمامَ مِن الظهورِ؟ بَيِّنوه لنَعلَمَ صحّةَ ما ادَّعَيتموه مِن تمكُّنِهم مِن إزالتِه و الانصِرافِ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في الحقيقةِ عندَنا مِن ظهورِه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اللّهِ تَعالى له أنّ الظالِمينَ متى ظَهَرَ أقدَموا على قَتلِه و سَفكِ دَمِه، فبَطَلَ الحُجّةُ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يَجوزُ أن يَكونَ المانعُ مِن الظهورِ إلّاما ذَكَرناه؛ لأنّ مجرَّدَ الخَوفِ مِن الضرَرِ و ما يَجري مَجرَى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يَبلُغُ إلى تَلَفِ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أن يَكونَ مانعاً</w:t>
      </w:r>
      <w:r>
        <w:rPr>
          <w:rStyle w:val="FootnoteAnchor"/>
          <w:rtl w:val="true"/>
        </w:rPr>
        <w:footnoteReference w:id="470"/>
      </w:r>
      <w:r>
        <w:rPr>
          <w:rFonts w:ascii="Amiri" w:hAnsi="Amiri" w:eastAsia="Amiri" w:cs="Amiri"/>
          <w:color w:val="111111"/>
          <w:sz w:val="28"/>
          <w:sz w:val="28"/>
          <w:szCs w:val="28"/>
          <w:rtl w:val="true"/>
          <w:lang w:bidi="ar-SA"/>
        </w:rPr>
        <w:t xml:space="preserve">لأنّا قد رَأَينا مِن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Style w:val="FootnoteAnchor"/>
          <w:rtl w:val="true"/>
        </w:rPr>
        <w:footnoteReference w:id="471"/>
      </w:r>
      <w:r>
        <w:rPr>
          <w:rFonts w:ascii="Amiri" w:hAnsi="Amiri" w:eastAsia="Amiri" w:cs="Amiri"/>
          <w:color w:val="111111"/>
          <w:sz w:val="28"/>
          <w:sz w:val="28"/>
          <w:szCs w:val="28"/>
          <w:rtl w:val="true"/>
          <w:lang w:bidi="ar-SA"/>
        </w:rPr>
        <w:t>ظَهَرَ مع جميعِ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يَجوزُ أن يُجعَلَ المانعُ مِن الظهورِ عِلمَ اللّهِ تَعالى مِن حالِ بَعضِ المكلَّفينَ أو أكثَرِهم أنّهم يَفسُدونَ عندَ ظهورِه في بعضِ الأحوالِ؛ لأنّه إن قيلَ أنّه يَعلَمُ ذلكَ على وجهٍ يَكونُ ظهورُه مؤثِّراً فيه</w:t>
      </w:r>
      <w:r>
        <w:rPr>
          <w:rStyle w:val="FootnoteAnchor"/>
          <w:rtl w:val="true"/>
        </w:rPr>
        <w:footnoteReference w:id="472"/>
      </w:r>
      <w:r>
        <w:rPr>
          <w:rFonts w:ascii="Amiri" w:hAnsi="Amiri" w:eastAsia="Amiri" w:cs="Amiri"/>
          <w:color w:val="111111"/>
          <w:sz w:val="28"/>
          <w:sz w:val="28"/>
          <w:szCs w:val="28"/>
          <w:rtl w:val="true"/>
          <w:lang w:bidi="ar-SA"/>
        </w:rPr>
        <w:t>، وَجَبَ سقوطُ ما عَوَّلنا عليه في أصلِ الإمامةِ مِن كَونِها لُطفاً في الواجباتِ و ارتفاعِ المُقَبَّحاتِ، و لَزِمَ فيها ما نأباهم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كَونِها استفساداً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ظهورُه مؤثِّراً فيما يَقَعُ مِن الفَسادِ، لَم يَلزَمِ الاستتارُ لأجلِه، كما لَم يَلزَمِ استتارُ مَن تَقدَّمَه مِن الأئمّةِ عليهم السلامُ و لا تَركُ بِعثةِ كثيرٍ مِن الرُّسُلِ لأجلِ ما وَقَعَ مِن بعضِ المكلَّفينَ مِن الفَسادِ في حالِ الإمامةِ لهؤلاءِ و النبوّةِ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يبيِّنُ أنّ الوجهَ الصحيحَ الذي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المانعُ هو ما ذَكَرتُموه، فيَجِبُ في كُلِّ مَن كانَ في المعلومِ أنّ رَعيّتَه تَقتُلُه مِن إمامٍ أو نَبيٍّ أن يوجِبَ اللّهُ تَعالى عليه الاستتارَ و الغَيبةَ، و يَحظُرَ</w:t>
      </w:r>
      <w:r>
        <w:rPr>
          <w:rStyle w:val="FootnoteAnchor"/>
          <w:rtl w:val="true"/>
        </w:rPr>
        <w:footnoteReference w:id="473"/>
      </w:r>
      <w:r>
        <w:rPr>
          <w:rFonts w:ascii="Amiri" w:hAnsi="Amiri" w:eastAsia="Amiri" w:cs="Amiri"/>
          <w:color w:val="111111"/>
          <w:sz w:val="28"/>
          <w:sz w:val="28"/>
          <w:szCs w:val="28"/>
          <w:rtl w:val="true"/>
          <w:lang w:bidi="ar-SA"/>
        </w:rPr>
        <w:t>عليه الظهورَ، و إلّافإن جازَ أن يُبيحَ اللّهُ تَعالى لبَعضِ مَن يَعلَمُ أنّه يُقتَلُ مِن حُجَجِه الظهورَ، جازَ مِثلُ ذلكَ في كُلِّ إمامٍ؛ فبَطَلَ أن يَكونَ المانعُ 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أوجَبنا أن يَكونَ ما بيّنّاه مانعاً بشَرطِ أن يَكونَ مصلحةُ المكلَّفينَ مقصورةً على ذلكَ الإمامِ بعَينِه، و يَكونَ في معلومِ اللّهِ تَعالى أنّ أحَداً مِن البَشَرِ لا يَقومُ في مصلحةِ الخَلقِ بإمامتِه مَقامَه، و مَن أباحَه اللّهُ تَعالَى الصَّبرَ علَى القَتلِ مِن حُجَجِه و أنبيائه لَم يُبِحْهُ ذلكَ إلّامع العِلمِ بأنّه إذا قُتِلَ قامَ مَقامَه غيرُه مِن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المانعُ للإمامِ مِن الظهورِ ما بَيَّنتموه ممّا هو معلومٌ أنّ الظالِمينَ هُم المخصوصونَ به، فما قولُكم في أوليائه و معتَقِدي إمامتِه و هُم متميِّزونَ مِن أعدائه في المنعِ الذي ذَكَرتموه؟ فيَجِبُ عَلَيكم 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تَقولوا أنّ التكليفَ الذي الإمامُ لُطفٌ فيه ساقطٌ عنهم كون ظهور الإمام لطفاً في طاعته و مقرّباً منها يمكن بدونه أداؤها بمشقّة، و التبعة في ذلك على من ألجأه إلى الاستتار؛ ألا ترى أنّ تسلّط المخالفين على مكّة و المشاهد المقدّسة أوجب مشقّة التقيّة على الحجيج و الزائرين، و لا يسقط بها عنهم الحجّ و رجحان الزيارة، بل يتضاعف بذلك أجرهم؟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4"/>
      </w:r>
      <w:r>
        <w:rPr>
          <w:rFonts w:ascii="Amiri" w:hAnsi="Amiri" w:eastAsia="Amiri" w:cs="Amiri"/>
          <w:color w:val="111111"/>
          <w:sz w:val="28"/>
          <w:sz w:val="28"/>
          <w:szCs w:val="28"/>
          <w:rtl w:val="true"/>
          <w:lang w:bidi="ar-SA"/>
        </w:rPr>
        <w:t>، و هذا 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تَرتكبوا القولَ‌مع </w:t>
      </w:r>
    </w:p>
    <w:p>
      <w:pPr>
        <w:pStyle w:val="BookText"/>
        <w:rPr/>
      </w:pPr>
      <w:r>
        <w:rPr>
          <w:rFonts w:ascii="Amiri" w:hAnsi="Amiri" w:eastAsia="Amiri" w:cs="Amiri"/>
          <w:color w:val="111111"/>
          <w:sz w:val="28"/>
          <w:sz w:val="28"/>
          <w:szCs w:val="28"/>
          <w:rtl w:val="true"/>
          <w:lang w:bidi="ar-SA"/>
        </w:rPr>
        <w:t>بظُهورِ الإمامِ لهم</w:t>
      </w:r>
      <w:r>
        <w:rPr>
          <w:rStyle w:val="FootnoteAnchor"/>
          <w:rtl w:val="true"/>
        </w:rPr>
        <w:footnoteReference w:id="475"/>
      </w:r>
      <w:r>
        <w:rPr>
          <w:rFonts w:ascii="Amiri" w:hAnsi="Amiri" w:eastAsia="Amiri" w:cs="Amiri"/>
          <w:color w:val="111111"/>
          <w:sz w:val="28"/>
          <w:sz w:val="28"/>
          <w:szCs w:val="28"/>
          <w:rtl w:val="true"/>
          <w:lang w:bidi="ar-SA"/>
        </w:rPr>
        <w:t>، و تَدَّعونَ ما تَعلَمونَ أنتم و كُلُّ أحَدٍ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تُشرِّكوا بَينَهم و بَينَ الأعداءِ في المنعِ الذي ادَّعَيتموه، فيَلزَمُكم مساواتُهم لِحالِهم و خروجُهم مِن جُملةِ الوَلايةِ إلَى العَداوةِ؛ و قد عَلِمنا و عَلِمتم أنّ جميعَ الناسِ لَيسَ بأعداءٍ للإمامِ الذي تَدَّعونَه، بَل فيهم مَن يَعتقدُ إمامتَه و يَنتظرُ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أصحابُنا عن هذا السؤالِ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استتارِ الإمامِ في غَيبتِه عن أوليائه غيرُ العِلّةِ في استتارِه عن أعدائه؛ و هي خَوفُه مِن الظهورِ لهم</w:t>
      </w:r>
      <w:r>
        <w:rPr>
          <w:rStyle w:val="FootnoteAnchor"/>
          <w:rtl w:val="true"/>
        </w:rPr>
        <w:footnoteReference w:id="476"/>
      </w:r>
      <w:r>
        <w:rPr>
          <w:rFonts w:ascii="Amiri" w:hAnsi="Amiri" w:eastAsia="Amiri" w:cs="Amiri"/>
          <w:color w:val="111111"/>
          <w:sz w:val="28"/>
          <w:sz w:val="28"/>
          <w:szCs w:val="28"/>
          <w:rtl w:val="true"/>
          <w:lang w:bidi="ar-SA"/>
        </w:rPr>
        <w:t>لئلّا يَنشُروا خَبَرَه و يُجروا ذِكرَه، فيَسمَعَ به الأعداءُ و يَظهَروا عليه، فيَؤولُ الأمرُ إلَى الغايةِ الموجِبةِ للاستتارِ من الأعداءِ؛ و هذا قريبٌ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أن يُجابَ به عن هذا السؤالِ‌</w:t>
      </w:r>
      <w:r>
        <w:rPr>
          <w:rStyle w:val="FootnoteAnchor"/>
          <w:rtl w:val="true"/>
        </w:rPr>
        <w:footnoteReference w:id="477"/>
      </w:r>
      <w:r>
        <w:rPr>
          <w:rFonts w:ascii="Amiri" w:hAnsi="Amiri" w:eastAsia="Amiri" w:cs="Amiri"/>
          <w:color w:val="111111"/>
          <w:sz w:val="28"/>
          <w:sz w:val="28"/>
          <w:szCs w:val="28"/>
          <w:rtl w:val="true"/>
          <w:lang w:bidi="ar-SA"/>
        </w:rPr>
        <w:t>،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الإمامَ إذا ظَهَرَ </w:t>
      </w:r>
    </w:p>
    <w:p>
      <w:pPr>
        <w:pStyle w:val="BookText"/>
        <w:rPr/>
      </w:pPr>
      <w:r>
        <w:rPr>
          <w:rFonts w:ascii="Amiri" w:hAnsi="Amiri" w:eastAsia="Amiri" w:cs="Amiri"/>
          <w:color w:val="111111"/>
          <w:sz w:val="28"/>
          <w:sz w:val="28"/>
          <w:szCs w:val="28"/>
          <w:rtl w:val="true"/>
          <w:lang w:bidi="ar-SA"/>
        </w:rPr>
        <w:t>لجميعِ رعيّتِه أو لبعضِهم و لَيسَ يُعلَمُ صدقُه في ادّعائه أنّه الإمامُ بنَفسِ دعواه، بَل لا بُدَّ مِن آيةٍ يُظهِرُها تَدُلُّ على صدقِه، و ما يُظهِرُه مِن الآياتِ لَيسَ يُعلَمُ ضرورةً كَونُه آيةً و دَلالةً، بل يُعلَمُ ذلكَ بضُروبِ الاستدلالِ التي تَدخُلُ في طُرُقِها الشكوكُ و الشبُهاتُ، و إذا صَحَّ هذا فمَن لَم يَظهَر له الإمامُ مِن أوليائه لا يَمتَنِعُ أن يَكونَ المعلومُ مِن حالِه أنّ ما يُظهِرُه الإمامُ مِن المُعجِزِ يَدخُلُ عليه في طريقِه الشُّبُهاتُ، فلا يَصِلُ إلَى العِلمِ بكَونِه آيةً مُعجِزةً، و إذا لَم يَصِلْ إلى ما ذَكَرناه و اعتَقَدَ في المُظهِرِ له ما يُعتَقَدُ في المُحتالينَ‌</w:t>
      </w:r>
      <w:r>
        <w:rPr>
          <w:rStyle w:val="FootnoteAnchor"/>
          <w:rtl w:val="true"/>
        </w:rPr>
        <w:footnoteReference w:id="478"/>
      </w:r>
      <w:r>
        <w:rPr>
          <w:rFonts w:ascii="Amiri" w:hAnsi="Amiri" w:eastAsia="Amiri" w:cs="Amiri"/>
          <w:color w:val="111111"/>
          <w:sz w:val="28"/>
          <w:sz w:val="28"/>
          <w:szCs w:val="28"/>
          <w:rtl w:val="true"/>
          <w:lang w:bidi="ar-SA"/>
        </w:rPr>
        <w:t>المُخرِّفينَ‌</w:t>
      </w:r>
      <w:r>
        <w:rPr>
          <w:rStyle w:val="FootnoteAnchor"/>
          <w:rtl w:val="true"/>
        </w:rPr>
        <w:footnoteReference w:id="479"/>
      </w:r>
      <w:r>
        <w:rPr>
          <w:rFonts w:ascii="Amiri" w:hAnsi="Amiri" w:eastAsia="Amiri" w:cs="Amiri"/>
          <w:color w:val="111111"/>
          <w:sz w:val="28"/>
          <w:sz w:val="28"/>
          <w:szCs w:val="28"/>
          <w:rtl w:val="true"/>
          <w:lang w:bidi="ar-SA"/>
        </w:rPr>
        <w:t xml:space="preserve">، لَم يَمتَنِعْ أن يَكونَ في المعلومِ مِنه أن يُقدِمَ مع هذا الاعتقادِ على سَفكِ دَمِه أو فِعلِ ما يؤدّي إلى ذلكَ مِن تنبيهِ بعضِهم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بَعضَ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فيَؤولُ الحالُ إلَى العِلّةِ التي مَنَعنا لها مِن ظهورِه لأعدائه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بَينَ الأعداءِ و الأولياءِ فَرقٌ مِن وجهٍ آخَرَ؛ لأنّ الأعداءَ قَبلَ ظهورِه معتقِدونَ أنّه لا إمامَ في العالَمِ، و أنّ مَن ادَّعَى الإمامةَ مُبطِلٌ كاذبٌ، فهُم عندَ 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يَدَّعي الإمامةَ علَى الوجهِ الذي نَذهَبُ إليه لا يَنظُرونَ فيما يُظهِرُه ممّا يَدَّعي أنّه آيةٌ؛ لتَقدُّمِ اعتقادِهم أنّ كُلَّ ما يَدَّعيه مِن نَسَبِ الإمامةِ المخصوصةِ إلى نَفسِه مِن الآياتِ باطلٌ لا دَلالةَ فيه، فيُقدِمونَ لهذه الاعتقاداتِ علَى المكروهِ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حالُ الأولياءِ؛ لأنّهم يَنتظرونَ ظهورَ الإمامِ الذي يَدَّعي هذا النسَبَ المخصوصَ، فهُم يَنظرونَ فيما يُظهِرُه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يَستَحِلُّ بعضُهم فيه المحرَّمَ لدُخولِ الشُّبهةِ عليه فيما يُظهِرُه حتّى يَعتقِدَ أنّه لَيسَ بآيةٍ و لا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الجوابَينِ جميعاً لسنا نَقطعُ على أنّ الإمامَ لا يَظهَرُ لبعضِ أوليائه و شيعتِه، بل يَجوزُ ذلكَ، و يَجوزُ أيضاً أن لا يَكونَ ظاهراً لأحَدٍ مِنهم، و لَيسَ يَعرِفُ كُلُّ واحدٍ منّا إلّاحالَ نَفسِه، فأمّا حالُ غيرِه فغَيرُ معلومةٍ له؛ و لأجلِ تجويزِنا أن لا يَظهَرَ لبعضِهم أو لجميعِهم ما ذَكَرنا العِلّةَ المانعةَ مِن الظهورِ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نَعودُ إلى ما ذَكَروه مِن التفصيلِ،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السَّهوَ يَعُمُّ الجميعَ، فلا بُدَّ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السَّهوِ عَلَيهم لا يَمنَعُ مِن صحّةِ قيامِهم بما كُلِّفوه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يَمنَعُ‌</w:t>
      </w:r>
      <w:r>
        <w:rPr>
          <w:rStyle w:val="FootnoteAnchor"/>
          <w:rtl w:val="true"/>
        </w:rPr>
        <w:footnoteReference w:id="481"/>
      </w:r>
      <w:r>
        <w:rPr>
          <w:rFonts w:ascii="Amiri" w:hAnsi="Amiri" w:eastAsia="Amiri" w:cs="Amiri"/>
          <w:color w:val="111111"/>
          <w:sz w:val="28"/>
          <w:sz w:val="28"/>
          <w:szCs w:val="28"/>
          <w:rtl w:val="true"/>
          <w:lang w:bidi="ar-SA"/>
        </w:rPr>
        <w:t>مِن التكليفِ في وقتٍ لا يُمكِنُ الوصولُ إلَى الحُجّةِ‌</w:t>
      </w:r>
      <w:r>
        <w:rPr>
          <w:rStyle w:val="FootnoteAnchor"/>
          <w:rtl w:val="true"/>
        </w:rPr>
        <w:footnoteReference w:id="482"/>
      </w:r>
      <w:r>
        <w:rPr>
          <w:rFonts w:ascii="Amiri" w:hAnsi="Amiri" w:eastAsia="Amiri" w:cs="Amiri"/>
          <w:color w:val="111111"/>
          <w:sz w:val="28"/>
          <w:sz w:val="28"/>
          <w:szCs w:val="28"/>
          <w:rtl w:val="true"/>
          <w:lang w:bidi="ar-SA"/>
        </w:rPr>
        <w:t>، و يوجِبُ في نَفسِ الحُجّةِ أنّه لا يُمكِنُه القيامُ بما كُلِّفَ إلّابحُجّةٍ</w:t>
      </w:r>
      <w:r>
        <w:rPr>
          <w:rFonts w:eastAsia="Amiri" w:cs="Amiri" w:ascii="Amiri" w:hAnsi="Amiri"/>
          <w:color w:val="111111"/>
          <w:sz w:val="28"/>
          <w:szCs w:val="28"/>
          <w:rtl w:val="true"/>
          <w:lang w:bidi="ar-SA"/>
        </w:rPr>
        <w:t>....</w:t>
      </w:r>
      <w:r>
        <w:rPr>
          <w:rStyle w:val="FootnoteAnchor"/>
        </w:rPr>
        <w:footnoteReference w:id="48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65" w:name="pg7486_97227"/>
    </w:p>
    <w:p>
      <w:pPr>
        <w:pStyle w:val="BookText"/>
        <w:rPr/>
      </w:pPr>
      <w:bookmarkEnd w:id="265"/>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 هذا الفصلِ مَبنيٌّ على توهُّمِكَ عَلَينا إيجابَ الحُجّةِ لأجلِ جوازِ السَّهوِ علَى الخَلقِ في طريقِ النظَرِ و الاستدلالِ و التوصُّلِ إلَى المَعارفِ، و قد بيّنّا أنّ الأمرَ بخِلافِ ما ظنَنتَه، و رَتَّبنا التعلُّقَ بالسَّهوِ في وجوبِ الحاجةِ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تكليفُ المكلَّفينَ في وقتٍ لا يَتمكَّنونَ فيه مِن الوصولِ إلَى الحُجّةِ، فإنّما كان يَقبُحُ لَو امتَنَعَ وصولُهم إليه لشَيءٍ يَرجِعُ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كانوا في الأحوالِ التي لا يَصِلونَ إليه فيها غيرَ متمكِّنينَ مِن أفعالٍ إذا وَقَعَت مِنهم وَصَلوا إليها لا مَحالةَ، و قد بيّنّا أنّهم متمكِّنونَ ممّا إذا فَعَلوه زالَت تقيّةُ الإمامِ و خَوفُه و وَجَبَ عليه الظهورُ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2226072_1051229030"/>
      <w:bookmarkStart w:id="267" w:name="_Toc96"/>
      <w:bookmarkEnd w:id="266"/>
      <w:r>
        <w:rPr>
          <w:rtl w:val="true"/>
        </w:rPr>
        <w:t>نفي السهو عن الإمام</w:t>
      </w:r>
      <w:bookmarkEnd w:id="267"/>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 نَفسِ الحُجّةِ أن لا يُمكِنَه القيامُ بما كُلِّفَ إلّابحُجّةٍ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فطَريفٌ‌</w:t>
      </w:r>
      <w:r>
        <w:rPr>
          <w:rStyle w:val="FootnoteAnchor"/>
          <w:rtl w:val="true"/>
        </w:rPr>
        <w:footnoteReference w:id="485"/>
      </w:r>
      <w:r>
        <w:rPr>
          <w:rFonts w:ascii="Amiri" w:hAnsi="Amiri" w:eastAsia="Amiri" w:cs="Amiri"/>
          <w:color w:val="111111"/>
          <w:sz w:val="28"/>
          <w:sz w:val="28"/>
          <w:szCs w:val="28"/>
          <w:rtl w:val="true"/>
          <w:lang w:bidi="ar-SA"/>
        </w:rPr>
        <w:t>لأنّ الحُجّةَ عندَ خُصومِكَ لا يَجوزُ عليه السَّهوُ و لا شَيءٌ ممّا احتاجَت الأُمّةُ مِن أجلِه إليه؛ فكَيفَ تَظُنُّ أنّه يَلزَمُ خُصومَكَ إذا أوجَبوا حاجةَ الخَلقِ إلَى الإمامِ لأجلِ جوازِ السَّهوِ عَلَيهم لَزِمَهم حاجةُ الإمامِ نَفسِه إلى إمامٍ، و هو عندَهم لا يَجوزُ عليه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كانَ الحُجّةُ يبيِّنُ لنا ما لَولاه لَم يَتنَبَّهِ‌</w:t>
      </w:r>
      <w:r>
        <w:rPr>
          <w:rStyle w:val="FootnoteAnchor"/>
          <w:rtl w:val="true"/>
        </w:rPr>
        <w:footnoteReference w:id="486"/>
      </w:r>
      <w:r>
        <w:rPr>
          <w:rFonts w:ascii="Amiri" w:hAnsi="Amiri" w:eastAsia="Amiri" w:cs="Amiri"/>
          <w:color w:val="111111"/>
          <w:sz w:val="28"/>
          <w:sz w:val="28"/>
          <w:szCs w:val="28"/>
          <w:rtl w:val="true"/>
          <w:lang w:bidi="ar-SA"/>
        </w:rPr>
        <w:t xml:space="preserve">المكلَّفُ؛ فمِن أينَ أنّه </w:t>
      </w:r>
    </w:p>
    <w:p>
      <w:pPr>
        <w:pStyle w:val="BookText"/>
        <w:rPr/>
      </w:pPr>
      <w:r>
        <w:rPr>
          <w:rFonts w:ascii="Amiri" w:hAnsi="Amiri" w:eastAsia="Amiri" w:cs="Amiri"/>
          <w:color w:val="111111"/>
          <w:sz w:val="28"/>
          <w:sz w:val="28"/>
          <w:szCs w:val="28"/>
          <w:rtl w:val="true"/>
          <w:lang w:bidi="ar-SA"/>
        </w:rPr>
        <w:t>لا بُدَّ مِنه في كُلِّ زمانٍ؟ و هَلّا جازَ أن يَستغنيَ المكلَّفونَ في كثيرٍ مِن الأعصارِ بما يَتَواتَرُ عن الرسولِ صلَّى اللّهُ عليه و آلِه و سَلَّمَ و الحُجّةِ‌</w:t>
      </w:r>
      <w:r>
        <w:rPr>
          <w:rStyle w:val="FootnoteAnchor"/>
          <w:rtl w:val="true"/>
        </w:rPr>
        <w:footnoteReference w:id="487"/>
      </w:r>
      <w:r>
        <w:rPr>
          <w:rFonts w:ascii="IRNazanin" w:hAnsi="IRNazanin" w:eastAsia="IRNazanin"/>
          <w:color w:val="111111"/>
          <w:sz w:val="28"/>
          <w:sz w:val="28"/>
          <w:szCs w:val="28"/>
          <w:rtl w:val="true"/>
          <w:lang w:bidi="fa-IR"/>
        </w:rPr>
        <w:t>و الإمامِ؟ فإن</w:t>
      </w:r>
      <w:r>
        <w:rPr>
          <w:rStyle w:val="FootnoteAnchor"/>
          <w:rtl w:val="true"/>
        </w:rPr>
        <w:footnoteReference w:id="488"/>
      </w:r>
      <w:r>
        <w:rPr>
          <w:rFonts w:ascii="Amiri" w:hAnsi="Amiri" w:eastAsia="Amiri" w:cs="Amiri"/>
          <w:color w:val="111111"/>
          <w:sz w:val="28"/>
          <w:sz w:val="28"/>
          <w:szCs w:val="28"/>
          <w:rtl w:val="true"/>
          <w:lang w:bidi="ar-SA"/>
        </w:rPr>
        <w:t>امتَنَعوا مِن ارتفاعِ النقصِ و السَّهوِ بالتواتُرِ مع أنّه يوجِبُ العِلمَ الضَّروريَّ‌</w:t>
      </w:r>
      <w:r>
        <w:rPr>
          <w:rStyle w:val="FootnoteAnchor"/>
          <w:rtl w:val="true"/>
        </w:rPr>
        <w:footnoteReference w:id="489"/>
      </w:r>
      <w:r>
        <w:rPr>
          <w:rFonts w:ascii="Amiri" w:hAnsi="Amiri" w:eastAsia="Amiri" w:cs="Amiri"/>
          <w:color w:val="111111"/>
          <w:sz w:val="28"/>
          <w:sz w:val="28"/>
          <w:szCs w:val="28"/>
          <w:rtl w:val="true"/>
          <w:lang w:bidi="ar-SA"/>
        </w:rPr>
        <w:t>، لَزِمَهم أن لا يَرتَفِعا بالحُجّةِ الذي غايةُ ما يأتيه هو البيانُ‌</w:t>
      </w:r>
      <w:r>
        <w:rPr>
          <w:rStyle w:val="FootnoteAnchor"/>
          <w:rtl w:val="true"/>
        </w:rPr>
        <w:footnoteReference w:id="490"/>
      </w:r>
      <w:r>
        <w:rPr>
          <w:rFonts w:ascii="Amiri" w:hAnsi="Amiri" w:eastAsia="Amiri" w:cs="Amiri"/>
          <w:color w:val="111111"/>
          <w:sz w:val="28"/>
          <w:sz w:val="28"/>
          <w:szCs w:val="28"/>
          <w:rtl w:val="true"/>
          <w:lang w:bidi="ar-SA"/>
        </w:rPr>
        <w:t>الذي لا يَستَقِلُّ بنَفسِه، و يُحتاجُ معه إلَى النظَرِ و الاستدلالِ</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التواتُرَ يوجِبُ العِلمَ الضروريَّ على ما اقتَرَحتَ، ألَيسَ إنّما يَجِبُ العِلمُ الضروريُّ عندَ ما يُنقَلُ و يُتَواتَرُ به مِن الأخبارِ؟</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علَى الناقلِ العُدولُ عن النقلِ لسَهوٍ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يَنفَعْنا حصولُ العِلمِ الضَّروريِّ لنا بما نُقِلَ، و وَجَبَ أن لا نَكونَ واثقينَ بأنّ جميعَ الشرعِ قد تَضمَّنَه النقلُ‌</w:t>
      </w:r>
      <w:r>
        <w:rPr>
          <w:rStyle w:val="FootnoteAnchor"/>
          <w:rtl w:val="true"/>
        </w:rPr>
        <w:footnoteReference w:id="492"/>
      </w:r>
      <w:r>
        <w:rPr>
          <w:rFonts w:ascii="Amiri" w:hAnsi="Amiri" w:eastAsia="Amiri" w:cs="Amiri"/>
          <w:color w:val="111111"/>
          <w:sz w:val="28"/>
          <w:sz w:val="28"/>
          <w:szCs w:val="28"/>
          <w:rtl w:val="true"/>
          <w:lang w:bidi="ar-SA"/>
        </w:rPr>
        <w:t>، و لَزِمَت الحاجةُ إلَى الإمامِ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لكَ أيضاً أنّ الناقِلينَ لا يَجوزُ أن يَعدِلوا عن النقلِ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يُخِلّوا به، مُضافاً إلى أنّ تسليمَنا أنّ نَقلَهم يوجِبُ العِلمَ الضَّروريَّ، لَم يَجِبْ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تَوهَّمتَه مِن الاستغناءِ عن الإمامِ؛ لأنّا قد بيّنّا فيما تَقدَّمَ أنّ وجودَ الإمامِ لُطفٌ في فِعلِ كثيرٍ مِن الواجباتِ و ارتفاعِ كثيرٍ مِن المُقبَّحاتِ، و ما هذه حالُه تَلزَمُ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في النقلِ على ما تَدَّعيه و تَقتَرِحُه؛ فكَيفَ يَصِحُّ إطلاقُكَ أنّ التواتُرَ إذا أوجَبَ العِلمَ الضَّروريَّ ارتَفَعَت الحاجةُ إلَى الحُجّةِ في كُلِّ زمانٍ؟</w:t>
      </w:r>
    </w:p>
    <w:p>
      <w:pPr>
        <w:pStyle w:val="BookText"/>
        <w:rPr/>
      </w:pPr>
      <w:r>
        <w:rPr>
          <w:rFonts w:ascii="Amiri" w:hAnsi="Amiri" w:eastAsia="Amiri" w:cs="Amiri"/>
          <w:color w:val="111111"/>
          <w:sz w:val="28"/>
          <w:sz w:val="28"/>
          <w:szCs w:val="28"/>
          <w:rtl w:val="true"/>
          <w:lang w:bidi="ar-SA"/>
        </w:rPr>
        <w:t>ثُمّ أَورَدَ صاحبُ الكتابِ كلاماً في السهوِ يَجري مَجرى ما تَقدَّمَ في بِنائه علَى التوَهُّمِ عَلَينا إيجابَ وجودِ الإمامِ لجوازِ السهوِفي طُرُقِ المَعارفِ</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تَعلُّقُهم بكُلِّ ذلكَ يَبطُلُ؛ لأنّه يوجِبُ أن لا يَقتَصِروا على حُجّةٍ واحدةٍ‌</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يَلزَمُهم أن لا يُجوِّزوا الغَيبةَ عليه و خَفاءَ المَوضعِ و الشخصِ و</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يَلزَمُهم أن يَكونَ كُلُّ مكلَّفٍ متمكِّناً مِنه في كُلِّ وقتٍ</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إلزامُكَ أن لا يُقتَصَرَ على حُجّةٍ واحدةٍ، فقَد مضى ما فيه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نُجوِّزها مع الاختيارِ، بَل مع الإلجاءِ و الاضطِرارِ، و الحُجّةُ فيها علَى الظالِمينَ الذينَ أخافوا الإمامَ و أحوَجوه إلَى الاستتارِ و الغَيبةِ، و لا حُجّةَ فيها علَى اللّهِ تَعالى و لا علَى الإمامِ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تَمكُّنُ كُلِّ واحدٍ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مُمكِنٌ؛ مِن حَيثُ تَمكَّنوا مِن مُفارَقةِ ما أحوَجَ الإمامَ إلَى الاستتارِ</w:t>
      </w:r>
      <w:r>
        <w:rPr>
          <w:rFonts w:eastAsia="Amiri" w:cs="Amiri" w:ascii="Amiri" w:hAnsi="Amiri"/>
          <w:color w:val="111111"/>
          <w:sz w:val="28"/>
          <w:szCs w:val="28"/>
          <w:rtl w:val="true"/>
          <w:lang w:bidi="ar-SA"/>
        </w:rPr>
        <w:t>.</w:t>
      </w:r>
      <w:r>
        <w:rPr>
          <w:rStyle w:val="FootnoteAnchor"/>
        </w:rPr>
        <w:footnoteReference w:id="49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يَلزَمُهم على هذه العِلّةِ‌</w:t>
      </w:r>
      <w:r>
        <w:rPr>
          <w:rStyle w:val="FootnoteAnchor"/>
          <w:rtl w:val="true"/>
        </w:rPr>
        <w:footnoteReference w:id="498"/>
      </w:r>
      <w:r>
        <w:rPr>
          <w:rFonts w:ascii="Amiri" w:hAnsi="Amiri" w:eastAsia="Amiri" w:cs="Amiri"/>
          <w:color w:val="111111"/>
          <w:sz w:val="28"/>
          <w:sz w:val="28"/>
          <w:szCs w:val="28"/>
          <w:rtl w:val="true"/>
          <w:lang w:bidi="ar-SA"/>
        </w:rPr>
        <w:t>وجودُ الإمامِ و ظُهورهُ و التمَكُّنُ مِن مُلاقاتِه لإزالةِ هذا الاختلافِ، و يَلزَمُهم وجودُ الحُجّةِ في كُلِّ بَلَدٍ و عندَ كُلِّ فَريقٍ، و يَلزَمُهم إبطالُ الفَتاوى مِن العلماءِ؛ لجَوازِ الغَلَطِ عَلَيهم أو على كثيرٍ مِنهم، و أن يوجِبوا أن لا يُقيمَ الحدودَ</w:t>
      </w:r>
      <w:r>
        <w:rPr>
          <w:rStyle w:val="FootnoteAnchor"/>
          <w:rtl w:val="true"/>
        </w:rPr>
        <w:footnoteReference w:id="499"/>
      </w:r>
      <w:r>
        <w:rPr>
          <w:rFonts w:ascii="Amiri" w:hAnsi="Amiri" w:eastAsia="Amiri" w:cs="Amiri"/>
          <w:color w:val="111111"/>
          <w:sz w:val="28"/>
          <w:sz w:val="28"/>
          <w:szCs w:val="28"/>
          <w:rtl w:val="true"/>
          <w:lang w:bidi="ar-SA"/>
        </w:rPr>
        <w:t>إلّاالإمامُ، و لا يَحكمَ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خروجٌ عن دينِ المُسلِمينَ‌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الإمامِ و ظُهورُه في كُلِّ بَلَدٍ، فقَد مضَى الكلامُ فيه دُفعةً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الفَتاوى فلا تَبطُلُ كما ادَّعَيتَ بَل يَتَوَلّاها مَن استُودِعَ حُكمَ الحَوادِثِ، و هُم الشيعةُ بما نَقَلوه عن أئمّتِهم عليهم السلام، و مَن عَدَلَ عن هذا المَعدِنِ الذي بيّنّاه لَم يَكُن له أن يُفتيَ؛ لأنّه لا يُفتي في الأكثرِ إلّابما هو عاملٌ فيه على الظَّنِّ و الترجيمِ‌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مِنكم باستغناءِ الشيعةِ بما عَلِمَته عن إمامِ الزمانِ عليه السلامُ؛ لأنّها إذا كانَت قد استفادَت عِلمَ الحوادِثِ عمّن تَقدَّمَ ظُهورُه مِن الأئمّةِ عليهم السلام، فأيُّ حاجةٍ بها إلى هذا الإمامِ؟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يَجِبُ ما ظَنَنتَه لَو كانَ ما استفادَته مِن هذه العلومِ و وَثِقَت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لا يَفتقِرُ إلى كَونِ الإمامِ مِن ورائهم، و قد عَلِمنا خِلافَ ذلكَ؛ لأنّه لَولا وجودُ الإمامِ مع جوازِ تَركِ النَّقلِ علَى الشيعةِ و العُدولِ عنه، لَم نأمَنْ أن يَكونَ ما أدَّوه إلينا بعضَ ما سَمِعوه، و لَيسَ نأمَنُ وقوعَ ما هو جائزٌ عَلَيهم ممّا أشَرنا إليه إلّابالقَطعِ على وجودِ معصومٍ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عَلِمنا أنّ مَن يَعتَرِفُ بالإمامِ‌</w:t>
      </w:r>
      <w:r>
        <w:rPr>
          <w:rStyle w:val="FootnoteAnchor"/>
          <w:rtl w:val="true"/>
        </w:rPr>
        <w:footnoteReference w:id="502"/>
      </w:r>
      <w:r>
        <w:rPr>
          <w:rFonts w:ascii="Amiri" w:hAnsi="Amiri" w:eastAsia="Amiri" w:cs="Amiri"/>
          <w:color w:val="111111"/>
          <w:sz w:val="28"/>
          <w:sz w:val="28"/>
          <w:szCs w:val="28"/>
          <w:rtl w:val="true"/>
          <w:lang w:bidi="ar-SA"/>
        </w:rPr>
        <w:t>و الحُجّةِ قد اختَلَفوا في مَذاهِبَ‌</w:t>
      </w:r>
      <w:r>
        <w:rPr>
          <w:rStyle w:val="FootnoteAnchor"/>
          <w:rtl w:val="true"/>
        </w:rPr>
        <w:footnoteReference w:id="503"/>
      </w:r>
      <w:r>
        <w:rPr>
          <w:rFonts w:ascii="Amiri" w:hAnsi="Amiri" w:eastAsia="Amiri" w:cs="Amiri"/>
          <w:color w:val="111111"/>
          <w:sz w:val="28"/>
          <w:sz w:val="28"/>
          <w:szCs w:val="28"/>
          <w:rtl w:val="true"/>
          <w:lang w:bidi="ar-SA"/>
        </w:rPr>
        <w:t>، فيَلزَمُهم الحاجةُ إلى إمامٍ آخَرَ يَقطَعُ اختلافَهم، و ما يوجِبُ الغِنى عن ذلكَ في اختلافِهم يَنقُضُ ما ذَكَروه مِن عِلّتِهم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نُنكِرُ اختلافَ مَن اعتَرَفَ بالحُجّةِ في مَذاهِبَ، إلّاأنّهم لَم يَختَلِفوا إلّا فيما عليه دليلٌ ذَهَبَ عن طريقِه بعضٌ و وَصَلَ إليه بعضٌ، و لَيسَ كذلك اختلافُ مخالِفيهم فيما لا دليلَ عليه مِن الشرعيّاتِ، و مَن شَكَّ فيما ذَكَرناه كانَت المِحنةُ‌</w:t>
      </w:r>
      <w:r>
        <w:rPr>
          <w:rStyle w:val="FootnoteAnchor"/>
          <w:rtl w:val="true"/>
        </w:rPr>
        <w:footnoteReference w:id="505"/>
      </w:r>
      <w:r>
        <w:rPr>
          <w:rFonts w:ascii="Amiri" w:hAnsi="Amiri" w:eastAsia="Amiri" w:cs="Amiri"/>
          <w:color w:val="111111"/>
          <w:sz w:val="28"/>
          <w:sz w:val="28"/>
          <w:szCs w:val="28"/>
          <w:rtl w:val="true"/>
          <w:lang w:bidi="ar-SA"/>
        </w:rPr>
        <w:t>بَينَنا و بَينَه في ذلكَ</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الشريف ما ادّعاه صاحب المغني من أنّ أمير المؤمنين عليه السلام و غيره ممنّ عبّر عنهم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يعتمدون على الاجتهاد و يفتون به، فأجاب عنه بإنكار ذلك كلّه، و ذكر عنه بعد ذلك شبهةً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هذه النسبة و الإضافة و نسب الشبهة إلى بعض أصحابنا فرَدَّها و لم يُقِرَّ بها، 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سألوا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الحاجةَ إلَى الرسولِ 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الشرائعِ و الدُّعاءِ إلَى الطاعةِ،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الحاجةَ إلى مَن يَقومُ مَقامَه في حِفظِ شريعتِه، و يَسُدُّ مَسَدَّه؛ لأنّا قد عَلِمنا أنّه لا أحَدَ مِن أُمّتِه إلّاو قد يَجوزُ أن لا يَحفَظَ البعضَ أو الكُلَّ، و حالُ جميعِهم كحالِ كُلِّ واحدٍ مِنهم، فلا بُدَّ ممّن يَقومُ بحِفظِ ذلكَ، و أن يَكونَ معصوماً يؤمَنُ مِنه الغَلَطُ و السَّهوُ و الكِتمانُ؛ لأنّ تجويزَ ذلكَ عليه يَنقُضُ القولَ بأنّ الشريعةَ لا بُدَّ مِن أن تَكونَ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إثباتُ الحاجةِ إلى إمامٍ في كُلِّ زمانٍ؛ إذ لا فَرقَ بَينَ وجوبِ حِفظِ الشريعةِ حتّى لا تَندَرِسَ و بَينَ وجوبِ مَورِدِها</w:t>
      </w:r>
      <w:r>
        <w:rPr>
          <w:rStyle w:val="FootnoteAnchor"/>
          <w:rtl w:val="true"/>
        </w:rPr>
        <w:footnoteReference w:id="507"/>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يَتِمَّ حِفظُ ذلك إلّا بوجودِ إمامٍ معصومٍ، فلا بُدَّ مِن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التعَلُّقَ بذلكَ في أنّه لا بُدَّ مِن حُجّةٍ في كُلِّ زمانٍ لا يَصِحُّ؛ لأنّه قد يَجوزُ عندَنا أن يَخلُوَ التكليفُ‌</w:t>
      </w:r>
      <w:r>
        <w:rPr>
          <w:rStyle w:val="FootnoteAnchor"/>
          <w:rtl w:val="true"/>
        </w:rPr>
        <w:footnoteReference w:id="508"/>
      </w:r>
      <w:r>
        <w:rPr>
          <w:rFonts w:ascii="Amiri" w:hAnsi="Amiri" w:eastAsia="Amiri" w:cs="Amiri"/>
          <w:color w:val="111111"/>
          <w:sz w:val="28"/>
          <w:sz w:val="28"/>
          <w:szCs w:val="28"/>
          <w:rtl w:val="true"/>
          <w:lang w:bidi="ar-SA"/>
        </w:rPr>
        <w:t>العقليُّ مِن الشرعيِّ على ما بيّنّاه مِن قَبلُ، فإذا لَم يَكُن شَرعٌ لَم تَجِبِ الحاجةُ إلى حُجّةٍ في الزمانِ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يُمكِنُ التعَلُّقُ بذلكَ في أنّه لا بُدَّ مِن حُجّةٍ بَعدَ وجودِ الرُّسُلِ، و هذا أيضاً لا يَصِحُّ؛ لأنّ في الرُّسُلِ مَن يَجوزُ أن يُكلَّفَ أداءَ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مَن شاهَدَه و لا تَكونَ شريعتُه مؤبَّدةً، بل تَكونَ مخصوصةً بزمانِه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بَعدَ الرُّسُلِ أنّه لا بُدَّ مِن إمامٍ 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نَراكَ تَخرُجُ فيما تَحكيهِ مِن طُرُقِنا و أدلّتِنا عن إيرادِ ما لا نَعتَمِدُه جُملةً و لا نَرتَضيهِ دَلالةً و طريقةً، أو إيرادِ ما يَتعَلَّقُ به بعضُنا و لا يَرتَضيهِ أكثَرُنا و لا المحقِّقونَ مِنّا، أو تحريفِ المعتَمَدِ و تَنحيَتِه و إزالتِه عن نَظمِه و ترتيبِه، أو حكايةِ لفظٍ رُبَّما عَبَّرَ به بعضُ أصحابِنا و تفسيرِه على خِلافِ المُرادِ و ضِدِّ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هذه الطريقةُ التي حَكَيتَها آنِفاً، فترتيبُ الاستدلالِ بها على خِلافِ ما رَتَّبتَه؛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شريعةَ نبيِّنا عليه السلامُ مؤبَّدةٌ غيرُ منسوخةٍ، و مستمِرّةٌ غيرُ منقَطِعةٍ، و أنّ التعبُّدَ بها غيرُ منقَطِعٍ لازمٌ للمكلَّفينَ إلى أوانِ قيامِ الساعةِ، و لا بُدَّ لها مِن حافظٍ؛ لأنّ تَركَها بغيرِ حافظٍ إهمالٌ لأمرِها، و تكليفٌ لِمَن تُعُبِّدَ بها ما لا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يَخلو أن يَكونَ الحافظُ معصوماً، أو 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معصوماً لَم يؤمَنْ تغييرُه و تبديلُه</w:t>
      </w:r>
      <w:r>
        <w:rPr>
          <w:rStyle w:val="FootnoteAnchor"/>
          <w:rtl w:val="true"/>
        </w:rPr>
        <w:footnoteReference w:id="510"/>
      </w:r>
      <w:r>
        <w:rPr>
          <w:rFonts w:ascii="Amiri" w:hAnsi="Amiri" w:eastAsia="Amiri" w:cs="Amiri"/>
          <w:color w:val="111111"/>
          <w:sz w:val="28"/>
          <w:sz w:val="28"/>
          <w:szCs w:val="28"/>
          <w:rtl w:val="true"/>
          <w:lang w:bidi="ar-SA"/>
        </w:rPr>
        <w:t xml:space="preserve">و في جوازِ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الحافظُ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أنّها غيرُ محفوظةٍ في الحقيقةِ؛ لأنّه لا فَرقَ بَينَ أن تُحفَظَ بمَن جائزٌ عليه التغييرُ و التبديلُ و الزلَلُ و الخطأُ، و بَينَ أن لا تُحفَظَ جُملةً إذا كان ما يؤدّي إليه القولُ بتجويزِ تَركِ حِفظِها يؤدّي إليه حِفظُها بمَن لَيسَ بمعصومٍ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أنّ الحافظَ لا بُدَّ أن يَكونَ معصوماً، استَحالَ أن تَكونَ محفوظةً بالأُمّةِ و هي غيرُ معصومةٍ، و الخطأُ جائزٌ على آحادِها و جَماعَتِها، و إذا بَطَلَ أن يَكونَ‌م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الحافظُ هو الأُمّةَ، فلا بُدَّ مِن إمامٍ معصومٍ حافظٍ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على خِلافِ ما ظَنَّه صاحبُ الكتابِ؛ لأنّ مَن أحسَنَ الظَّنَّ بأصحابِنا لا يَجوزُ أن يَتوَهَّمَ عَلَيهم الاستدلالَ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تصريحِهم في إثباتِها بما يوجِبُ الاختصاصَ بشريعتِنا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الإمامةِ في كُلِّ عصرٍ و أوانٍ و قَبلَ ورودِ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فائدةٍ في الاستدلالِ على وجوبِ الإمامةِ بَعدَ نبيِّنا صلَّى اللّهُ عليه و آلِه و سَلَّمَ و نَحنُ متَّفِقونَ على وجوبِها بَعدَه؟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الاتّفاقُ بَينَنا و بَينَكَ يوجِبُ رَفعَ الخِلافِ مِن جميعِ فِرَقِ الأُمّةِ، و قد عَلِمنا أنّ في الأُمّةِ مَن يُخالِفُ في وجوبِ الإمامةِ بَعدَ النبيِّ صَلَّى اللّهُ عليه و آلِه</w:t>
      </w:r>
      <w:r>
        <w:rPr>
          <w:rStyle w:val="FootnoteAnchor"/>
          <w:rtl w:val="true"/>
        </w:rPr>
        <w:footnoteReference w:id="511"/>
      </w:r>
      <w:r>
        <w:rPr>
          <w:rFonts w:ascii="Amiri" w:hAnsi="Amiri" w:eastAsia="Amiri" w:cs="Amiri"/>
          <w:color w:val="111111"/>
          <w:sz w:val="28"/>
          <w:sz w:val="28"/>
          <w:szCs w:val="28"/>
          <w:rtl w:val="true"/>
          <w:lang w:bidi="ar-SA"/>
        </w:rPr>
        <w:t>فلَيسَ يَمتَنِعُ أن نُحاجَّه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كانَ الوِفاقُ مِن جميعِ الأُمّةِ ثابتاً في وجوبِ الإمامةِ، لَم يَكُن وِفاقاً على طريقتِنا التي ذَكَرناها؛ لأنّا نوجِبُ الإمامةَ بهذه الطريقةِ مِن جهةِ حِفظِ الشريعةِ، و هذا يُخالِفُنا فيه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شريعةَ النبيِّ صلّى اللّه عليه و آله و سلّم و إن كانَ لا بُدَّ مِن أن تَكونَ محفوظةً؛ فِمن أَينَ أنّها لا تَحصُلُ محفوظةً إلّا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بالإمامِ المعصومِ؟ و هَل عَوَّلتم في ذلكَ إلّاعلى دَعوىً فيها تُخالَفونَ؟</w:t>
      </w:r>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Style w:val="FootnoteAnchor"/>
          <w:rtl w:val="true"/>
        </w:rPr>
        <w:footnoteReference w:id="512"/>
      </w:r>
      <w:r>
        <w:rPr>
          <w:rFonts w:ascii="Amiri" w:hAnsi="Amiri" w:eastAsia="Amiri" w:cs="Amiri"/>
          <w:color w:val="111111"/>
          <w:sz w:val="28"/>
          <w:sz w:val="28"/>
          <w:szCs w:val="28"/>
          <w:rtl w:val="true"/>
          <w:lang w:bidi="ar-SA"/>
        </w:rPr>
        <w:t>جَوَّزتم أن تَصيرَ محفوظةً بالتواتُرِ، كما صارَت واصلةً‌</w:t>
      </w:r>
      <w:r>
        <w:rPr>
          <w:rStyle w:val="FootnoteAnchor"/>
          <w:rtl w:val="true"/>
        </w:rPr>
        <w:footnoteReference w:id="513"/>
      </w:r>
      <w:r>
        <w:rPr>
          <w:rFonts w:ascii="Amiri" w:hAnsi="Amiri" w:eastAsia="Amiri" w:cs="Amiri"/>
          <w:color w:val="111111"/>
          <w:sz w:val="28"/>
          <w:sz w:val="28"/>
          <w:szCs w:val="28"/>
          <w:rtl w:val="true"/>
          <w:lang w:bidi="ar-SA"/>
        </w:rPr>
        <w:t>إلى مَن غابَ عن الرسولِ في زَمَنِه بطريقِ التواتُرِ؟ فإن مَنَعوا مِن ذلكَ، لَزِمَهم إثباتُ حُجّةٍ و هو عليه السلامُ حَيٌّ كما يَقولونَ بإثباتِه بَعدَ وفاتِه؛ إذ العِلّةُ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قالوا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w:t>
      </w:r>
      <w:r>
        <w:rPr>
          <w:rStyle w:val="FootnoteAnchor"/>
          <w:rtl w:val="true"/>
        </w:rPr>
        <w:footnoteReference w:id="514"/>
      </w:r>
      <w:r>
        <w:rPr>
          <w:rFonts w:ascii="Amiri" w:hAnsi="Amiri" w:eastAsia="Amiri" w:cs="Amiri"/>
          <w:color w:val="111111"/>
          <w:sz w:val="28"/>
          <w:sz w:val="28"/>
          <w:szCs w:val="28"/>
          <w:rtl w:val="true"/>
          <w:lang w:bidi="ar-SA"/>
        </w:rPr>
        <w:t xml:space="preserve">إلى مَن غابَ عنه بالتواتُرِ، فكذلكَ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طَعَنوا في التواتُرِ، بَطَلَ عِلّتُهم في ذلكَ في الوجهَينِ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عَوَّلتم إلّاعلى دَعوىً فيها تُخالَفونَ؟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 الحافظَ لَيسَ يَخلو مِن أن يَكونَ الأُمّةَ أو الإمامَ، و أبطَلنا أن تَكونَ الأُمّةُ هي الحافظةَ، فلا بُدَّ مِن ثُبوتِ الحِفظِ بالإمامِ، و إلّاوَجَبَ أن تَكونَ الشريعةُ مُهمَلةً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إلزامُكَ لنا تجويزَ حِفظِها بالتواتُرِ، على حدِّ ما كانَت تَصِلُ الأخبارُ في حياةِ الرسولِ صَلَّى اللّهُ عليه و آلِه إلى مَن غابَ عنه، فقَد رَضينا بذلكَ، و قَنِعنا بأن نوجِبَ في وصولِ الشريعةِ إلينا بَعدَ وفاةِ الرسولِ صَلَّى اللّهُ عليه و آلِه ما نوجِبُه في وصولِها إلى مَن غابَ عنه في حياتِه؛ لأنّا نَعلَمُ أنّها كانَت تَصِلُ إلى مَن بَعُدَ عنه صَلَواتُ اللّهِ عليه و آلِه بنَقلٍ هو عليه السلامُ مِن وَرائه، و قائمٌ بمُراعاتِه، و تَلافي ما ثَلِمَ فيه مِن غَلَطٍ و زَلَلٍ، و تَركِ الواجبِ، فيَجِبُ أن يَكونَ مِن وَراءِ ما يُنقَلُ إلينا بَعدَ وفاتِه عليه السلامُ مِن شريعتِه معصومٌ يَتَلافى ما يَجري في الشريعةِ مِن زَلَلٍ‌ر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تَركِ الواجبِ، كما كانَ ذلكَ في حياتِه، و إلّافقَد اختلَف الحالانِ، و بَطَلَ حَملُكَ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لَزِمَهم إثباتُ حُجّةٍ و هو عليه السلامُ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 و أيُّ حُجّةٍ هو أكبرُ مِن النبيِّ المعصومِ المؤيَّدِ بالمَلائكةِ و الوحيِ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تَظُنُّ أنّا إذا أَوجَبنا أن يَكونَ وَراءَ المتواتِرينَ حُجّةٌ، أن لا نَكتفيَ بالنبيّ صَلَّى اللّهُ عليه و آلِه و هو سيّدُ الحُجَجِ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عن الحُجّةِ و الإمامِ الذي يَحفَظُ الشرعَ؛ أيؤدّيهِ‌</w:t>
      </w:r>
      <w:r>
        <w:rPr>
          <w:rStyle w:val="FootnoteAnchor"/>
          <w:rtl w:val="true"/>
        </w:rPr>
        <w:footnoteReference w:id="516"/>
      </w:r>
      <w:r>
        <w:rPr>
          <w:rFonts w:ascii="Amiri" w:hAnsi="Amiri" w:eastAsia="Amiri" w:cs="Amiri"/>
          <w:color w:val="111111"/>
          <w:sz w:val="28"/>
          <w:sz w:val="28"/>
          <w:szCs w:val="28"/>
          <w:rtl w:val="true"/>
          <w:lang w:bidi="ar-SA"/>
        </w:rPr>
        <w:t>كُلَّه</w:t>
      </w:r>
      <w:r>
        <w:rPr>
          <w:rStyle w:val="FootnoteAnchor"/>
          <w:rtl w:val="true"/>
        </w:rPr>
        <w:footnoteReference w:id="517"/>
      </w:r>
      <w:r>
        <w:rPr>
          <w:rFonts w:ascii="Amiri" w:hAnsi="Amiri" w:eastAsia="Amiri" w:cs="Amiri"/>
          <w:color w:val="111111"/>
          <w:sz w:val="28"/>
          <w:sz w:val="28"/>
          <w:szCs w:val="28"/>
          <w:rtl w:val="true"/>
          <w:lang w:bidi="ar-SA"/>
        </w:rPr>
        <w:t>إلَى الكُلِّ أو إلَى البعضِ؟ و لا يُمكِنُ أن يَلقاه الكُلُّ، فلا بُدَّ مِن أن يؤدّيَ إلَى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الشرعُ يَصِلُ إلَى الباقينَ‌</w:t>
      </w:r>
      <w:r>
        <w:rPr>
          <w:rStyle w:val="FootnoteAnchor"/>
          <w:rtl w:val="true"/>
        </w:rPr>
        <w:footnoteReference w:id="518"/>
      </w:r>
      <w:r>
        <w:rPr>
          <w:rFonts w:ascii="Amiri" w:hAnsi="Amiri" w:eastAsia="Amiri" w:cs="Amiri"/>
          <w:color w:val="111111"/>
          <w:sz w:val="28"/>
          <w:sz w:val="28"/>
          <w:szCs w:val="28"/>
          <w:rtl w:val="true"/>
          <w:lang w:bidi="ar-SA"/>
        </w:rPr>
        <w:t>بالتواتُرِ؟ فهَلّا جَوَّزتم وصولَ شرعِه عليه السلامُ إلينا بمِثلِ هذه الطريقةِ، و يُستَغنى عن الحُجّةِ كما يُستَغنى عن حُجَجٍ يَنقُلونَ الشرعَ عن الحُجّةِ؟</w:t>
      </w:r>
      <w:r>
        <w:rPr>
          <w:rStyle w:val="FootnoteAnchor"/>
          <w:rtl w:val="true"/>
        </w:rPr>
        <w:footnoteReference w:id="51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عندَنا مؤدٍّ للشرعِ إلَى الكُلِّ؛ فبعضُه مشافهةً، و بعضُه بالنقلِ الذي هو مِن ورائه، فمتى لم يؤدَّ و وَقَعَ تفريطٌ فيه مِن الناقلينَ تَلافاه بنَفسِه أو بناقلٍ سِواهم، فإن أَلزَمتَ في نقلِ الشريعةِ مِثلَ هذا فما نأباه، بل هو الذي نَدعو إليه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نَحدو</w:t>
      </w:r>
      <w:r>
        <w:rPr>
          <w:rStyle w:val="FootnoteAnchor"/>
          <w:rtl w:val="true"/>
        </w:rPr>
        <w:footnoteReference w:id="520"/>
      </w:r>
      <w:r>
        <w:rPr>
          <w:rFonts w:ascii="Amiri" w:hAnsi="Amiri" w:eastAsia="Amiri" w:cs="Amiri"/>
          <w:color w:val="111111"/>
          <w:sz w:val="28"/>
          <w:sz w:val="28"/>
          <w:szCs w:val="28"/>
          <w:rtl w:val="true"/>
          <w:lang w:bidi="ar-SA"/>
        </w:rPr>
        <w:t>علَى اعتقادِه، و هو أن تَكونَ الشريعةُ منقولةً، و وَراءَ الناقلينَ حافظٌ لها، و مُراعٍ لِما يَعرِضُ فيها، و مُتَلافٍ لِما يُفرِّطُ فيه الناقلونَ و يَعدِلونَ عن الواجبِ عَلَيهم في أدائه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هذه العِلّةِ‌</w:t>
      </w:r>
      <w:r>
        <w:rPr>
          <w:rStyle w:val="FootnoteAnchor"/>
          <w:rtl w:val="true"/>
        </w:rPr>
        <w:footnoteReference w:id="522"/>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مفقودٌ أو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نَعرِفَ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يَخلُوَ حالُنا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نَكونَ مَعذورينَ و غيرَ مكلَّفينَ لذلك، فإن جازَ ذلكَ فينا ليَجوزَنَّ في كُلِّ عصرٍ بَعدَ الرسولِ صلَّى اللّهُ عليه و آلِه و سَلَّمَ، و ذلكَ يُغني عن الإمامِ و يُبطِلُ عِلّتَهم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نَعرِفُ الشريعةَ لا مِن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وجهٍ يَصِحُّ أن نَعرِفَها، يَجِبُ جوازُ مِثلِه في سائرِ الأعصارِ، و في ذلكَ الغِنى عن الإمامِ في كُلِّ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يُمكِنُهم القولُ بأنّا لا نَعرِفُ الشرعَ و لا يُمكِنُنا معرفتُه و مع ذلكَ لا نُعذَرُ؛ لأنّ ذلكَ يَجري مَجرى تكليفِ ما لا يُطاقُ</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الفِرقةَ المُحِقّةَ القائلةَ بوجودِ الإمامِ الحافظِ للشريعةِ 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عارفةٌ بما نُقِلَ مِن الشريعةِ عن النبيِّ صَلَّى اللّهُ عليه و آلِه و سلم، و ما لَم يُنقَلْ عنه فبما نُقِلَ عن الأئمّةِ القائمينَ بالأمرِ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واثقةٌ بأنّ شيئاً مِن الشريعةِ يَجِبُ معرفتُه لَم يُخَلَّ به؛ مِن أجلِ كَونِ الإمامِ مِن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مَن خالَفَ الحقَّ و ضَلَّ عن دينِ اللّهِ تَعالَى الذي ارتَضاه لا يَعرِفُ أكثرَ الشريعةِ؛ لعُدولِه عن الطريقِ الذي يوصِلُ إلَى العِلمِ بها، و لا يَثِقُ بأنّ شيئاً ممّا يَلزَمُه معرفتُه لَم يَنطَوِ عنه و إن أظهَرَ الثِّقةَ مِن نَفسِه، و لا يَجِبُ أن يَكونَ مَن هذا حُكمُه معذوراً؛ لتمَكُّنِه مِن الرجوعِ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نَعرِفُها لا مِن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إمامَ زمانِنا، فقَد بيّنّا أنّا قد عَرَفنا أكثرَ الشريعةِ ببَيانِ مَن تَقدَّمَ مِن آبائه عليهم السلام، غيرَ أنّه لا يَقتَضي الغِنى عنه في الشريعةِ مِن الوجهِ الذي قد تَردَّدَ في كلامِنا مِراراً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أنّا نَعرِفُ الشريعةَ لا مِن قِبَلِ إمامٍ في الجُملةِ بَعدَ الرسولِ صَلَّى اللّهُ عليه و آله و سلّم فقَد دَلَّلنا على بُطلانِ ذلكَ، و تَقدَّمَ أنّ أكثَرَ ما اختُلِفَ فيه مِن الشريعةِ لَولا ما نُقِلَ عن الأئمّةِ مِن آلِ الرسولِ صَلَواتُ اللّه عليه و عَلَيهم فيه مِن البيانِ لَما عُرِفَ الحقُّ مِنه، و أنّ مَن عَوَّلَ في الشريعةِ علَى الظَّنِّ فقَد خَبَطَ</w:t>
      </w:r>
      <w:r>
        <w:rPr>
          <w:rStyle w:val="FootnoteAnchor"/>
          <w:rtl w:val="true"/>
        </w:rPr>
        <w:footnoteReference w:id="525"/>
      </w:r>
      <w:r>
        <w:rPr>
          <w:rFonts w:ascii="Amiri" w:hAnsi="Amiri" w:eastAsia="Amiri" w:cs="Amiri"/>
          <w:color w:val="111111"/>
          <w:sz w:val="28"/>
          <w:sz w:val="28"/>
          <w:szCs w:val="28"/>
          <w:rtl w:val="true"/>
          <w:lang w:bidi="ar-SA"/>
        </w:rPr>
        <w:t>و ضَلَّ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أيضاً أنّ جميعَ الشريعةِ لَو كانَ منقولاً عن النبيِّ صلّى اللّه عليه و آلِه و سَلَّمَ و لَم يَقِفْ مِنها شيءٌ على بيانِ الأئمّةِ عليهم السلام لغيرِه، لَكانَت الحاجةُ إليهم فيها قائمةً؛ مِن حَيثُ كانَ يَجوزُ على مَن نَقَلَها فعَلِمناها أن لا يَنقُلَها، و بَعدَ أن نَقَلَها أن يَعدِلَ عن نَقلِها فلا يُعلَمَ في المستقبَلِ‌</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تَكرَّرَ هذا المَعنى مِنّا دُفعةً بَعدَ أُخرى، و العُذرُ فيه لنا ما استَعمَلَه صاحبِ الكتابِ مِن تَردادِ التعَلُّقِ بالشيءِ الواحدِ و تَكرارِه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شَرَّعَه</w:t>
      </w:r>
      <w:r>
        <w:rPr>
          <w:rStyle w:val="FootnoteAnchor"/>
          <w:rtl w:val="true"/>
        </w:rPr>
        <w:footnoteReference w:id="527"/>
      </w:r>
      <w:r>
        <w:rPr>
          <w:rFonts w:ascii="Amiri" w:hAnsi="Amiri" w:eastAsia="Amiri" w:cs="Amiri"/>
          <w:color w:val="111111"/>
          <w:sz w:val="28"/>
          <w:sz w:val="28"/>
          <w:szCs w:val="28"/>
          <w:rtl w:val="true"/>
          <w:lang w:bidi="ar-SA"/>
        </w:rPr>
        <w:t>النبيُّ صَلَّى اللّهُ عليه و آلِه و سَلَّمَ ثابتاً بالتواتُرِ، فكَيفَ يَصِحُّ ما تَعلَّقتم به؟</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أرَدنا أن نبيِّنَ أنّ حِفظَ ذلكَ مُمكِنٌ بالتواتُرِ، و أنّ ذلكَ يُسقِطُ عِلّتَهم؛ لأنّ قولَهم بالحاجةِ إلَى الإمامِ إنّما يُمكِنُ متى ثَبَتَ لهم أنّ حِفظَ الشريعةِ لا يُمكِنُ إلّابه، فإذا أرَيناهم أنّه يُمكِنُ بغيرِه فقَد بَطَلَت العِلّةُ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نَقولَ في جميعِ الشريعةِ‌</w:t>
      </w:r>
      <w:r>
        <w:rPr>
          <w:rStyle w:val="FootnoteAnchor"/>
          <w:rtl w:val="true"/>
        </w:rPr>
        <w:footnoteReference w:id="529"/>
      </w:r>
      <w:r>
        <w:rPr>
          <w:rFonts w:ascii="Amiri" w:hAnsi="Amiri" w:eastAsia="Amiri" w:cs="Amiri"/>
          <w:color w:val="111111"/>
          <w:sz w:val="28"/>
          <w:sz w:val="28"/>
          <w:szCs w:val="28"/>
          <w:rtl w:val="true"/>
          <w:lang w:bidi="ar-SA"/>
        </w:rPr>
        <w:t>أنّه محفوظٌ بالتواتُرِ، فبعيدٌ</w:t>
      </w:r>
      <w:r>
        <w:rPr>
          <w:rStyle w:val="FootnoteAnchor"/>
          <w:rtl w:val="true"/>
        </w:rPr>
        <w:footnoteReference w:id="530"/>
      </w:r>
      <w:r>
        <w:rPr>
          <w:rFonts w:ascii="Amiri" w:hAnsi="Amiri" w:eastAsia="Amiri" w:cs="Amiri"/>
          <w:color w:val="111111"/>
          <w:sz w:val="28"/>
          <w:sz w:val="28"/>
          <w:szCs w:val="28"/>
          <w:rtl w:val="true"/>
          <w:lang w:bidi="ar-SA"/>
        </w:rPr>
        <w:t>، بل فيها</w:t>
      </w:r>
      <w:r>
        <w:rPr>
          <w:rStyle w:val="FootnoteAnchor"/>
          <w:rtl w:val="true"/>
        </w:rPr>
        <w:footnoteReference w:id="531"/>
      </w:r>
      <w:r>
        <w:rPr>
          <w:rFonts w:ascii="Amiri" w:hAnsi="Amiri" w:eastAsia="Amiri" w:cs="Amiri"/>
          <w:color w:val="111111"/>
          <w:sz w:val="28"/>
          <w:sz w:val="28"/>
          <w:szCs w:val="28"/>
          <w:rtl w:val="true"/>
          <w:lang w:bidi="ar-SA"/>
        </w:rPr>
        <w:t>ما نُقِلَ بالتواتُرِ، و فيها ما تَلقَّته الأُمّةُ بالقبولِ‌</w:t>
      </w:r>
      <w:r>
        <w:rPr>
          <w:rStyle w:val="FootnoteAnchor"/>
          <w:rtl w:val="true"/>
        </w:rPr>
        <w:footnoteReference w:id="532"/>
      </w:r>
      <w:r>
        <w:rPr>
          <w:rFonts w:ascii="Amiri" w:hAnsi="Amiri" w:eastAsia="Amiri" w:cs="Amiri"/>
          <w:color w:val="111111"/>
          <w:sz w:val="28"/>
          <w:sz w:val="28"/>
          <w:szCs w:val="28"/>
          <w:rtl w:val="true"/>
          <w:lang w:bidi="ar-SA"/>
        </w:rPr>
        <w:t>و أجمَعَت عليه، و قد عَلِمنا بالدليلِ أنّهم لا يُجمِعون على خَطَإٍ، و فيها ما يَثبُتُ‌</w:t>
      </w:r>
      <w:r>
        <w:rPr>
          <w:rStyle w:val="FootnoteAnchor"/>
          <w:rtl w:val="true"/>
        </w:rPr>
        <w:footnoteReference w:id="533"/>
      </w:r>
      <w:r>
        <w:rPr>
          <w:rFonts w:ascii="Amiri" w:hAnsi="Amiri" w:eastAsia="Amiri" w:cs="Amiri"/>
          <w:color w:val="111111"/>
          <w:sz w:val="28"/>
          <w:sz w:val="28"/>
          <w:szCs w:val="28"/>
          <w:rtl w:val="true"/>
          <w:lang w:bidi="ar-SA"/>
        </w:rPr>
        <w:t>بالكتابِ المنقولِ بالتواتُرِ، و فيها ما يَثبُتُ بخبرٍ يُعلَمُ صحّتُه باستدلالٍ‌</w:t>
      </w:r>
      <w:r>
        <w:rPr>
          <w:rStyle w:val="FootnoteAnchor"/>
          <w:rtl w:val="true"/>
        </w:rPr>
        <w:footnoteReference w:id="534"/>
      </w:r>
      <w:r>
        <w:rPr>
          <w:rFonts w:ascii="Amiri" w:hAnsi="Amiri" w:eastAsia="Amiri" w:cs="Amiri"/>
          <w:color w:val="111111"/>
          <w:sz w:val="28"/>
          <w:sz w:val="28"/>
          <w:szCs w:val="28"/>
          <w:rtl w:val="true"/>
          <w:lang w:bidi="ar-SA"/>
        </w:rPr>
        <w:t>على ما بيّنّاه مِن قَبلُ، و فيها ما يَثبُتُ بطريقَةِ الاجتهادِ مِن قياسٍ و خبرِ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ذلكَ يُستَغنى فيه عن الإمامِ‌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يَنفَعُكَ إمكانُ التواتُرِ بجميعِ الشريعةِ إذا أقرَرتَ بأنّ أكثرَها أو بعضَها لا تواتُرَ فيه، و لا يَكونُ ذلكَ معتَرِضاً للطريقةِ التي نَحنُ في نُصرتِها و أنتَ في نَقضِها، و لا قادحاً في استمرارِها؛ لأنّا في الاستدلالِ بهذه الطريقةِ أَوجَبنا الحاجةَ إلَى الإمامِ في الشريعةِ لأمرٍ يَخُصُّها، و لأحوالٍ هي عَلَيها، تَقتَضي الحاجةَ إليه فيها، و إذا لَم يَكُن جميعُ ما يُحتاجُ إليه مِنها متواتِراً فقَد ثَبَتَت الحاجةُ إلى حُجّةٍ، و لا اعتبارَ بإمكانِ التواتُرِ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قد بيّنّا أنّ التواتُرَ لا يَجوزُ أن تُحفَظَ به الشريعةُ، و استَقصَيناه و أَحكَمناه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فيه إذا لَم يُقطَعْ على أنّ في جُملةِ المُجمِعينَ معصوماً يؤمَنُ غَلَطُه و زَلَلُه؛ لأنّ الخطأَ يَجوزُ على آحادِ الأُمّةِ و جَماعاتِها، و لَيسَ يَجوزُ أن يَكونَ اجتماعُها عاصماً لها، و لا مؤمِّناً مِن وقوعِ الخَطَإ مِنها، و مَن هذه حالُه لا يَجوزُ أن يَحفَظَ اللّهُ تَعالى به شَرعاً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يَجوزُ الاقتصارُ عليه في حِفظِ الشرعِ‌</w:t>
      </w:r>
      <w:r>
        <w:rPr>
          <w:rStyle w:val="FootnoteAnchor"/>
          <w:rtl w:val="true"/>
        </w:rPr>
        <w:footnoteReference w:id="536"/>
      </w:r>
      <w:r>
        <w:rPr>
          <w:rFonts w:ascii="Amiri" w:hAnsi="Amiri" w:eastAsia="Amiri" w:cs="Amiri"/>
          <w:color w:val="111111"/>
          <w:sz w:val="28"/>
          <w:sz w:val="28"/>
          <w:szCs w:val="28"/>
          <w:rtl w:val="true"/>
          <w:lang w:bidi="ar-SA"/>
        </w:rPr>
        <w:t>لأنّ أكثرَ الشرائعِ‌</w:t>
      </w:r>
      <w:r>
        <w:rPr>
          <w:rStyle w:val="FootnoteAnchor"/>
          <w:rtl w:val="true"/>
        </w:rPr>
        <w:footnoteReference w:id="537"/>
      </w:r>
      <w:r>
        <w:rPr>
          <w:rFonts w:ascii="Amiri" w:hAnsi="Amiri" w:eastAsia="Amiri" w:cs="Amiri"/>
          <w:color w:val="111111"/>
          <w:sz w:val="28"/>
          <w:sz w:val="28"/>
          <w:szCs w:val="28"/>
          <w:rtl w:val="true"/>
          <w:lang w:bidi="ar-SA"/>
        </w:rPr>
        <w:t>لَيسَ في صريحِه بيانُها علَى التفصيلِ و التحديدِ، و هو مع ذلك لا يُتَرجِمُ‌</w:t>
      </w:r>
      <w:r>
        <w:rPr>
          <w:rStyle w:val="FootnoteAnchor"/>
          <w:rtl w:val="true"/>
        </w:rPr>
        <w:footnoteReference w:id="538"/>
      </w:r>
      <w:r>
        <w:rPr>
          <w:rFonts w:ascii="Amiri" w:hAnsi="Amiri" w:eastAsia="Amiri" w:cs="Amiri"/>
          <w:color w:val="111111"/>
          <w:sz w:val="28"/>
          <w:sz w:val="28"/>
          <w:szCs w:val="28"/>
          <w:rtl w:val="true"/>
          <w:lang w:bidi="ar-SA"/>
        </w:rPr>
        <w:t>عن نَفسِه، و لا يُنبئُ عن معناه و تأويلِه، و لا بُدَّ له مِن مترجِمٍ و مبيِّنٍ؛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الرسولُ صلّى اللّه عليه و آلِه، لَم يُدفَعْ ذلكَ، إلّاأنّه لا بُدَّ لِمَن لَم يُشاهِدِ الرسولَ مِن أن يَتَّصِلَ ذلكَ به، و يَكونَ له طريقٌ إلى معرفتِه؛ فإن كانَ الطريقُ هو التواتُرَ أو الإجماعَ فقَد مضى ما فيهما، و هذا يوجِبُ الرجوعَ إلى أنّه لا بُدَّ مِن حُجّةٍ مبلِّغٍ لِما يَقَعُ مِن بيانِ الرسولِ صَلَّى اللّهُ عليه و آلِه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الاجتهادُ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دَلَّلنا على بُطلانِهما في الشريعةِ و أنّهما لا يُنتِجانِ عِلماً و لا فائدةً، فَضلاً عن أن يُحفَظَ بهما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أخبارِ الآحادِ في فَسادِ حِفظِ الشريعةِ بها أظهَرُ مِن كثيرٍ ممّا تَقدَّمَ؛ لأنّها لا توجِبُ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متكافئةٌ متقابِلةٌ، و واردةٌ بالمختلِفِ مِن الأحكامِ و المتضادِّ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يُعتَمَدُ في قرائِنها إمّا أن يَكونَ على طريقةِ خُصومِنا الإجماعَ أو القياسَ، و لَيسَ مطابَقةُ شيءٍ مِن ذلكَ لها بموجِبٍ لصحّتِها و القَطعِ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التواتُرِ و إن كانوا حُجّةً، فقَد يَصِحُّ عَلَيهم السَّهوُ عمّا يَنقُلونَ في بعضِ الأحوالِ، أو في كُلِّ حالٍ؛ فلا بُدَّ مِن حافظٍ يُزيلُ سَهوَهم، و ينبِّهُ على كِتمانِهم، و لا يَجوزُ عليه ما يَجوزُ عَلَيهم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539"/>
      </w:r>
      <w:r>
        <w:rPr>
          <w:rFonts w:ascii="Amiri" w:hAnsi="Amiri" w:eastAsia="Amiri" w:cs="Amiri"/>
          <w:color w:val="111111"/>
          <w:sz w:val="28"/>
          <w:sz w:val="28"/>
          <w:szCs w:val="28"/>
          <w:rtl w:val="true"/>
          <w:lang w:bidi="ar-SA"/>
        </w:rPr>
        <w:t>أهلَ التواتُرِ عِلمُهم به ضَروريٌّ لا يَزولُ بفِعلِهم، بل القَديمُ تَعالى يَفعَلُه فيهم، و كمالُ العقلِ في الجَمعِ العظيمِ يَقتَضي أن لا يَنسَواما حَلَّ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السَّهوُ في ذلكَ لَم نأمَنْ‌</w:t>
      </w:r>
      <w:r>
        <w:rPr>
          <w:rStyle w:val="FootnoteAnchor"/>
          <w:rtl w:val="true"/>
        </w:rPr>
        <w:footnoteReference w:id="540"/>
      </w:r>
      <w:r>
        <w:rPr>
          <w:rFonts w:ascii="Amiri" w:hAnsi="Amiri" w:eastAsia="Amiri" w:cs="Amiri"/>
          <w:color w:val="111111"/>
          <w:sz w:val="28"/>
          <w:sz w:val="28"/>
          <w:szCs w:val="28"/>
          <w:rtl w:val="true"/>
          <w:lang w:bidi="ar-SA"/>
        </w:rPr>
        <w:t>مِن حُصولِ السَّهوِ في عِلمِهم بالمُشاهَداتِ، و هذا يُحيلُ‌</w:t>
      </w:r>
      <w:r>
        <w:rPr>
          <w:rStyle w:val="FootnoteAnchor"/>
          <w:rtl w:val="true"/>
        </w:rPr>
        <w:footnoteReference w:id="541"/>
      </w:r>
      <w:r>
        <w:rPr>
          <w:rFonts w:ascii="Amiri" w:hAnsi="Amiri" w:eastAsia="Amiri" w:cs="Amiri"/>
          <w:color w:val="111111"/>
          <w:sz w:val="28"/>
          <w:sz w:val="28"/>
          <w:szCs w:val="28"/>
          <w:rtl w:val="true"/>
          <w:lang w:bidi="ar-SA"/>
        </w:rPr>
        <w:t>معرفتَنا بالبُلدانِ و المُلوكِ،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فَسادُ ذلكَ يُبطِلُ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لا يؤمَنَ فيمَن لا يَعرِفُ الإمامَ أن لا يَعرِفَ الصلاةَ و الصيامَ و الأُمورَ الظاهرةَ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يَجِبُ تجويزُ الإخلالِ في نَقلِ القُرآنِ، و نَقلِ كَونِ الرسولِ في الدُّنيا و ثُبوتِ أعلامِه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بُطلانُ ذلكَ يبيِّنُ فَسادَ هذا القولِ</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عُلِمَ ضَرورةً لا يَصِحُّ أن يُسهى عنه، و إنّما يُستَبعَدُ سَهوُ العاقلِ و العقلاءِ في العلومِ التي هي مِن كمالِ عقولِهم، كالعِلمِ بأنّ الاثنَينِ أكثرُ مِن الواحدِ، و أنّ الشِّبرَ لا يطابِقُ الذِّراعَ، و الموجودَ لا يَخلو مِن أن يَكونَ قَديماً أو مُحدَثاً، إلى ما شاكَلَ هذه العلومَ و هي كثيرةٌ، أو فيما تَكَرَّرَ عِلمُهم به و مشاهَدتُهم له مِن جُملةِ المشاهَداتِ، كامتناعِ سَهوِ العاقلِ عن اسمِه، و ما يَتكَرَّرُ عِلمُه به و إدراكُه له مِن لِباسِه و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بمُنكَرٍ أن يَسهُوَ العاقِلُ في أشياءَ مخصوصةٍ و إن عَلِمَها ضَرورةً إذا كانَت خارجةً عمّا ذَكَرناه؛ لأنّا نَعلَمُ أنّ الإنسانَ قد يَسهو عمّا أكَلَه في أمسِه، و صَنَعَه في عُمُرِه، و إن كانَ عِلمُه بذلكَ عندَ حُصولِه ضَروريّاً؛ فكَيفَ أحَلتَ‌</w:t>
      </w:r>
      <w:r>
        <w:rPr>
          <w:rStyle w:val="FootnoteAnchor"/>
          <w:rtl w:val="true"/>
        </w:rPr>
        <w:footnoteReference w:id="543"/>
      </w:r>
      <w:r>
        <w:rPr>
          <w:rFonts w:ascii="Amiri" w:hAnsi="Amiri" w:eastAsia="Amiri" w:cs="Amiri"/>
          <w:color w:val="111111"/>
          <w:sz w:val="28"/>
          <w:sz w:val="28"/>
          <w:szCs w:val="28"/>
          <w:rtl w:val="true"/>
          <w:lang w:bidi="ar-SA"/>
        </w:rPr>
        <w:t>على أهلِ التواتُرِ السَّهوَ مِن حَيثُ عَلِموا ما تواتَروا به ضَرورةً؟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عَنَيتَ بما ذَكَرتَه إحالةَ السَّهوِ على جميعِهم أو علَى الجَمعِ العظيمِ مِنهم، فهو ممّا لا نأباه و لا يَنفَعُكَ، و قد تَقدَّمَ في كلامِنا أنّ العاداتِ قاضيةٌ بامتناعِ السَّهوِ علَى الأُمَمِ العظيمةِ في الشيءِ الواحدِ في الوقتِ الواحدِ، غيرَ أنّ ذلكَ و إن كانَ باطلاً لَم يُسقِطْ عنكَ ما بيّنّا لُزومَه؛ لأنّه و إنِ امتَنَعَ السَّهوُ علَى المتواتِرينَ جميعاً في حالةٍ واحدةٍ عمّا نَقَلوه، فغيرُ مُمتَنِعٍ أن يَسهُوَ بعضُهم عنه في حالٍ، و بعضٌ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أُخرى، إلى أن يَخرُجَ الخبرُ مِن أن يَكونَ متواتِراً، و هذا أيضاً ممّا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 أنّ السَّهوَ لا يَجوزُ علَى المتواتِرينَ في جَماعاتِهم و لا في آحادِهم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عُدولِهم عن النقلِ تعمُّداً لبعضِ الأغراضِ و الدَّواعي؟ و قد بيّنّا فيما سَلَفَ مِن كتابِنا جَوازَ ذلكَ عَلَيهم، و أنّ في جَوازِه بُطلانَ كَونِهم حُجّةً، و صِحّةَ ما نَذهَبُ إليه مِن وجودِ إمامٍ حافظٍ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المعرفةُ بالبُلدانِ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فمخالِفةٌ لِما ذَكَرناه، و إلزامُكَ لنا الشَّكَّ في أمرِها لا يَلزَمُنا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السَّهوُ عن البُلدانِ و الظاهرِ الشائعِ مِن أخبارِ المُلوكِ، فإنّا لا نُجيزُه؛ لِما قَدَّمناه في كلامِنا آنِفاً مِن استحالةِ السَّهوِ علَى العقلاءِ فيما تَكرَّرَ عِلمُهم به و إدراكُهم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تَكرَّرَ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 الذي أَحَلنا سَهوَ العقلاءِ عنه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تعمُّدُ العقلاءِ كِتمانَ أمرِ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جَوازِ كِتمانِ العباداتِ و الشرائعِ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لأنّه لا داعيَ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كِتمانِ أمرِ البُلدانِ و 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لا غَرَضَ‌</w:t>
      </w:r>
      <w:r>
        <w:rPr>
          <w:rStyle w:val="FootnoteAnchor"/>
          <w:rtl w:val="true"/>
        </w:rPr>
        <w:footnoteReference w:id="544"/>
      </w:r>
      <w:r>
        <w:rPr>
          <w:rFonts w:ascii="Amiri" w:hAnsi="Amiri" w:eastAsia="Amiri" w:cs="Amiri"/>
          <w:color w:val="111111"/>
          <w:sz w:val="28"/>
          <w:sz w:val="28"/>
          <w:szCs w:val="28"/>
          <w:rtl w:val="true"/>
          <w:lang w:bidi="ar-SA"/>
        </w:rPr>
        <w:t>، بل كُلُّ داعٍ معقولٍ يَدعو إلى نَقلِها و نَشرِ خبرِها؛ لأنّ تصرُّفَ الناسِ في تجاراتِهم و أسفارِهم و كثيرٍ مِن مَعايشِهم يَقتَضي نَقلَ ذلكَ، و يوجِبُ أنّ بِهم إليه أمَسَّ حاجة، و ما كانَت دواعي الإذاعةِ فيه قائمةً و عُلِمَ استمرارُها في كُلِّ زمانٍ لا يَجوزُ كِتمانُه؛ لأنّ الكِتمانَ لا يَقَعُ إلّابِداعٍ قويٍّ و غَرَضٍ ظاهرٍ، و كُلُّ ذلكَ مفقودٌ في أمرِ البُلدانِ، مع ما بيّنّاه مِن ثُبوتِ الدَّواعي إلى نَقلِ خبرِها و إشاعتِه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نُقِلَ مِن كَونِ الرسولِ في الدُّنيا</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جارٍ مجرى ما تَقدَّمَ مِن أحوالِ البُلدانِ مِن وجهٍ؛ لأنّه لا غَرَضَ لعاقلٍ في كِتمانِ دُعاءِ داعٍ إلى نَفسِه على وجهِ الظُّهورِ، يَجوزُ أن يَكونَ مُحِقّاً و يَجوزُ أن يَكونَ مُبطِلاً، و لأنّ مَن اعتَقَدَ تَكذيبَه لا يَمنَعُه هذا الاعتقادُ مِن نَقلِ خبرِه؛ لأنّ العقلاءَ قد يُخبِرونَ عن حالِ الصادقِ و الكاذبِ، و المُحِقِّ و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نَقلُ القُرآنِ، و نَقلُ وجودِ الأعلامِ‌</w:t>
      </w:r>
      <w:r>
        <w:rPr>
          <w:rStyle w:val="FootnoteAnchor"/>
          <w:rtl w:val="true"/>
        </w:rPr>
        <w:footnoteReference w:id="546"/>
      </w:r>
      <w:r>
        <w:rPr>
          <w:rFonts w:ascii="Amiri" w:hAnsi="Amiri" w:eastAsia="Amiri" w:cs="Amiri"/>
          <w:color w:val="111111"/>
          <w:sz w:val="28"/>
          <w:sz w:val="28"/>
          <w:szCs w:val="28"/>
          <w:rtl w:val="true"/>
          <w:lang w:bidi="ar-SA"/>
        </w:rPr>
        <w:t>سِوَى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يَمتَنِعُ حُصولُ الدَّواعي إلى كِتمانِه، و قد كانَ يَجوزُ مِن طريقِ الإمكانِ وقوعُ الإخلالِ به</w:t>
      </w:r>
      <w:r>
        <w:rPr>
          <w:rStyle w:val="FootnoteAnchor"/>
          <w:rtl w:val="true"/>
        </w:rPr>
        <w:footnoteReference w:id="547"/>
      </w:r>
      <w:r>
        <w:rPr>
          <w:rFonts w:ascii="Amiri" w:hAnsi="Amiri" w:eastAsia="Amiri" w:cs="Amiri"/>
          <w:color w:val="111111"/>
          <w:sz w:val="28"/>
          <w:sz w:val="28"/>
          <w:szCs w:val="28"/>
          <w:rtl w:val="true"/>
          <w:lang w:bidi="ar-SA"/>
        </w:rPr>
        <w:t>لَيسَ على أن يُقدَّرَ أنّ الحالَ في المصدِّقينَ به صَلَّى اللّهُ عليه و آلِه في الكَثرةِ و الظُّهورِ هذه، بل بأن يُقدَّرَ أنّ المُصدِّقَ في الدَّعوَةِ كانَ في الأصلِ واحداً أو اثنَينِ و كانَ مَن عَداه مُكذِّباً مُعادياً، فلا يَمتَنِعُ مع هذا التقديرِ الإخلالُ بنَقلِ الأعلامِ بأن يَدعُوَ المكذِّبينَ دَواعي الكِتمانِ إليه، و يُعرِضَ المصدِّقونَ لضَعفِ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ممّا يؤمَنُ وقوعُه؛ لقيامِ الدَّلالةِ عندَنا على أنّ للّهِ تَعالى حُجّةً في كُلِّ زمانٍ، حافظاً لدِينِه، مُبيِّناً له، مُتَلافياً لِما يَجري فيه مِن زَلَلٍ و غَلَطٍ لا يُمكِنُ أن يَستَدرِكَه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الصلاةُ و الصيامُ و الأُمورُ الظاهرةُ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يَلزَمُ على هذه الطريقةِ أن لا يَعرِفَها إلّامَن عَرَفَ الإمامَ، و إلزامُ صاحبِ الكتابِ ذاكَ ظُلمٌ أو سَهوٌ؛ لأنّه لا عِلّةَ له توجِبُه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أنّه لا يَمتَنِعُ أن يَعرِفَ الصلاةَ و الصيامَ و ما أشبَهَهما بالتواتُرِ مَنل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يَعرِفُ الإمامَ، غيرَ أنّه و إن عَرَفَ ذلكَ لا يَكونُ واثقاً بأنّ شيئاً ممّا يَجري مَجرى هذه العبادةِ مِن العباداتِ لَم يَنطَوِ عنه، و أنّه و إن أظهَرَ الثِّقةَ بذلكَ فهو غيرُ واثقٍ في الحقيقةِ و لا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لا يَزالُ يُعارِضُنا به الخُصومُ في هذا المَوضِعِ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جوِّزوا أن يَكونَ القُرآنُ قد عورِضَ بمعارَضةٍ هي أبلَغُ مِنه و أفصَحُ، فكَتَمَ ذلكَ المسلمونَ؛ لغَلَبَتِهم و قوَّتِهم، و خَوفِ المخالِفينَ مِنهم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ساقطٌ بما أَصَّلناه في كلامِنا؛ لأنّا قد بيّنّا أنّ ما دَواعي النَّقلِ فيه ثابتةٌ لا يَلزَمُنا تجويزُ كِتمانِه، و قد عَلِمنا أنّ لكُلِّ مَن خالَفَ المِلّةَ مِن الدَّواعي إلى نَقلِ معارَضةِ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أن يَقعُدَ معه عن نَقلِها لخَوفٍ أو لغَيرِه، و لأنّ فيهم مَن لا يَخافُ جُملةً؛ لحُصولِه في بِلادِ عِزِّه و مَملَكَتِه كالرُّومِ و مَن جَرى مَجراهم، و لأنّ الخَوفَ أيضاً لا يَمنَعُ مِن النَّقلِ كما لَم يَمنَعْهم مِن نَقلِ كثيرٍ ممّا يُسخِطُ المسلمينَ و يُغضِبُهم، مِن سَبِّ النبيِّ صَلَّى اللّهُ عليه و آلِه و قَذفِه و هِجائه، و لأنّ الخَوفَ إنّما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التظاهُرِ بالنَّقلِ، و لا يَمنَعُ مِن الاستِسرارِ به، و في نَقلِه على جهةِ الاستِسرارِ ما يوجِبُ اتّصالَه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إفسادِ هذه المعارَضةِ و إبطالِها وجوهٌ كثيرةٌ، و لَعلَّنا نَستَقصيها فيما يأتي مِن الكتابِ عندَ الكلامِ في النَّصِّ على أميرِ المؤمِنينَ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ما يُعقَدُ عليه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كانت الدَّواعي إلى نَقلِه للعقلاءِ أو</w:t>
      </w:r>
      <w:r>
        <w:rPr>
          <w:rFonts w:eastAsia="Amiri" w:cs="Amiri" w:ascii="Amiri" w:hAnsi="Amiri"/>
          <w:color w:val="111111"/>
          <w:sz w:val="28"/>
          <w:szCs w:val="28"/>
          <w:rtl w:val="true"/>
          <w:lang w:bidi="ar-SA"/>
        </w:rPr>
        <w:t xml:space="preserve">). </w:t>
      </w:r>
      <w:bookmarkStart w:id="268" w:name="pg7486_97261"/>
    </w:p>
    <w:p>
      <w:pPr>
        <w:pStyle w:val="BookText"/>
        <w:rPr/>
      </w:pPr>
      <w:bookmarkEnd w:id="268"/>
      <w:r>
        <w:rPr>
          <w:rFonts w:ascii="Amiri" w:hAnsi="Amiri" w:eastAsia="Amiri" w:cs="Amiri"/>
          <w:color w:val="111111"/>
          <w:sz w:val="28"/>
          <w:sz w:val="28"/>
          <w:szCs w:val="28"/>
          <w:rtl w:val="true"/>
          <w:lang w:bidi="ar-SA"/>
        </w:rPr>
        <w:t>لبعضِهم ثابتةً معلومةً لَم يَجُز كِتمانُه، و كُلَّ شيءٍ جازَ أن يَدخُلَ فيه دَواعي النَّقلِ و دَواعي الكِتمانِ مَعاً جَوَّزنا فيه الكِتمانَ، فاعتَبِرْ كُلَّ ما يَرِدُ عَلَيكَ مِن أعيانِ المَسائلِ هذا الاعتبارَ؛ فما لَحِقَ بما يَسوغُ فيه دواعي الكِتمانِ أجَزتَه، و ما لَم يَسُغْ فيه أحَلتَه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يَسوغُ فيه الكِتمانُ و حُصولُ الدَّواعي إليه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يَجِبُ إذا كُتِمَ أن يُبيِّنَه إمامُ الزمانِ و يُظهِرَه لتَقومَ الحُجّةُ به؛ و هو ما كانَ مِن قَبيلِ العباداتِ و الفرائِض، و ما يَجِبُ علَى المكلَّفينَ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لا يَجِبُ فيه ذلك و إن كُتِمَ، كأكثرِ الحوادثِ التي تَجري مِن الناسِ في مُتَصرَّفاتِهم التي لا تَعلُّقَ لها بشرعٍ و لا دِينٍ</w:t>
      </w:r>
      <w:r>
        <w:rPr>
          <w:rFonts w:eastAsia="Amiri" w:cs="Amiri" w:ascii="Amiri" w:hAnsi="Amiri"/>
          <w:color w:val="111111"/>
          <w:sz w:val="28"/>
          <w:szCs w:val="28"/>
          <w:rtl w:val="true"/>
          <w:lang w:bidi="ar-SA"/>
        </w:rPr>
        <w:t>.</w:t>
      </w:r>
      <w:r>
        <w:rPr>
          <w:rStyle w:val="FootnoteAnchor"/>
          <w:rtl w:val="true"/>
        </w:rPr>
        <w:footnoteReference w:id="550"/>
      </w:r>
    </w:p>
    <w:p>
      <w:pPr>
        <w:pStyle w:val="Heading4"/>
        <w:numPr>
          <w:ilvl w:val="3"/>
          <w:numId w:val="1"/>
        </w:numPr>
        <w:rPr/>
      </w:pPr>
      <w:bookmarkStart w:id="269" w:name="__RefHeading___Toc2226074_1051229030"/>
      <w:bookmarkStart w:id="270" w:name="_Toc97"/>
      <w:bookmarkEnd w:id="269"/>
      <w:r>
        <w:rPr>
          <w:rtl w:val="true"/>
        </w:rPr>
        <w:t>ب</w:t>
      </w:r>
      <w:r>
        <w:rPr>
          <w:rtl w:val="true"/>
        </w:rPr>
        <w:t xml:space="preserve">: </w:t>
      </w:r>
      <w:r>
        <w:rPr>
          <w:rtl w:val="true"/>
        </w:rPr>
        <w:t>ما ذكره في حكم الحدود و الأحكام في زمن الغيبة و ما يتعلّق بهما</w:t>
      </w:r>
      <w:r>
        <w:rPr>
          <w:rtl w:val="true"/>
        </w:rPr>
        <w:t>:</w:t>
      </w:r>
      <w:bookmarkEnd w:id="270"/>
    </w:p>
    <w:p>
      <w:pPr>
        <w:pStyle w:val="Heading5"/>
        <w:numPr>
          <w:ilvl w:val="4"/>
          <w:numId w:val="1"/>
        </w:numPr>
        <w:rPr/>
      </w:pPr>
      <w:bookmarkStart w:id="271" w:name="__RefHeading___Toc2226076_1051229030"/>
      <w:bookmarkStart w:id="272" w:name="_Toc98"/>
      <w:bookmarkEnd w:id="271"/>
      <w:r>
        <w:rPr>
          <w:rtl w:val="true"/>
        </w:rPr>
        <w:t>موقف الإمام من الحدود و الأحكام</w:t>
      </w:r>
      <w:bookmarkEnd w:id="272"/>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Style w:val="FootnoteAnchor"/>
          <w:rtl w:val="true"/>
        </w:rPr>
        <w:footnoteReference w:id="551"/>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الحُدودَ و الأحكامَ إنّما تَجِبُ إقامتُها إذا كانَ إمامٌ، فأمّا إذا لَم يَكُنْ فلا تَجِبُ‌</w:t>
      </w:r>
      <w:r>
        <w:rPr>
          <w:rStyle w:val="FootnoteAnchor"/>
          <w:rtl w:val="true"/>
        </w:rPr>
        <w:footnoteReference w:id="552"/>
      </w:r>
      <w:r>
        <w:rPr>
          <w:rFonts w:ascii="Amiri" w:hAnsi="Amiri" w:eastAsia="Amiri" w:cs="Amiri"/>
          <w:color w:val="111111"/>
          <w:sz w:val="28"/>
          <w:sz w:val="28"/>
          <w:szCs w:val="28"/>
          <w:rtl w:val="true"/>
          <w:lang w:bidi="ar-SA"/>
        </w:rPr>
        <w:t>إقامةُ ذلكَ، بَل لا بُدَّ مِن سُقوطِ الحُدودِ كما تَسقُطُ بالشُّبُهاتِ، و مِن العُدولِ في بابِ الأحكامِ إلى صُلحٍ و تَراضٍ و غيرِ ذلكَ؛ فمِن أينَ أنّه لا بُدَّ مِن إمامٍ مع إمكانِ ذلكَ؟</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ذلكَ كما تَقولونَ‌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الإمامِ واجبةٌ، و 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كَونَ الإمامِ‌</w:t>
      </w:r>
      <w:r>
        <w:rPr>
          <w:rStyle w:val="FootnoteAnchor"/>
          <w:rtl w:val="true"/>
        </w:rPr>
        <w:footnoteReference w:id="554"/>
      </w:r>
      <w:r>
        <w:rPr>
          <w:rFonts w:ascii="Amiri" w:hAnsi="Amiri" w:eastAsia="Amiri" w:cs="Amiri"/>
          <w:color w:val="111111"/>
          <w:sz w:val="28"/>
          <w:sz w:val="28"/>
          <w:szCs w:val="28"/>
          <w:rtl w:val="true"/>
          <w:lang w:bidi="ar-SA"/>
        </w:rPr>
        <w:t>في كُلِّ زَمانٍ واجبٌ‌</w:t>
      </w:r>
      <w:r>
        <w:rPr>
          <w:rStyle w:val="FootnoteAnchor"/>
          <w:rtl w:val="true"/>
        </w:rPr>
        <w:footnoteReference w:id="555"/>
      </w:r>
      <w:r>
        <w:rPr>
          <w:rFonts w:ascii="Amiri" w:hAnsi="Amiri" w:eastAsia="Amiri" w:cs="Amiri"/>
          <w:color w:val="111111"/>
          <w:sz w:val="28"/>
          <w:sz w:val="28"/>
          <w:szCs w:val="28"/>
          <w:rtl w:val="true"/>
          <w:lang w:bidi="ar-SA"/>
        </w:rPr>
        <w:t>لا بُدَّ مِنه، و طريقتُنا في ذلكَ مُخالِفةٌ لطريقتِكم، و إنّما وَجَّهنا الإلزامَ على عِلّتِكم، و نَحنُ مُخالِفونَ لكم فيها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في هذا الفصلِ يَنقُضُ ما كنتَ اعتَمَدتَه في الاستدلالِ على وجوبِ الإمامةِ مِن طريقِ السمعِ؛ لأنّكَ تَعلَّقتَ بأمرِ اللّهِ تَعالى بإقامةِ الحُدودِ،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كانَت مِن فُروضِ الإمامِ وَجَبَت عَلَينا إقامتُه؛ لأنّ الأمرَ بالشيءِ أمرٌ بما لا يَتِمُّ إلّابه</w:t>
      </w:r>
      <w:r>
        <w:rPr>
          <w:rStyle w:val="FootnoteAnchor"/>
          <w:rtl w:val="true"/>
        </w:rPr>
        <w:footnoteReference w:id="557"/>
      </w:r>
      <w:r>
        <w:rPr>
          <w:rFonts w:ascii="Amiri" w:hAnsi="Amiri" w:eastAsia="Amiri" w:cs="Amiri"/>
          <w:color w:val="111111"/>
          <w:sz w:val="28"/>
          <w:sz w:val="28"/>
          <w:szCs w:val="28"/>
          <w:rtl w:val="true"/>
          <w:lang w:bidi="ar-SA"/>
        </w:rPr>
        <w:t>، و أنتَ الآنَ قد أَلزمتَ علَى الطريقةِ التي حَكَيتَها ما هو لازمٌ لكَ؛ لأنّكَ أَلزَمتَ أن تَكونَ الحُدودُ و الأحكامُ تَجِبُ إقامتُها عندَ حُصولِ الإمامِ، و لا تَجِبُ إقامتُه ليَقومَ بها، و هذا بِعَينِه لازمٌ 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يَفتَرِقُ الأمرانِ مِن حَيثُ كانَ خُصومُكَ يوجِبونَ إقامةَ الإمامِ علَى اللّهِ تَعالى و توجِبُها أنتَ علَى العِبادِ؛ لأنّ لِقائلٍ أن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تَعالى قد أمَرَ بإقامةِ الحُدودِ و الأحكامِ، و عَلِمنا أنّه لا يَقومُ بِهما إلّاالإمامُ، وَجَبَ عليه تَعالى إقامتُه؛ لأنّ ما أَمَرَ به مِن إقامةِ الحُدودِ لا يَتِمُّ إلّابإقامةِ الإمامِ مِن جهتِه؛ لأنّ اختيارَه و هو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رَتَّبتَ في الطريقةِ التي ناقَضْتَها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فإن جازَ أن يأمُرَ بإقامةِ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الأمرُ مُتَوجِّهاً إلَى الأئمّةِ مَتى أقامَهم، و لا تَجِبَ عليه إقامتُهم و إن كانَت إقامةُ الحُدودِ لا تَتِمُّ إلّابذلكَ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 أن يأمُرَ بإقامةِ الحُدودِ الأئمّةَ في حالِ إمامتِهم، و لا يَكونَ الخِطابُ مُتَوجِّهاً إليهم قَبلَ أن يَكونوا أئمّةً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73" w:name="pg7486_97265"/>
    </w:p>
    <w:p>
      <w:pPr>
        <w:pStyle w:val="BookText"/>
        <w:rPr/>
      </w:pPr>
      <w:bookmarkEnd w:id="273"/>
      <w:r>
        <w:rPr>
          <w:rFonts w:ascii="Amiri" w:hAnsi="Amiri" w:eastAsia="Amiri" w:cs="Amiri"/>
          <w:color w:val="111111"/>
          <w:sz w:val="28"/>
          <w:sz w:val="28"/>
          <w:szCs w:val="28"/>
          <w:rtl w:val="true"/>
          <w:lang w:bidi="ar-SA"/>
        </w:rPr>
        <w:t>فيَلزَمَهم مع غيرِهم التَوصُّلُ إلى إقامةِ الإمامِ، و إن كانَت إقامةُ الحُدودِ لا يُمكِنُ إلّا بإقامةِ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فَصلَ بَينَ الأمرَينِ</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2226078_1051229030"/>
      <w:bookmarkStart w:id="275" w:name="_Toc99"/>
      <w:bookmarkEnd w:id="274"/>
      <w:r>
        <w:rPr>
          <w:rtl w:val="true"/>
        </w:rPr>
        <w:t>حالُ الحدود في زمن الغيبة</w:t>
      </w:r>
      <w:bookmarkEnd w:id="275"/>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عن هذه الحُدودِ و الأحكامِ في هذه الأزمِنةِ‌</w:t>
      </w:r>
      <w:r>
        <w:rPr>
          <w:rStyle w:val="FootnoteAnchor"/>
          <w:rtl w:val="true"/>
        </w:rPr>
        <w:footnoteReference w:id="558"/>
      </w:r>
      <w:r>
        <w:rPr>
          <w:rFonts w:ascii="Amiri" w:hAnsi="Amiri" w:eastAsia="Amiri" w:cs="Amiri"/>
          <w:color w:val="111111"/>
          <w:sz w:val="28"/>
          <w:sz w:val="28"/>
          <w:szCs w:val="28"/>
          <w:rtl w:val="true"/>
          <w:lang w:bidi="ar-SA"/>
        </w:rPr>
        <w:t>، ما حالُهما</w:t>
      </w:r>
      <w:r>
        <w:rPr>
          <w:rStyle w:val="FootnoteAnchor"/>
          <w:rtl w:val="true"/>
        </w:rPr>
        <w:footnoteReference w:id="559"/>
      </w:r>
      <w:r>
        <w:rPr>
          <w:rFonts w:ascii="Amiri" w:hAnsi="Amiri" w:eastAsia="Amiri" w:cs="Amiri"/>
          <w:color w:val="111111"/>
          <w:sz w:val="28"/>
          <w:sz w:val="28"/>
          <w:szCs w:val="28"/>
          <w:rtl w:val="true"/>
          <w:lang w:bidi="ar-SA"/>
        </w:rPr>
        <w:t>و لَسنا</w:t>
      </w:r>
      <w:r>
        <w:rPr>
          <w:rStyle w:val="FootnoteAnchor"/>
          <w:rtl w:val="true"/>
        </w:rPr>
        <w:footnoteReference w:id="560"/>
      </w:r>
      <w:r>
        <w:rPr>
          <w:rFonts w:ascii="Amiri" w:hAnsi="Amiri" w:eastAsia="Amiri" w:cs="Amiri"/>
          <w:color w:val="111111"/>
          <w:sz w:val="28"/>
          <w:sz w:val="28"/>
          <w:szCs w:val="28"/>
          <w:rtl w:val="true"/>
          <w:lang w:bidi="ar-SA"/>
        </w:rPr>
        <w:t>نَجِدُ إماماً ظاهراً يَقومُ بذلك و يُمكِنُ الرجوعُ إليه؟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يَسقُطانِ، و يُرجَعُ‌</w:t>
      </w:r>
      <w:r>
        <w:rPr>
          <w:rStyle w:val="FootnoteAnchor"/>
          <w:rtl w:val="true"/>
        </w:rPr>
        <w:footnoteReference w:id="561"/>
      </w:r>
      <w:r>
        <w:rPr>
          <w:rFonts w:ascii="Amiri" w:hAnsi="Amiri" w:eastAsia="Amiri" w:cs="Amiri"/>
          <w:color w:val="111111"/>
          <w:sz w:val="28"/>
          <w:sz w:val="28"/>
          <w:szCs w:val="28"/>
          <w:rtl w:val="true"/>
          <w:lang w:bidi="ar-SA"/>
        </w:rPr>
        <w:t>فيهما إلى ما ذَكَرناه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مِثلَه في سائرِ الأزمان؛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أنّه لا بُدّ من إمام؟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تَسقُطُ الحُدودُ في الزمانِ الذي لا يَتمكَّنُ الإمامُ فيه مِن الظهورِ و إقامتِها، بل هي ثابتةٌ في جُنوبِ‌</w:t>
      </w:r>
      <w:r>
        <w:rPr>
          <w:rStyle w:val="FootnoteAnchor"/>
          <w:rtl w:val="true"/>
        </w:rPr>
        <w:footnoteReference w:id="564"/>
      </w:r>
      <w:r>
        <w:rPr>
          <w:rFonts w:ascii="Amiri" w:hAnsi="Amiri" w:eastAsia="Amiri" w:cs="Amiri"/>
          <w:color w:val="111111"/>
          <w:sz w:val="28"/>
          <w:sz w:val="28"/>
          <w:szCs w:val="28"/>
          <w:rtl w:val="true"/>
          <w:lang w:bidi="ar-SA"/>
        </w:rPr>
        <w:t>مُستَحِقّيها، فإن أدرَكَهم ظهورُه أقامَها عَلَيهم، و إن لَم يُدرِكْهم ظهورُه فإنّ اللّهَ تَعالَى المُتَولّي في القيامةِ الجَزاءَ بها أو العفوَ عنها، و الإثمُ في تأخيرِ إقامتِها و المنعِ مِن استعمالِ الواجبِ فيها لازمٌ لِمَن أخافَ الإمامَ و ألجأَه إلَى الغَيبةِ و الاستتارِ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يَلزَمُ قياساً على هذا أن لا يُقيمَ اللّهُ تَعالى إماماً؛ لأنّه إذا لَم يُقِمْه و سَقَطَت </w:t>
      </w:r>
    </w:p>
    <w:p>
      <w:pPr>
        <w:pStyle w:val="BookText"/>
        <w:rPr/>
      </w:pPr>
      <w:r>
        <w:rPr>
          <w:rFonts w:ascii="Amiri" w:hAnsi="Amiri" w:eastAsia="Amiri" w:cs="Amiri"/>
          <w:color w:val="111111"/>
          <w:sz w:val="28"/>
          <w:sz w:val="28"/>
          <w:szCs w:val="28"/>
          <w:rtl w:val="true"/>
          <w:lang w:bidi="ar-SA"/>
        </w:rPr>
        <w:t>الحُدودُ التي تَقتَضيها المَصلَحةُ، كانَ تَعالى هو المانعَ للعِبادِ ما فيه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عن الحُدودِ في هذه الأحوالِ التي لا يَتَمكَّنونَ فيها مَعشَرُ أهلِ الاِختيارِ مِن الاِختيارِ؛ ما القَولُ فيها؟ أتَسقُطُ أم هي ثابتةٌ؟</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ثابتةٌ على مُستَحِقّيها، و الإثمُ في تأخيرِ إقامتِها على مَن مَنَعَ أهلَ الاختيارِ مِن إقامةِ الإمامِ، فمتى تَمكَّنوا مِن إقامتِه و قامَت عِندَه البيّنةُ بشَيءٍ تَقدَّمَ مِمّا يُستَحَقُّ عليه الحُدودُ أقامَها على مُستَحِقّيها، و إلّاكانَ أمرُها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الاختيارِ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الحُدودَ تَسقُطُ إذا لَم يَكُنْ إمامٌ يُقيمُها، كما تَسقُطُ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أفيَلزَمُ على ذلكَ سُقوطُها في كُلِّ حالٍ و مع التمَكُّنِ؟</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إنّما سَقَطَت في الأحوالِ التي لا يَتمكَّنُ العاقِدونَ فيها مِن العَقدِ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لنا مِن جَوابِكَ هذا، 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الحُدودَ تَسقُطُ في غَيبةِ الإمامِ كما تَسقُطُ بالشُّبُهاتِ؛ لأنّ حالَ الغَيبةِ حالُ ضَرورةٍ، و لا يَجِبُ أن تَسقُطَ في كُلِّ حالٍ حتّى يَلزَمَنا تجويزُ خُلوِّ الزمانِ مِن إمامٍ يُقيمُ الحُدودَ جُملةً؛ قياساً على ما فاتَ مِن إقامتِها في 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يَفصِلُ به خُصومُنا بَينَ أحوالِ التمَكُّنِ مِن عَقدِ الإمامةِ و اختيارِ الإمامِ و أحوالِ التعَذُّرِ في معنى سُقوطِ الحُدودِ و ثُبوتِها، هو ما فَصَلنا بعَينِه بَينَ حالِ غَيبةِ الإمامِ و حالِ فَقدِه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276" w:name="pg7486_97269"/>
    </w:p>
    <w:p>
      <w:pPr>
        <w:pStyle w:val="Heading5"/>
        <w:numPr>
          <w:ilvl w:val="4"/>
          <w:numId w:val="1"/>
        </w:numPr>
        <w:rPr/>
      </w:pPr>
      <w:bookmarkStart w:id="277" w:name="__RefHeading___Toc2226080_1051229030"/>
      <w:bookmarkStart w:id="278" w:name="_Toc100"/>
      <w:bookmarkEnd w:id="276"/>
      <w:bookmarkEnd w:id="277"/>
      <w:r>
        <w:rPr>
          <w:rtl w:val="true"/>
        </w:rPr>
        <w:t>إشارة إلى الفرق بين عدم إقامة الحدود من قِبَل الظلمة، و من قِبَله تعالى‌</w:t>
      </w:r>
      <w:bookmarkEnd w:id="278"/>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الشيءِ على وجهٍ يَجوزُ أن يَكونَ خَطأً و فاسداً فيما يَتعلَّقُ بالدِّينِ لَيسَ بأكثَرَ مِن عدمِه، فإذا جَوَّزتم أن لا تُقامَ الحُدودُ في هذا الزمانِ و في غَيرِه مِن الأزمنةِ التي لَم يَظهَرْ فيها الإمامُ لَو كانَ معلوماً و لا يوجِبَ ذلكَ فَساداً في الدِّينِ، فما الذي يَمنَعُ مِن إثباتِ إمامٍ غيرِ معصومٍ جميلِ الظاهرِ، يَجوزُ عليه الخطأُ فيما يُقيمُه مِن الحُدودِ و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يوجِبَ ذلكَ فَساداً في الدِّينِ؟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عدمَ إقامةِ الحُدودِ في هذا الزمانِ اللَّومُ فيه علَى الظالِمينَ المُخيفينَ للإمامِ، و لَيسَ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عدمِها مِن قِبَلِ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تُعدَمَ، أو تَقَعَ على وجهٍ يوجِبُ فَساداً في الدِّينِ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بَينَ الأمرَينِ ظاهرٌ؛ لأنّ الحُجّةَ في أحَدِهما للّهِ تَعالى، لا عليه، و في الآخَرِ عليه، لا له؛ تَعالى عن ذلكَ عُلوّاً كَبيراً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226082_1051229030"/>
      <w:bookmarkStart w:id="280" w:name="_Toc101"/>
      <w:bookmarkEnd w:id="279"/>
      <w:r>
        <w:rPr>
          <w:rtl w:val="true"/>
        </w:rPr>
        <w:t>ج</w:t>
      </w:r>
      <w:r>
        <w:rPr>
          <w:rtl w:val="true"/>
        </w:rPr>
        <w:t xml:space="preserve">: </w:t>
      </w:r>
      <w:r>
        <w:rPr>
          <w:rtl w:val="true"/>
        </w:rPr>
        <w:t>ما ذكره في حفظ الشريعة بالإمام عليه السلام في زمن الغيبة، و وجود الإمام عليه السلام في الإجماع و وراء التواتر</w:t>
      </w:r>
      <w:r>
        <w:rPr>
          <w:rtl w:val="true"/>
        </w:rPr>
        <w:t>:</w:t>
      </w:r>
      <w:bookmarkEnd w:id="280"/>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لهم مِن ذلكَ‌</w:t>
      </w:r>
      <w:r>
        <w:rPr>
          <w:rStyle w:val="FootnoteAnchor"/>
          <w:rtl w:val="true"/>
        </w:rPr>
        <w:footnoteReference w:id="568"/>
      </w:r>
      <w:r>
        <w:rPr>
          <w:rFonts w:ascii="Amiri" w:hAnsi="Amiri" w:eastAsia="Amiri" w:cs="Amiri"/>
          <w:color w:val="111111"/>
          <w:sz w:val="28"/>
          <w:sz w:val="28"/>
          <w:szCs w:val="28"/>
          <w:rtl w:val="true"/>
          <w:lang w:bidi="ar-SA"/>
        </w:rPr>
        <w:t xml:space="preserve">مِن وجهٍ آخَرَ؛ و ذلكَ أنّهم زَعَموا أنّ الإمامَ الذي يَحفَظُ الشَّرعَ لا يَلقى كُلَّ المكلَّفينَ، و لا يَلقاه جميعُهم، فلا بُدَّ فيما </w:t>
      </w:r>
    </w:p>
    <w:p>
      <w:pPr>
        <w:pStyle w:val="BookText"/>
        <w:rPr/>
      </w:pPr>
      <w:r>
        <w:rPr>
          <w:rFonts w:ascii="Amiri" w:hAnsi="Amiri" w:eastAsia="Amiri" w:cs="Amiri"/>
          <w:color w:val="111111"/>
          <w:sz w:val="28"/>
          <w:sz w:val="28"/>
          <w:szCs w:val="28"/>
          <w:rtl w:val="true"/>
          <w:lang w:bidi="ar-SA"/>
        </w:rPr>
        <w:t>يَحفَظُه أن يُبلِغَه المُحتاجَ إليه مِنهم بطريقِ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فيما يَحفَظُه أن يَنتَهيَ إلَى المكلَّفينَ بهذا الوجهِ، لَم يَمتَنِعْ مِثلُه في شَريعةِ الرسولِ عليه السلامُ، و يُستَغنى عن إثباتِ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استُغنيَ عن إبلاغِ المعصومِ ما يَحفَظُه إليهم عن معصومٍ آخَرَ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ممّا قد تَكلَّمنا عليهِ، و بيّنّا أنّ الشَّرعَ و إن كانَ واصِلاً إلى مَن نأى عن الإمامِ بالتواتُرِ، فإنّه محفوظٌ بالإمامِ‌</w:t>
      </w:r>
      <w:r>
        <w:rPr>
          <w:rStyle w:val="FootnoteAnchor"/>
          <w:rtl w:val="true"/>
        </w:rPr>
        <w:footnoteReference w:id="570"/>
      </w:r>
      <w:r>
        <w:rPr>
          <w:rFonts w:ascii="Amiri" w:hAnsi="Amiri" w:eastAsia="Amiri" w:cs="Amiri"/>
          <w:color w:val="111111"/>
          <w:sz w:val="28"/>
          <w:sz w:val="28"/>
          <w:szCs w:val="28"/>
          <w:rtl w:val="true"/>
          <w:lang w:bidi="ar-SA"/>
        </w:rPr>
        <w:t>لِكَونِه مُراعياً له، و مُراقِباً لِتَلافي ما يَعرِضُ فيه مِن خطإٍ و إخلالٍ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ألزَمَنا مُخالِفونا القَولَ بوُصولِ شَريعةِ الرسولِ صلَّى اللّهُ عليهِ و آلِه إلينا على هذا الوجهِ التَزَمناه؛ لأنّا لا نأبى أن يَكونَ الشريعةُ واصلةً إلينا بنَقلٍ متَواتِرٍ يَكونُ مِن وَرائِه مَعصومٌ يُراعيهِ و يَتَلافى ما يَعرِضُ فيه، بَل هذا هو نَصُّ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إلزامَنا كَونَ الشريعةِ منقولةً إلينا و لا معصومَ وراءَها، لَم يَكُن هذا مُشبِهاً لِما نَقولُه فيما يُنقَلَ عن الإمامِ و هو حَيٌّ إلى مَن نأى عنه في أطرافِ البلادِ، و صارَ قَولُهم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في هذا ما قُلتُموه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لهم مِن ذلكَ مِن وجهٍ آخَرَ؛ لأنّ الإمامَ عندَهم قد يَكونُ مغلوباً بالخَوارِجِ و غَيرِهم، و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إثباتِ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الشرائعِ، فإذا صَحَّ أن يَعرِفوها و الحالُ هذه لا مِن جهةِ الإمامِ، فلا يَمتَنِعُ في سائرِ الأحوالِ مِثلُه، و يُستَغنى عن الإمامِ المعصومِ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بُدَّ مِن ذلكَ مِن وجهٍ آخَرَ؛ لأنّ الإمامَ مُنذُ زَمانٍ غَيرُ معلومٍ عَينُه، و إن كانَ له عَينٌ فغَيرُ معلومٍ مَكانُه، و غَيرُ متميِّزٍ على وجهٍ يَصِحُّ أن يُقصَدَ، و قد صَحَّ مع ذلكَ أن نَعرِفَ الشرائعَ و نَقومَ بها؛ فغَيرُ مُمتَنِعٍ مِثلُه في سائرِ الأزمِنةِ‌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غَلَبةُ الخَوارِجِ فغَيرُ مانِعةٍ مِن حِفظِ الشرعِ، و أمّا معرفتُه في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أحوالَ غَلَبتِهم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بالنَّقلِ عن صاحبِ الشرعِ، أو عمّن تَقدَّمَ إمامَ الزمانِ مِن الأئمّةِ، و يَكونُ ذلكَ النَّقلُ محفوظاً بإمامِ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يَنتَهيَ غَلَبةُ الخَوارِجِ إلى حَدٍّ يَمنَعُ الإمامَ مِن بَيانِ ما ضاعَ مِنَ الشرعِ و أخَلَّ به الناقِلونَ؛ لأنّ ذلكَ لَو عُلِمَ لَما كلَّفَنا اللّهُ تعَالَى العملَ بالشرعِ و الثقةَ به و القَطعَ على وصولِه إلينا، و في العِلمِ بأنّا مكلَّفونَ بما ذَكرناه دليلٌ على أنّ الإمامَ لا يَجوزُ أن يَنتَهيَ به غَلَبةُ الخَوارِجِ إلى حَدٍّ يَمنَعُه مِن بَيانِ ما يَضيعُ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حالُ الغَيبةِ فغَيرُ مانِعةٍ مِن المعرفةِ بالشرعِ، و مِن حِفظِه أيضاً علَى الوجهِ الذي بيّنّاه، 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نَحتاجُ إلَى الإمامِ في كُلِّ حالٍ لنَعرِفَ الشرعَ، بَل لنَثِقَ بوُصولِه إلينا، و نحنُ نَثِقُ بذلكَ في حالِ الغَيبةِ؛ لعِلمِنا بأنّه لَو أخَلَّ الناقِلونَ مِنه بشَيءٍ يَلزَمُنا معرفتُه لَظهَرَ الإمامُ، و بيَّنَ بنفسِه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شَيخُنا أبو عليٍّ‌</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الغرضُ إثباتَ إمامٍ في الزمانِ، و إن لَم يُبلِّغْ‌</w:t>
      </w:r>
      <w:r>
        <w:rPr>
          <w:rStyle w:val="FootnoteAnchor"/>
          <w:rtl w:val="true"/>
        </w:rPr>
        <w:footnoteReference w:id="573"/>
      </w:r>
      <w:r>
        <w:rPr>
          <w:rFonts w:ascii="Amiri" w:hAnsi="Amiri" w:eastAsia="Amiri" w:cs="Amiri"/>
          <w:color w:val="111111"/>
          <w:sz w:val="28"/>
          <w:sz w:val="28"/>
          <w:szCs w:val="28"/>
          <w:rtl w:val="true"/>
          <w:lang w:bidi="ar-SA"/>
        </w:rPr>
        <w:t>و لَم يَقُمْ بالأُمورِ، و صَحَّ ذلكَ، فما الأمانُ مِن أنّه جَبرَئيلُ أوف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الملائكةِ في السماءِ، و يُستَغنى عن إمامٍ في الأرضِ؛ لأنّ المعنَى الذي لأجلِه يُطلَبُ‌</w:t>
      </w:r>
      <w:r>
        <w:rPr>
          <w:rStyle w:val="FootnoteAnchor"/>
          <w:rtl w:val="true"/>
        </w:rPr>
        <w:footnoteReference w:id="574"/>
      </w:r>
      <w:r>
        <w:rPr>
          <w:rFonts w:ascii="Amiri" w:hAnsi="Amiri" w:eastAsia="Amiri" w:cs="Amiri"/>
          <w:color w:val="111111"/>
          <w:sz w:val="28"/>
          <w:sz w:val="28"/>
          <w:szCs w:val="28"/>
          <w:rtl w:val="true"/>
          <w:lang w:bidi="ar-SA"/>
        </w:rPr>
        <w:t xml:space="preserve">الإمامُ عندَكم يَقتَضي ظُهورَه، فإذا لَم يَظهَرْ كان وُجودُه كعدمِه، و كانَ كَونُه في الزمانِ بمنزِلةِ كَونِ جَبرَئيلَ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إثباتُ جَبرَئيلَ مُتَيقَّنٌ، و إثباتُ هذا الإمامِ مشكوكٌ فيه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الغرضَ لَيسَ هو وُجودَ الإمامِ فقط، بَل أمرُه و نهيُه و تَصرُّفُه؛ لأنّ بهذه الأُمورِ ما يَكونُ المكلَّفونَ مِن القَبيحِ أبعَدَ، و إلى فِعلِ الواجبِ أقرَبَ، غَيرَ أنّ الظالِمينَ مَنَعوه ممّا هو الغرضُ، فَاللَّومُ فيه عليهِم، و اللّهُ المُطالِبُ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ما هو الغرضُ لا يَتِمُّ إلّابوُجودِه أَوجَدَه اللّهُ تَعالى، و جعَلَه بحَيثُ لَو شاءَ المكلَّفونَ أن يَصِلوا إليه و يَنتَفِعوا به لَوصَلوا و انتَفَعوا، بأن يَعدِلوا عمّا أَوجَبَ خَوفَه و تَقيّتَه، فيقَعَ منه الظهورُ الذي أَوجَبَه اللّهُ تَعالى عليهِ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المانعُ مِن تصرُّفِه و أمرِه و نهيِه غَيرَ مانعٍ مِن وُجودِه، لَم يَجِبْ مِن حَيثُ امتنَعَ عليه التصرُّفُ بفِعلِ الظلَمةِ أن يُعدِمَه اللّهُ تَعالى، أو أن لا يوجِدَه في الأصلِ؛ لأنّه لَو فعَلَ ذلكَ لَكانَ هو المانِعَ حينَئذٍ للمكلَّفينَ لُطفَهم، و لَكانوا إنّما أُتوا في فَسادِهم و ارتفاعِ صَلاحِهم مِن جهتِه؛ لأنّهم غَيرُ مُتَمكِّنينَ مع عدمِ الإمامِ مِن الوصولِ إلى ما فيه لُطفُهم و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ذَكرناه يُفرِّقُ بَينَ وجودِ الإمامِ مع الاستتارِ و بَينَ عدمِه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تَقدَّمَ يُعلَمُ أيضاً الفَرقُ بَينَه و بَينَ جَبرَئيلَ في السماءِ؛ لأنّ الإمامَ إذا كانَ موجوداً مُستَتِراً كانَت الحُجّةُ لِلّهِ تَعالى علَى المكلَّفينَ به ثابتةً؛ لأنّهم قادِرونَ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أفعالٍ تَقتَضي ظُهورَه، و وُصولَهم مِن جهتِه إلى مَنافعِهم و مَصالحِهم، و كُلُّ هذا غَيرُ حاصلٍ في جَبرَئيل عليه السلامُ؛ فالمعارِضُ به ظاهرُ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قالوا بأنّ الإجماعَ حقٌّ لِكَونِ الإمامِ فيه، أَرَيناهم أنّه لا فائدةَ تَحتَ هذا القَولِ؛ لأنّ الحُجّةَ هي قَولُ الإمامِ، فضَمُّ سائرِهم إليه لا وجهَ له، كَما لا يَجوزُ أن يُقالَ‌</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577"/>
      </w:r>
      <w:r>
        <w:rPr>
          <w:rFonts w:ascii="Amiri" w:hAnsi="Amiri" w:eastAsia="Amiri" w:cs="Amiri"/>
          <w:color w:val="111111"/>
          <w:sz w:val="28"/>
          <w:sz w:val="28"/>
          <w:szCs w:val="28"/>
          <w:rtl w:val="true"/>
          <w:lang w:bidi="ar-SA"/>
        </w:rPr>
        <w:t>إجماعَ النَّصارى حقٌّ إذا كانَ عيسى فيهم، و قَولَ اليَهودِ حقٌّ إذا كانَ موسى فيهم، و كَما لا يَجوزُ أن يُقالَ‌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إجماعَ الكُفّارِ حقٌّ إذا كانَ رسولُ اللّهِ‌</w:t>
      </w:r>
      <w:r>
        <w:rPr>
          <w:rStyle w:val="FootnoteAnchor"/>
          <w:rtl w:val="true"/>
        </w:rPr>
        <w:footnoteReference w:id="579"/>
      </w:r>
      <w:r>
        <w:rPr>
          <w:rFonts w:ascii="Amiri" w:hAnsi="Amiri" w:eastAsia="Amiri" w:cs="Amiri"/>
          <w:color w:val="111111"/>
          <w:sz w:val="28"/>
          <w:sz w:val="28"/>
          <w:szCs w:val="28"/>
          <w:rtl w:val="true"/>
          <w:lang w:bidi="ar-SA"/>
        </w:rPr>
        <w:t>عليه السلامُ فيهم؛ فقَد بيّنّا مِن قَبلُ أنّه لا بُدَّ مِن مُحقِّينَ في الأُمّةِ مِن الشَّهَداءِ و غَيرِهم، على ما يَقولُه شَيخُنا أبو عليٍّ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رَجَعوا بهذا الكلامِ عَلَينا في الشُّهَداءِ لَم يَكُن لازِماً؛ لأنّا لا نُعيِّنُهم، و لا يَمتَنِعُ لفَقدِ التعيينِ أن يُجعَلَ‌</w:t>
      </w:r>
      <w:r>
        <w:rPr>
          <w:rStyle w:val="FootnoteAnchor"/>
          <w:rtl w:val="true"/>
        </w:rPr>
        <w:footnoteReference w:id="580"/>
      </w:r>
      <w:r>
        <w:rPr>
          <w:rFonts w:ascii="Amiri" w:hAnsi="Amiri" w:eastAsia="Amiri" w:cs="Amiri"/>
          <w:color w:val="111111"/>
          <w:sz w:val="28"/>
          <w:sz w:val="28"/>
          <w:szCs w:val="28"/>
          <w:rtl w:val="true"/>
          <w:lang w:bidi="ar-SA"/>
        </w:rPr>
        <w:t>الإجماعُ الذي هو حُجّةٌ إجماعَ المؤمنينَ، و لَو تَميَّزوا لَجعَلنا إجماعَهم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ما قاله القَومُ؛ لأنّ الإمامَ عندَهم متميِّزٌ، فالذي أَلزَمناه</w:t>
      </w:r>
      <w:r>
        <w:rPr>
          <w:rStyle w:val="FootnoteAnchor"/>
          <w:rtl w:val="true"/>
        </w:rPr>
        <w:footnoteReference w:id="581"/>
      </w:r>
      <w:r>
        <w:rPr>
          <w:rFonts w:ascii="Amiri" w:hAnsi="Amiri" w:eastAsia="Amiri" w:cs="Amiri"/>
          <w:color w:val="111111"/>
          <w:sz w:val="28"/>
          <w:sz w:val="28"/>
          <w:szCs w:val="28"/>
          <w:rtl w:val="true"/>
          <w:lang w:bidi="ar-SA"/>
        </w:rPr>
        <w:t>متوجِّهٌ، و هو عنّا زائلٌ</w:t>
      </w:r>
      <w:r>
        <w:rPr>
          <w:rFonts w:eastAsia="Amiri" w:cs="Amiri" w:ascii="Amiri" w:hAnsi="Amiri"/>
          <w:color w:val="111111"/>
          <w:sz w:val="28"/>
          <w:szCs w:val="28"/>
          <w:rtl w:val="true"/>
          <w:lang w:bidi="ar-SA"/>
        </w:rPr>
        <w:t>.</w:t>
      </w:r>
      <w:r>
        <w:rPr>
          <w:rStyle w:val="FootnoteAnchor"/>
        </w:rPr>
        <w:footnoteReference w:id="58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و إن كانَ بانفرادِه حقّاً، و لا تأثيرَ لضَمِّ غَيرِه إليه، فلا بُدَّ مِن أن يَكونَ جوابُ مَن سَألَ عن الإجماعِ الذي الإمامُ في جُملتِه أنّه حقٌّ، كما يَكونُ مِثلُ ذلكَ الجوابِ لِمَن سَألَ عن عَشرةٍ في جُملتِهم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الفائدةُ في ذِكرِ غَيرِ الإمامِ معه، و الحُجّةُ هي قَولُه بعَينِه، فإنّما يُسألُ عنها مَن استَعمَلَ هذه اللفظةَ مُبتَدِئاً مع تَميُّزِ قَولِ الإمامِ، و نحنُ لا نَكادُ نَستَعمِلُها في مِثلِ هذه الحالِ، و إنّما نُجيبُ بالصحيحِ عندَنا فيه عندَ سؤالِ المُخالِفِ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يَمتَنِعُ أن يَكونَ لذلك فائدةٌ، و هي أنّ قَولَ الإمامِ قد يَكونُ غَيرَ متميِّزٍ في بعضِ الأحوالِ؛ كأحوالِ الغَيبةِ و الخَوفِ التي لا يُعرَفُ قَولُ الإمامِ فيها على سَبيلِ التفصيلِ، فلا يَمتَنِعُ في مِثلِ هذه الأحوالِ أن يُعتبَرَ الإجماعُ؛ لعِلمِنا بدُخولِ الإمامِ فيه، كما يَقولُ خُصومُنا في الشُّهَداءِ و المؤمِنينَ؛ لأنّ إجماعَ هؤلاءِ عندَهم هو الحُجّةُ، و لا تأثيرَ لضَمِّ غَيرِه إليه، و مع ذلكَ فنَحنُ نَراهُم يَعتَبِرونَ إجماعَ الأُمّةِ؛ مِن حَيثُ لَم يَتميَّزْ عندَهم أقوالُ الشُّهَداءِ و المؤمِنينَ، و عَلِموا دُخولَها في جُملةِ أقوالِ الأُمّةِ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الجوابِ الذي ذَكرناه يَجِبُ أن يُجيبَ مَن سلَّمَ الخبرَ</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الإجماعِ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تأوَّلَه على أنّ إجماعَهم حقٌّ لِمَكانِ الإمامِ المعصومِ و دُخولِه 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 الإمامِ هو الحُجّةَ بانفرادِه، فأيُّ معنىً لضَمِّ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بيّنّا الوجهَ في حُسنِ استعمالِ ذلكَ ابتداءً، و نَبَّهنا على وجهِ الفائدةِ فيه في الأحوالِ التي لا يَتميَّزُ قَولُ الإمامِ فيها، و بيّنّا أيضاً الفَرقَ بَينَ ما يَبتدئُ المستَعمِلُ باستعمالِه مِن الكلامِ فَيلزَمُه المطالَبةُ بفائدتِه، و بَينَ ما يَتَناوَلُه مِن سؤالِ خَصمِه و يُخرِجُ له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يَمتَنِعُ أن يُجيبَ مَن سُئلَ عن إجماعِ النَّصارى إذا كانَ عيسى عليه السلامُ فيهِم بأنّه حقٌّ، و كذلكَ القَولُ في إجماعِ اليَهودِ إذا كانَ قَولُ موسى عليه السلامُ في جُملةِ أقوالِهم؛ لأنّا إن لم نَقُلْ أنّه حقٌّ فلا بُدَّ مِن أن يَكونَ باطلاً؛ و كيفَ يَكونُ باطلاً و في جُملتِهم نَبيٌّ مقطوعٌ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يُسألَ عن الفائدةِ في الابتداءِ بهذا القَولِ‌</w:t>
      </w:r>
      <w:r>
        <w:rPr>
          <w:rStyle w:val="FootnoteAnchor"/>
          <w:rtl w:val="true"/>
        </w:rPr>
        <w:footnoteReference w:id="584"/>
      </w:r>
      <w:r>
        <w:rPr>
          <w:rFonts w:ascii="Amiri" w:hAnsi="Amiri" w:eastAsia="Amiri" w:cs="Amiri"/>
          <w:color w:val="111111"/>
          <w:sz w:val="28"/>
          <w:sz w:val="28"/>
          <w:szCs w:val="28"/>
          <w:rtl w:val="true"/>
          <w:lang w:bidi="ar-SA"/>
        </w:rPr>
        <w:t>،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فائدةَ فيه إذا كانَ قَولُ عيسى عليه السلامُ منفَرِداً متميِّزاً، و لَو عُدِمَ تميُّزُه في بعضِ الأحوالِ لَحَسُنَ استعمالُه، كما حَسُنَ ذلكَ في الإمامِ عندَ الغَيبةِ على مَذهبِنا، و في الشُّهَداءِ و المؤمنينَ على مَذاهِبِ خُصومِنا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تَعاطيهِ‌</w:t>
      </w:r>
      <w:r>
        <w:rPr>
          <w:rStyle w:val="FootnoteAnchor"/>
          <w:rtl w:val="true"/>
        </w:rPr>
        <w:footnoteReference w:id="585"/>
      </w:r>
      <w:r>
        <w:rPr>
          <w:rFonts w:ascii="Amiri" w:hAnsi="Amiri" w:eastAsia="Amiri" w:cs="Amiri"/>
          <w:color w:val="111111"/>
          <w:sz w:val="28"/>
          <w:sz w:val="28"/>
          <w:szCs w:val="28"/>
          <w:rtl w:val="true"/>
          <w:lang w:bidi="ar-SA"/>
        </w:rPr>
        <w:t>الفَرقَ بَينَ قَولِنا في الإمامِ و قَولِه في الشُّهَداءِ؛ لأنّ الإمامَ متميِّزٌ و الشُّهداءَ غَيرُ متميِّزينَ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بيّنّا أنّ قَولَ الإمامِ قد يَكونُ غَيرَ متميِّزٍ في بعضِ الأحوالِ، فيَجِبُ أن يَسوغَ لنا فيه ما ساغَ له في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تعيَّنَ الشُّهَداءُ عندَكم و تمَيَّزوا و سُئلتَ عن إجماعِ الأُمّةِ هل هو حقٌّ، بأيِّ شيءٍ كُنتَ تُجيبُ؟</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بأنّه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عِبتَ عَلَينا أن نُجيبَ بمِثلِ ذلك إذا سُئلنا عن إجماعِ الأُمّةِ؟ و ألا منَعكَ مِن الجوابِ بأنّه حقٌّ تميُّزُ الشُّهَداءِ و تعيُّنُهم، و أنّه لا تأثيرَ لضَمِّ غَيرِهم إليهم؟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يَمنَعُ مِن الجوابِ بأنّه حقٌّ إذا سُئلتُ عن ذلكَ؛ لأنّه لا بُدَّ أن يَكونَ حقّاً إذا فَرَضنا هذا الفَرضَ، و إنّما العَيبُ أن أضُمَّ مُبتدِئاً إلَى الشُّهَداءِ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تعيُّنِهم و تميُّزِهم غَيرَهم، ثُمّ أقضيَ بأنّ في قَولِهم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في هذا التفصيلِ، و بمِثلِه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في شريعةِ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حافِظٍ و مبلِّغٍ، و كانَ لا يَصِحُّ أن يقَعَ ذلكَ بالتواتُرِ، فلا بُدَّ مِن إثباتِ إمامٍ معصومٍ يَكونُ في كُلِّ حالٍ بمَنزلةِ الرسولِ في أنّه يُبلِّغُ و يُعلِّمُ و يُرجَعُ إليه في المُشكِلِ، و يؤخَذُ عنه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يَجوزُ أن لا يَكونَ الرسولُ في كُلِّ حالٍ‌</w:t>
      </w:r>
      <w:r>
        <w:rPr>
          <w:rStyle w:val="FootnoteAnchor"/>
          <w:rtl w:val="true"/>
        </w:rPr>
        <w:footnoteReference w:id="586"/>
      </w:r>
      <w:r>
        <w:rPr>
          <w:rFonts w:ascii="Amiri" w:hAnsi="Amiri" w:eastAsia="Amiri" w:cs="Amiri"/>
          <w:color w:val="111111"/>
          <w:sz w:val="28"/>
          <w:sz w:val="28"/>
          <w:szCs w:val="28"/>
          <w:rtl w:val="true"/>
          <w:lang w:bidi="ar-SA"/>
        </w:rPr>
        <w:t>مع الحاجةِ إلى معرفةِ الشرعِ‌</w:t>
      </w:r>
      <w:r>
        <w:rPr>
          <w:rStyle w:val="FootnoteAnchor"/>
          <w:rtl w:val="true"/>
        </w:rPr>
        <w:footnoteReference w:id="587"/>
      </w:r>
      <w:r>
        <w:rPr>
          <w:rFonts w:ascii="Amiri" w:hAnsi="Amiri" w:eastAsia="Amiri" w:cs="Amiri"/>
          <w:color w:val="111111"/>
          <w:sz w:val="28"/>
          <w:sz w:val="28"/>
          <w:szCs w:val="28"/>
          <w:rtl w:val="true"/>
          <w:lang w:bidi="ar-SA"/>
        </w:rPr>
        <w:t>، فكذلكَ لا يَجوزُ أن لا يَكونَ الإمامُ في كُلِّ حالٍ مع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قَدَحوا في التواتُرِ بوُجوهٍ قد قَدَّمنا ذِكرَها في بابِ الأخبارِ</w:t>
      </w:r>
      <w:r>
        <w:rPr>
          <w:rStyle w:val="FootnoteAnchor"/>
          <w:rtl w:val="true"/>
        </w:rPr>
        <w:footnoteReference w:id="588"/>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 إذا جازَ أن يَكتُمَ النقلَ و يَكذِبَ و يُغيِّرَ، فيَجِبُ جَوازُ ذلكَ على جميعِهم، و أن لا يَصِحَّ القَطعُ على صِحّةِ خبرِهم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صحيحةٌ معتمَدةٌ، و يؤيِّدُها ما دَلَّلنا عليه مِن قَبلُ مِن أنّ التواتُرَ لا يَجوزُ أن يُقتصَرَ عليهِ في حِفظِ الشرعِ و أدائه، و أنّه لا بُدَّ مِن كَونِ معصومٍ وَراءَه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القَدحُ في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فمَعاذَ اللّهِ أن نَراه أو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يَظُنُّ أنّا إذا مَنَعنا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81" w:name="pg7486_97286"/>
    </w:p>
    <w:p>
      <w:pPr>
        <w:pStyle w:val="BookText"/>
        <w:rPr/>
      </w:pPr>
      <w:bookmarkEnd w:id="281"/>
      <w:r>
        <w:rPr>
          <w:rFonts w:ascii="Amiri" w:hAnsi="Amiri" w:eastAsia="Amiri" w:cs="Amiri"/>
          <w:color w:val="111111"/>
          <w:sz w:val="28"/>
          <w:sz w:val="28"/>
          <w:szCs w:val="28"/>
          <w:rtl w:val="true"/>
          <w:lang w:bidi="ar-SA"/>
        </w:rPr>
        <w:t>مِن أن يُحفَظَ الشرعُ به فقَد قَدَحنا فيه، فقَد أبعَدَ؛ لأنّ القَدحَ فيه إنّما يَكونُ بالطعنِ في كَونِه حُجّةً، و طريقاً إلَى العِلمِ عند وُرودِه على شَرائطِه، فأمّا لِما ذَكرناه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الحكايةِ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واحدٍ مِنهم إذا جازَ أن يَكتُمَ و يَكذِبَ، فيَجِبُ جوازُ ذلكَ على جميعِهم، و أن لا يَصِحَّ القَطعُ على صِحّةِ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طَريفٌ؛ لأنّا لا نُجيزُ الكَذِبَ على جَماعتِهم علَى الحَدِّ الذي أَجَزناه على آحادِهم، و لَو كُنّا نُجيزُ ذلكَ لَلَحِقنا بمُنكِري الأخبارِ و الذاهِبينَ إلى أنّها لا توجِبُ عِلماً، و المعلومُ مِن مَذهَبِنا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على آحادِهم و جَماعاتِهم، فلَيسَ يَجِبُ أن يَكونَ مانِعاً مِن القَطعِ على صِحّةِ خبرِهم إذا ورَدَ علَى الشرائطِ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مانِعاً مِن كَونِهم حافِظينَ للشرعِ؛ لأنّه إذا جازَ ذلكَ عليهِم لَم نَثِقْ بأنّه لَم يقَعْ مِنهم إلّا بأن يُقطَعَ على وُجودِ معصومٍ يَكونُ وَراءَهم متى وقَعَ مِنهم الكِتمانُ الجائزُ عليهِم تَلافاه و بيَّنَ عنه، فلَيسَ يَجِبُ أن يَخلِطَ صاحبُ الكتابِ جَوازَ الكِتمانِ بجَوازِ الكَذِبِ، و إخراجَهم مِن أن يَكونوا حافِظينَ للشرعِ بإخراجِهم مِن أن يَكونوا حُجّةً فيما يَتَواتَرونَ به؛ فإنّ ذلكَ لا يَختَلِطُ إلّاعندَ مَن لا معرفةَ عندَه</w:t>
      </w:r>
      <w:r>
        <w:rPr>
          <w:rFonts w:eastAsia="Amiri" w:cs="Amiri" w:ascii="Amiri" w:hAnsi="Amiri"/>
          <w:color w:val="111111"/>
          <w:sz w:val="28"/>
          <w:szCs w:val="28"/>
          <w:rtl w:val="true"/>
          <w:lang w:bidi="ar-SA"/>
        </w:rPr>
        <w:t>.</w:t>
      </w:r>
      <w:r>
        <w:rPr>
          <w:rStyle w:val="FootnoteAnchor"/>
          <w:rtl w:val="true"/>
        </w:rPr>
        <w:footnoteReference w:id="590"/>
      </w:r>
    </w:p>
    <w:p>
      <w:pPr>
        <w:pStyle w:val="Heading4"/>
        <w:numPr>
          <w:ilvl w:val="3"/>
          <w:numId w:val="1"/>
        </w:numPr>
        <w:rPr/>
      </w:pPr>
      <w:bookmarkStart w:id="282" w:name="__RefHeading___Toc2226084_1051229030"/>
      <w:bookmarkStart w:id="283" w:name="_Toc102"/>
      <w:bookmarkEnd w:id="282"/>
      <w:r>
        <w:rPr>
          <w:rtl w:val="true"/>
        </w:rPr>
        <w:t>د</w:t>
      </w:r>
      <w:r>
        <w:rPr>
          <w:rtl w:val="true"/>
        </w:rPr>
        <w:t xml:space="preserve">: </w:t>
      </w:r>
      <w:r>
        <w:rPr>
          <w:rtl w:val="true"/>
        </w:rPr>
        <w:t>ما ذكره من كون امام الزمان عليه السلام وراء الناقلين للشريعة</w:t>
      </w:r>
      <w:r>
        <w:rPr>
          <w:rtl w:val="true"/>
        </w:rPr>
        <w:t>:</w:t>
      </w:r>
      <w:bookmarkEnd w:id="283"/>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الإمامَ عَرَفَ مِن قِبَلِ الرَّسولِ، و لا بُدَّ مِن أوّلٍ عرَفَه مِن قِبَلِ اللّهِ تَعالى، و لا يَعلَمُ‌</w:t>
      </w:r>
      <w:r>
        <w:rPr>
          <w:rStyle w:val="FootnoteAnchor"/>
          <w:rtl w:val="true"/>
        </w:rPr>
        <w:footnoteReference w:id="591"/>
      </w:r>
      <w:r>
        <w:rPr>
          <w:rFonts w:ascii="Amiri" w:hAnsi="Amiri" w:eastAsia="Amiri" w:cs="Amiri"/>
          <w:color w:val="111111"/>
          <w:sz w:val="28"/>
          <w:sz w:val="28"/>
          <w:szCs w:val="28"/>
          <w:rtl w:val="true"/>
          <w:lang w:bidi="ar-SA"/>
        </w:rPr>
        <w:t>مُرادَه باضطرارٍ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أن يُعرَفَ‌</w:t>
      </w:r>
      <w:r>
        <w:rPr>
          <w:rStyle w:val="FootnoteAnchor"/>
          <w:rtl w:val="true"/>
        </w:rPr>
        <w:footnoteReference w:id="592"/>
      </w:r>
      <w:r>
        <w:rPr>
          <w:rFonts w:ascii="Amiri" w:hAnsi="Amiri" w:eastAsia="Amiri" w:cs="Amiri"/>
          <w:color w:val="111111"/>
          <w:sz w:val="28"/>
          <w:sz w:val="28"/>
          <w:szCs w:val="28"/>
          <w:rtl w:val="true"/>
          <w:lang w:bidi="ar-SA"/>
        </w:rPr>
        <w:t xml:space="preserve">مُرادُه </w:t>
      </w:r>
    </w:p>
    <w:p>
      <w:pPr>
        <w:pStyle w:val="BookText"/>
        <w:rPr/>
      </w:pPr>
      <w:r>
        <w:rPr>
          <w:rFonts w:ascii="Amiri" w:hAnsi="Amiri" w:eastAsia="Amiri" w:cs="Amiri"/>
          <w:color w:val="111111"/>
          <w:sz w:val="28"/>
          <w:sz w:val="28"/>
          <w:szCs w:val="28"/>
          <w:rtl w:val="true"/>
          <w:lang w:bidi="ar-SA"/>
        </w:rPr>
        <w:t>بكلامِه و لا ضَرورةَ، فما الّذي يَمنَعُ مِن مِثلِه في كُلِّ زمانٍ؟ و لا يُمكِنُه التخلُّصُ مِن ذلكَ إلّابأن يوجِبَ أنّ كُلَّ أحَدٍ جاهلٌ بمُرادِ اللّهِ تَعالى ذاهبٌ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الزمانِ، و في كُلِّ زمانٍ كانَ الإمامُ مغلوباً عليه فيه؛ فيَجِبُ مِن ذلكَ الشهادةُ علَى الكُلِّ بالجَهلِ و الكُفرِ، و أن يَلزَمَه أن لا يَكونَ هو مُحِقّاً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قدَّمتَه في هذا الفصلِ يدُلُّ على أنّكَ ظَنَنتَ عَلَينا أنّ المُرادَ بالكلامِ إذا لَم يُعلَمْ ضَرورةً لَم يَصِحَّ أن يُعلَمَ، و أنّا نُفصِّلَ بَينَ القُرآنِ في العِلمِ بالمُرادِ مِنه و بَينَ كلامِ الإمامِ، بأنّ كلامَ الإمامِ يُعلَمُ مُرادُه باضطرارٍ، و لَيسَ كذلكَ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ظَنٌّ بعيدٌ و غلطٌ شديدٌ؛ لأنّ الذي قُلناه و ذَهَبنا إليه هو غَيرُ ما ظَنَنتَه، و إنّما أَوجَبنا في كَثيرٍ مِن القُرآنِ و السُّنّةِ الحاجةَ إلى مُتَرجِمٍ للاحتمالِ و الاشتباهِ و فَقدِ الدليلِ المقطوعِ به علَى المُرادِ، لا لفَقدِ العِلمِ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جميعُ القُرآنِ و السُّنّةِ مُحكَماً غَيرَ متشابِهٍ، و مفصَّلاً غَيرَ مُجمَلٍ، لَصَحَّ أن يُعلَمَ المُرادُ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الذي عرَفَ مِن جهةِ الإمامِ أو الرسولِ و كيفيةُ عِلمِه بمُرادِ اللّهِ تَعالى، فيَصِحُّ أن يَعلَمَ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يُخاطبَه بلُغةٍ لا مَجازَ فيها و لا احتمالَ، أو يُخاطِبَه بما ظاهرُه مُطابِقٌ لحقائقِ اللغةِ و يُعلِمَه أنّه لَم يُرِدْ إلّاالظاهرَ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يُمكِنُ أن يُدَّعى في جميعِ الكتابِ و السُّنّةِ مِثلُ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زمانُ الغَيبةِ فلَيسَ يَجِبُ الجَهلُ بمُرادِ اللّهِ تَعالى كما أَلزَمتَ؛ لأنّا قد عَلِمنا تأويلَ مُشكِلِ القُرآنِ و الدِّينِ ببيانِ مَن تَقدَّمَ مِن الأئمّةِ صلَواتُ اللّهِ عَلَيهم، الذينَ لَقِيَتهم الشيعةُ و أخَذَت عنهم الشريعةَ، فقَد بَثّوا مِن ذلكَ و نَشَروا ما دَعَت الحاجةُ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4" w:name="pg7486_97290"/>
    </w:p>
    <w:p>
      <w:pPr>
        <w:pStyle w:val="BookText"/>
        <w:rPr/>
      </w:pPr>
      <w:bookmarkEnd w:id="284"/>
      <w:r>
        <w:rPr>
          <w:rFonts w:ascii="Amiri" w:hAnsi="Amiri" w:eastAsia="Amiri" w:cs="Amiri"/>
          <w:color w:val="111111"/>
          <w:sz w:val="28"/>
          <w:sz w:val="28"/>
          <w:szCs w:val="28"/>
          <w:rtl w:val="true"/>
          <w:lang w:bidi="ar-SA"/>
        </w:rPr>
        <w:t>إليه، و نحنُ آمِنونَ مِن أن يَكونَ مِن ذلكَ شيءٌ لَم يتَّصِلْ بنا؛ لكَونِ إمامِ الزمانِ مِن ورَاءِ الناقِلينَ، على ما بيّنّاه و فَصَّلناه</w:t>
      </w:r>
      <w:r>
        <w:rPr>
          <w:rFonts w:eastAsia="Amiri" w:cs="Amiri" w:ascii="Amiri" w:hAnsi="Amiri"/>
          <w:color w:val="111111"/>
          <w:sz w:val="28"/>
          <w:szCs w:val="28"/>
          <w:rtl w:val="true"/>
          <w:lang w:bidi="ar-SA"/>
        </w:rPr>
        <w:t>.</w:t>
      </w:r>
      <w:r>
        <w:rPr>
          <w:rStyle w:val="FootnoteAnchor"/>
          <w:rtl w:val="true"/>
        </w:rPr>
        <w:footnoteReference w:id="594"/>
      </w:r>
    </w:p>
    <w:p>
      <w:pPr>
        <w:pStyle w:val="Heading4"/>
        <w:numPr>
          <w:ilvl w:val="3"/>
          <w:numId w:val="1"/>
        </w:numPr>
        <w:rPr/>
      </w:pPr>
      <w:bookmarkStart w:id="285" w:name="__RefHeading___Toc2226086_1051229030"/>
      <w:bookmarkStart w:id="286" w:name="_Toc103"/>
      <w:bookmarkEnd w:id="285"/>
      <w:r>
        <w:rPr>
          <w:rtl w:val="true"/>
        </w:rPr>
        <w:t>ه</w:t>
      </w:r>
      <w:r>
        <w:rPr>
          <w:rtl w:val="true"/>
        </w:rPr>
        <w:t xml:space="preserve">: </w:t>
      </w:r>
      <w:r>
        <w:rPr>
          <w:rtl w:val="true"/>
        </w:rPr>
        <w:t xml:space="preserve">ما ذكره من الحديث بأنّ بني عبد المطّلب </w:t>
      </w:r>
      <w:r>
        <w:rPr>
          <w:rtl w:val="true"/>
        </w:rPr>
        <w:t xml:space="preserve">- </w:t>
      </w:r>
      <w:r>
        <w:rPr>
          <w:rtl w:val="true"/>
        </w:rPr>
        <w:t xml:space="preserve">و منهم المهدي عليه السلام </w:t>
      </w:r>
      <w:r>
        <w:rPr>
          <w:rtl w:val="true"/>
        </w:rPr>
        <w:t xml:space="preserve">- </w:t>
      </w:r>
      <w:r>
        <w:rPr>
          <w:rtl w:val="true"/>
        </w:rPr>
        <w:t>هم سادة أهل الجنّة</w:t>
      </w:r>
      <w:r>
        <w:rPr>
          <w:rtl w:val="true"/>
        </w:rPr>
        <w:t>:</w:t>
      </w:r>
      <w:bookmarkEnd w:id="286"/>
    </w:p>
    <w:p>
      <w:pPr>
        <w:pStyle w:val="BookText"/>
        <w:rPr/>
      </w:pPr>
      <w:r>
        <w:rPr>
          <w:rFonts w:ascii="Amiri" w:hAnsi="Amiri" w:eastAsia="Amiri" w:cs="Amiri"/>
          <w:color w:val="111111"/>
          <w:sz w:val="28"/>
          <w:sz w:val="28"/>
          <w:szCs w:val="28"/>
          <w:rtl w:val="true"/>
          <w:lang w:bidi="ar-SA"/>
        </w:rPr>
        <w:t>فأمّا الخبرُ الذي يَتضمَّنُ أنّهما سَيِّدا كُهولِ أهلِ الجَنّةِ، فمَن تأمَّلَ أصلَ هذا الخبرِ بعَينِ إنصافٍ عَلِمَ أنّه موضوعٌ في أيّامِ بَني أُمَيّةَ؛ مُعارَضةً لِما رُويَ مِن قولِه صَلَّى اللّهُ عليه و آلِه في الحَسَنِ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قد رَوَوا عن النبيِّ صَلَّى اللّهُ عليه و آلِه ما يُخالِفُ فائدةَ هذا الخبرِ و يُناقِضُها؛ لأنّهم رَوَوا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جعفرُ ابنا أبي طالِبٍ، و حَمزةُ بنُ عبدِ المُطَّلِبِ، و الحَسَنُ و الحُسَينُ، و المَهديُّ</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2226088_1051229030"/>
      <w:bookmarkStart w:id="288" w:name="_Toc104"/>
      <w:bookmarkEnd w:id="287"/>
      <w:r>
        <w:rPr>
          <w:rtl w:val="true"/>
        </w:rPr>
        <w:t>و</w:t>
      </w:r>
      <w:r>
        <w:rPr>
          <w:rtl w:val="true"/>
        </w:rPr>
        <w:t xml:space="preserve">: </w:t>
      </w:r>
      <w:r>
        <w:rPr>
          <w:rtl w:val="true"/>
        </w:rPr>
        <w:t>كيفيّة النصّ على الإمام عليه السلام مع غيبته و أنّ الخوف هل يكفي للغيبة أم لا؟</w:t>
      </w:r>
      <w:r>
        <w:rPr>
          <w:rtl w:val="true"/>
        </w:rPr>
        <w:t>:</w:t>
      </w:r>
      <w:bookmarkEnd w:id="288"/>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597"/>
      </w:r>
      <w:r>
        <w:rPr>
          <w:rFonts w:ascii="Amiri" w:hAnsi="Amiri" w:eastAsia="Amiri" w:cs="Amiri"/>
          <w:color w:val="111111"/>
          <w:sz w:val="28"/>
          <w:sz w:val="28"/>
          <w:szCs w:val="28"/>
          <w:rtl w:val="true"/>
          <w:lang w:bidi="ar-SA"/>
        </w:rPr>
        <w:t>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أحَدَ ما يَبطُلُ به</w:t>
      </w:r>
      <w:r>
        <w:rPr>
          <w:rStyle w:val="FootnoteAnchor"/>
          <w:rtl w:val="true"/>
        </w:rPr>
        <w:footnoteReference w:id="598"/>
      </w:r>
      <w:r>
        <w:rPr>
          <w:rFonts w:ascii="Amiri" w:hAnsi="Amiri" w:eastAsia="Amiri" w:cs="Amiri"/>
          <w:color w:val="111111"/>
          <w:sz w:val="28"/>
          <w:sz w:val="28"/>
          <w:szCs w:val="28"/>
          <w:rtl w:val="true"/>
          <w:lang w:bidi="ar-SA"/>
        </w:rPr>
        <w:t>طَريقةُ الإماميّةِ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مَذهبَكم في النصِّ علَى الإمامِ يَقتَضي أن يَكونَ إمامُ كُلِّ زمانٍ بمَنزِلةِ أميرِ المؤمنينَ عليه السلامُ في أنّه لا بُدَّ في النصِّ عليه</w:t>
      </w:r>
      <w:r>
        <w:rPr>
          <w:rStyle w:val="FootnoteAnchor"/>
          <w:rtl w:val="true"/>
        </w:rPr>
        <w:footnoteReference w:id="599"/>
      </w:r>
      <w:r>
        <w:rPr>
          <w:rFonts w:ascii="Amiri" w:hAnsi="Amiri" w:eastAsia="Amiri" w:cs="Amiri"/>
          <w:color w:val="111111"/>
          <w:sz w:val="28"/>
          <w:sz w:val="28"/>
          <w:szCs w:val="28"/>
          <w:rtl w:val="true"/>
          <w:lang w:bidi="ar-SA"/>
        </w:rPr>
        <w:t xml:space="preserve">مِن أن يَظهَرَ ظُهورَ الحُجّةِ القاطعةِ؛ لأنّ الإمامةَ مِن أعظَمِ أركانِ الدينِ عندَكم على ما تَقدَّمَ القولُ فيه، فكَيفَ السبيلُ إلى أن نَعلَمَ أنّه عليه السلامُ نَصَّ علَى الحَسَنِ و الحُسَينِ، أو نَصَّ الحَسَنُ علَى الحُسَينِ، و كذلكَ سائرُ الأئمّةِ؟ و قد عَلِمنا أنّ الوجوهَ التي يُمكِنُهم ذِكرُها في النصِّ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ادّعاءُ مِثلِها في النصِّ على إمامِ كُلِّ زمانٍ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يُمكِنُهم أن يَدَّعوا في ذلكَ طَريقةَ العقلِ؛ لأنّا قد بيّنّا أنّها لا تَدُلُّ، و لَو دَلَّت لَكانَت لا تَدُلُّ‌</w:t>
      </w:r>
      <w:r>
        <w:rPr>
          <w:rStyle w:val="FootnoteAnchor"/>
          <w:rtl w:val="true"/>
        </w:rPr>
        <w:footnoteReference w:id="600"/>
      </w:r>
      <w:r>
        <w:rPr>
          <w:rFonts w:ascii="Amiri" w:hAnsi="Amiri" w:eastAsia="Amiri" w:cs="Amiri"/>
          <w:color w:val="111111"/>
          <w:sz w:val="28"/>
          <w:sz w:val="28"/>
          <w:szCs w:val="28"/>
          <w:rtl w:val="true"/>
          <w:lang w:bidi="ar-SA"/>
        </w:rPr>
        <w:t>على واحدٍ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يُمكِنُهم أن يَدَّعوا إثباتَها في الولدِ؛ لأنّها لَيسَت مُتوارَثةً‌</w:t>
      </w:r>
      <w:r>
        <w:rPr>
          <w:rStyle w:val="FootnoteAnchor"/>
          <w:rtl w:val="true"/>
        </w:rPr>
        <w:footnoteReference w:id="601"/>
      </w:r>
      <w:r>
        <w:rPr>
          <w:rFonts w:ascii="Amiri" w:hAnsi="Amiri" w:eastAsia="Amiri" w:cs="Amiri"/>
          <w:color w:val="111111"/>
          <w:sz w:val="28"/>
          <w:sz w:val="28"/>
          <w:szCs w:val="28"/>
          <w:rtl w:val="true"/>
          <w:lang w:bidi="ar-SA"/>
        </w:rPr>
        <w:t>فيَصِحَّ ذلكَ فيها، و لأنّ ذلكَ يوجِبُ أن لا يُنتَقَلَ مِن الحَسَنِ إلى أخيه، بَل يُنتَقَلَ إلى ولدِه، و يوجِبُ أن لا يَكونَ بعضُ أولادِ الحُسَينِ و عليِّ بنِ الحُسَينِ و مُحمّدِ بنِ عَليٍّ و جعفرِ بنِ مُحمّدٍ أَولى مِن غيرِهم؛ لأنّهم خَلَّفوا أكثَرَ مِن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يُبيِّنُ أنّه</w:t>
      </w:r>
      <w:r>
        <w:rPr>
          <w:rStyle w:val="FootnoteAnchor"/>
          <w:rtl w:val="true"/>
        </w:rPr>
        <w:footnoteReference w:id="602"/>
      </w:r>
      <w:r>
        <w:rPr>
          <w:rFonts w:ascii="Amiri" w:hAnsi="Amiri" w:eastAsia="Amiri" w:cs="Amiri"/>
          <w:color w:val="111111"/>
          <w:sz w:val="28"/>
          <w:sz w:val="28"/>
          <w:szCs w:val="28"/>
          <w:rtl w:val="true"/>
          <w:lang w:bidi="ar-SA"/>
        </w:rPr>
        <w:t>لا بُدَّ لهُم مِن إثباتِ إمامةِ كُلِّ واحدٍ بنَصٍّ ظاهرٍ، و ذلكَ ممّا لا يُمكِنُ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إثباتَ النصِّ للإمامِ فرعٌ على إثباتِ عَينِه، و ذلكَ لا يُمكِنُ في إمامِ هذا الزمانِ؛ فكَيفَ يُدَّعى هذا النصُّ فيه؟</w:t>
      </w:r>
    </w:p>
    <w:p>
      <w:pPr>
        <w:pStyle w:val="BookText"/>
        <w:rPr/>
      </w:pPr>
      <w:r>
        <w:rPr>
          <w:rFonts w:ascii="Amiri" w:hAnsi="Amiri" w:eastAsia="Amiri" w:cs="Amiri"/>
          <w:color w:val="111111"/>
          <w:sz w:val="28"/>
          <w:sz w:val="28"/>
          <w:szCs w:val="28"/>
          <w:rtl w:val="true"/>
          <w:lang w:bidi="ar-SA"/>
        </w:rPr>
        <w:t xml:space="preserve">و قد سَألَهم أصحابُنا في الغَيبةِ؛ و أنّ سببَها إن كانَ الخَوفَ مِن الظهورِ، فقَد كانَ يَجِبُ أن تَحصُلَ غَيبةُ الأئمّةِ في أيّامِ بَني أُميّةَ؛ لأنّ خَوفَهم كانَ أكثَرَ، و كذلكَ في كَثيرٍ مِن أيّامِ بَني العَبّاسِ، ثُمّ لَم يَمنَعْ ذلكَ مِن ظهورِهم؛ فكَيفَ وَجَبَت الغَيبةُ في هذه الأيّامِ و الخَوفُ لا يَزيدُ فيها على ما قد كانَ مِن قَبلُ؟ و كَيفَ تَصِحُّ الغَيبةُ مع شِدّةِ الحاجةِ إلَى الإمامِ فيما يَتَّصِلُ بالتكليفِ؟ و لَئن جازَ ذلكَ لِيَجوزَنَّ لبعضِ الأعذارِ أن لا 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المُكلَّفِ‌</w:t>
      </w:r>
      <w:r>
        <w:rPr>
          <w:rStyle w:val="FootnoteAnchor"/>
          <w:rtl w:val="true"/>
        </w:rPr>
        <w:footnoteReference w:id="603"/>
      </w:r>
      <w:r>
        <w:rPr>
          <w:rFonts w:ascii="Amiri" w:hAnsi="Amiri" w:eastAsia="Amiri" w:cs="Amiri"/>
          <w:color w:val="111111"/>
          <w:sz w:val="28"/>
          <w:sz w:val="28"/>
          <w:szCs w:val="28"/>
          <w:rtl w:val="true"/>
          <w:lang w:bidi="ar-SA"/>
        </w:rPr>
        <w:t>و أن لا يُمكِّنَه و التكليفُ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وَجَبَ على مَذهبِهم حِراسةُ إمامِ الزمانِ مِن جِهةِ اللّهِ تَعالى، و أن يَعصِمَه مِن كُلِّ مَخافةٍ لِما يَتعلَّقُ به مِن صِحّةِ الشريعةِ؟ و ذلكَ يَقتَضي بُطلانَ الغَيبةِ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ألزَمَهم واصِلُ بنُ عَطاءٍ على قولِهم هذا أن يَكونَ قَبلَ بِعثةِ الرسولِ في الزمانِ حُجّةٌ مِن رسولٍ أو إمامٍ، و لَو كانَ كذلكَ لَما صَحَّ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قولِهم لَم يَخلُ الزمانُ مِن بَشيرٍ و نَذيرٍ، و ادُّعيَ‌</w:t>
      </w:r>
      <w:r>
        <w:rPr>
          <w:rStyle w:val="FootnoteAnchor"/>
          <w:rtl w:val="true"/>
        </w:rPr>
        <w:footnoteReference w:id="605"/>
      </w:r>
      <w:r>
        <w:rPr>
          <w:rFonts w:ascii="Amiri" w:hAnsi="Amiri" w:eastAsia="Amiri" w:cs="Amiri"/>
          <w:color w:val="111111"/>
          <w:sz w:val="28"/>
          <w:sz w:val="28"/>
          <w:szCs w:val="28"/>
          <w:rtl w:val="true"/>
          <w:lang w:bidi="ar-SA"/>
        </w:rPr>
        <w:t>إجماعُ علماءِ المُسلِمينَ و ظهورُ الأخبارِ عن أهلِ الكُتُبِ أنّ الفَتَراتِ بَينَ الرُّسُلِ قد كانَت، و لَم يَكُن فيها أنبياءُ و لا مَن يَجري مَجراهم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إنّما يُقصَدُ بها تقويةُ ما قَدَّمناه؛ لأنّ ذلكَ هو المُعتَمَدُ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يَجِبُ على مَن ادَّعَى النصَّ على إمامِ كُلِّ زمانٍ أن يَذكُرَ فيه حُجّةً قاطعةً و طَريقةً واضحةً، فمِن أينَ حَكَمتَ بأنّنا لا نَتمكَّنُ مِن ذلكَ في النصِّ علَى الحَسَنِ و الحُسَينِ و مَن بَعدَهما مِن الأئمّةِ عليهم السلامُ إلى وقتِنا هذا؟ و قد كانَ أقَلُّ ما يَجِبُ أن تَذكُرَ ما يُتعلَّقُ به في هذا البابِ و تَتعاطى إفسادَه، ثُمّ تَحكُمَ بالحُكمِ الذي اعتَمَدتَ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الوجوهَ التي يُمكِنُهم ذِكرُها في النصِّ على أميرِ المؤمنينَ عليه السلامُ لا يُمكِنُ ذِكرُها و ادّعاءُ مِثلِها في النصِّ على إمامِ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مَجراها في الدلالةِ و الحُجّةِ و قَطعِ العُذرِ و إزالةِ الرَّيبِ، فنَحنُ بحَمدِ اللّهِ تَعالى نَتمكَّنُ مِن ذلكَ، و سَنَذكُرُه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 أنّا لا نَتمكَّنُ في باقي الأئمّةِ عليهم السلامُ مِن نَصٍّ يَرويهِ المُوافِقُ و المُخالِفُ، و يُجمِعُ على نَقلِه 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اختَلَفوا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 على أميرِ المؤمنينَ عليه السلامُ، فهو صَحيحٌ، إلّاأنّ فَقْدَ التمكُّنِ مِن ذلكَ لا يُخِلُّ بصِحّةِ المَذهبِ، الذي إنّما قَصَدتَ إلى إفسادِه، و شَرَعتَ في الاستدلالِ على أنّه لا دليلَ للّهِ تَعالى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مَنفَعةَ لكَ و لِمَن وافَقَكَ في أن يَكونَ بعضُ الأدِلّةِ و الطرُقِ مفقوداً في هذا المَوضِعِ، إذا قامَ مَقامَه ما يَجري في الحُجّةِ مَجراه، و يَقطَعُ العُذرَ كقَطعِه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النصوصَ على أميرِ المؤمنينَ عليه السلامُ غيرُ مُتَّفِقةِ الطرُقِ؛ لأنّ فيها ما يَرويهِ جميعُ الرواةِ، و يُسلِّمُ صحّتَه جميعُ الأُمّةِ؛ كخبرِ الغَديرِ،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يَجري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يَشتَرِكُ العامّةُ و الخاصّةُ في نَقلِه، و إن كانَ مِن جِهةِ الخاصّةِ و مِن طُرُقِ الشيعةِ مُتَواتِراً ظاهراً، و مِن طُرُقِ العامّةِ يَرويهِ الآحادُ و يَذكُرُه الأفرادُ، كخبرِ يَومِ الدارِ</w:t>
      </w:r>
      <w:r>
        <w:rPr>
          <w:rStyle w:val="FootnoteAnchor"/>
          <w:rtl w:val="true"/>
        </w:rPr>
        <w:footnoteReference w:id="607"/>
      </w:r>
      <w:r>
        <w:rPr>
          <w:rFonts w:ascii="Amiri" w:hAnsi="Amiri" w:eastAsia="Amiri" w:cs="Amiri"/>
          <w:color w:val="111111"/>
          <w:sz w:val="28"/>
          <w:sz w:val="28"/>
          <w:szCs w:val="28"/>
          <w:rtl w:val="true"/>
          <w:lang w:bidi="ar-SA"/>
        </w:rPr>
        <w:t>،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يَختَصُّ الشيعةُ بنَقلِه، و لا يُشارِكُها فيه مُخالِفُها، كألفاظِ النصِّ الصريحةِ‌</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القِسمِ‌</w:t>
      </w:r>
      <w:r>
        <w:rPr>
          <w:rStyle w:val="FootnoteAnchor"/>
          <w:rtl w:val="true"/>
        </w:rPr>
        <w:footnoteReference w:id="609"/>
      </w:r>
      <w:r>
        <w:rPr>
          <w:rFonts w:ascii="Amiri" w:hAnsi="Amiri" w:eastAsia="Amiri" w:cs="Amiri"/>
          <w:color w:val="111111"/>
          <w:sz w:val="28"/>
          <w:sz w:val="28"/>
          <w:szCs w:val="28"/>
          <w:rtl w:val="true"/>
          <w:lang w:bidi="ar-SA"/>
        </w:rPr>
        <w:t>موجودٌ في النصوصِ على سائرِ الأئمّةِ عليهم السلامُ، و إن لَم يوجَدْ فيهار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القِسمَينِ الأوّلَينِ؛ و قد بيّنّا أنّ ذلكَ لا يُخِلُّ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الاستدلالِ على إمامةِ الحَسَنِ، و مَن بَعدَه مِن الأئمّةِ عليهم السلامُ إلى عصرِنا هذا،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النقلِ الظاهرِ بَينَ الشيعةِ، الواردِ مَورِدَ الحُجّةِ، بنَصِّ النبيِّ صَلَّى اللّهُ عليه و آلِه مُجمَلاً و مُفصَّلاً، و كذلكَ ما وَرَدَ عن أميرِ المؤمنينَ عليه السلامُ في ذلكَ؛ لأنّ الأخبارَ مُتَظاهِرةٌ عنه بَينَ الشيعةِ، يَنقُلُها خَلَفٌ عن سَلَفٍ، بنَصِّه بالإمامةِ علَى الحَسَنِ عليه السلامُ في مَقاماتٍ كَثيرةٍ، و بإشارتِه إلَى الأئمّةِ مِن ولدِ الحُسَينِ بأعيانِهم و صِفاتِهم، و كذلكَ القولُ في نَصِّ الحَسَنِ علَى الحُسَينِ عليهما السلامُ، و نَصِّ كُلِّ واحدٍ على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كتابَنا يَضيقُ عن استقصاءِ الرواياتِ في هذا البابِ، لَذَكرنا ما وَرَدَ مِن النصوصِ في إمامةِ كُلِّ واحدٍ مِن الأئمّةِ عليهم السلامُ بألفاظِه و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الوقوفَ على ذلكَ فعَلَيه بكُتُبِ حَديثِ الشيعةِ‌</w:t>
      </w:r>
      <w:r>
        <w:rPr>
          <w:rStyle w:val="FootnoteAnchor"/>
          <w:rtl w:val="true"/>
        </w:rPr>
        <w:footnoteReference w:id="610"/>
      </w:r>
      <w:r>
        <w:rPr>
          <w:rFonts w:ascii="Amiri" w:hAnsi="Amiri" w:eastAsia="Amiri" w:cs="Amiri"/>
          <w:color w:val="111111"/>
          <w:sz w:val="28"/>
          <w:sz w:val="28"/>
          <w:szCs w:val="28"/>
          <w:rtl w:val="true"/>
          <w:lang w:bidi="ar-SA"/>
        </w:rPr>
        <w:t>فإنّه يَقِفُ مِن ذلكَ على ما لا يَستَجيزُ معه أن يُطلِقَ القولَ بأنّه لا يُمكِنُ في إمامتِهم عليهم السلامُ ما أمكَنَ في إمامةِ أبيهِم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الطعنُ في هذه الأخبارِ بأنّها آحادٌ، و أنّ شُروطَ الأخبارِ المُتَواتِرةِ مفقودةٌ فيها؛ و ذلكَ أنّ الشيعةَ في هذا الوقتِ لا شُبهةَ في كَثرتِها، و استحالةِ اتّفاقِ الكَذِبِ منها و التواطؤِ عليه؛ و هي تَدَّعي أنّها أخَذَت هذه الرواياتِ عن سَلَفِها، و أنّ سَلَفَها أخبَرَها بمِثلِ ذلكَ عن سَلَفِها، حتّى يَنتَهيَ الخبرُ إلى أصلِه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النصِّ الصريحِ على أميرِ المؤمنينَ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الطريقةِ، و أجَبنا عن الأسئلةِ و الزياداتِ عليها؛ فلا حاجةَ بنا إلَى استقصائها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يُعتَمَدَ في إمامةِ كُلِّ واحدٍ منهم على طَريقةِ الاعتبارِ، و البِناءِ علَى الأُصولِ المُتقرِّرةِ في العقولِ، مِن غيرِ رجوعٍ إلَى النقلِ؛ فنَقولُ في إمامةِ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قَبَضَ اللّهُ تَعالى أميرَ المؤمنينَ عليه السلامُ إلى جَنبِه، كانوا في بابِ الإمامةِ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نَفاها و ادَّعى أنّه لا إمامَ في العالَمِ، و هُم الخَوارجُ‌</w:t>
      </w:r>
      <w:r>
        <w:rPr>
          <w:rStyle w:val="FootnoteAnchor"/>
          <w:rtl w:val="true"/>
        </w:rPr>
        <w:footnoteReference w:id="611"/>
      </w:r>
      <w:r>
        <w:rPr>
          <w:rFonts w:ascii="Amiri" w:hAnsi="Amiri" w:eastAsia="Amiri" w:cs="Amiri"/>
          <w:color w:val="111111"/>
          <w:sz w:val="28"/>
          <w:sz w:val="28"/>
          <w:szCs w:val="28"/>
          <w:rtl w:val="true"/>
          <w:lang w:bidi="ar-SA"/>
        </w:rPr>
        <w:t>و مَن 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يُبطِلُه قيامُ الدلالةِ العقليّةِ على وجوبِ الإمامةِ،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بإمامةِ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يَعتَرِفونَ مَعَنا به مِن فَقْدِ عِصمتِه، التي قد تَقدَّمَت دَلالتُنا على وجوبِ اعتبارِها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كافٍ في إبطالِ إمامتِه، و إن كانَ لنا أن نَتخطّى ذلكَ إلى ما ظَهَرَ مِن كُفرِه و فِسقِه و مُجاهَرتِه بما يَنفي العَدالةَ و يَرفَعُ 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قالَ بإمامةِ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أحَدُ فِرَقِ الكَيسانيّةِ‌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يَبطُلُ قولُ هؤلاءِ، إذا ادَّعَوا في مُحمّدِ بنِ الحَنَفيّةِ ما نوجِبُه للأئمّةِ مِن العصمةِ و غيرِها، و حَمَلوا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هؤلاءِ القومَ مِن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المَقالةِ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على ذلكَ أنّ ابنَ الحَنَفيّةِ ما زالَ تابعاً لأخَوَيه عليهما السلامُ، مُقدِّماً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لهُما على نفسِه، راجعاً إليهما</w:t>
      </w:r>
      <w:r>
        <w:rPr>
          <w:rStyle w:val="FootnoteAnchor"/>
          <w:rtl w:val="true"/>
        </w:rPr>
        <w:footnoteReference w:id="613"/>
      </w:r>
      <w:r>
        <w:rPr>
          <w:rFonts w:ascii="Amiri" w:hAnsi="Amiri" w:eastAsia="Amiri" w:cs="Amiri"/>
          <w:color w:val="111111"/>
          <w:sz w:val="28"/>
          <w:sz w:val="28"/>
          <w:szCs w:val="28"/>
          <w:rtl w:val="true"/>
          <w:lang w:bidi="ar-SA"/>
        </w:rPr>
        <w:t>، و مُعوِّلاً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المفضولُ لا يَكونُ إماماً، و حالُهما عليهما السلامُ في العِلمِ و الفَضلِ عليه ظاهرةٌ لا تَخفى على مَن سَمِعَ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حَضَرَ البَيعةَ لهُما بالإمامةِ، و كانَ راضياً بِهما غيرَ مُنازِعٍ و لا مُنكِرٍ، و التقيّةُ منهما عنه زائلةٌ؛ فكَيفَ يَكونُ مع كُلِّ ذلكَ إماماً دونَهما؟</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الكَيسانيّةَ، و مَن وافَقَهم في إمامةِ مُحمّدِ بنِ الحَنَفيّةِ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فادَّعى بعضُهم أنّها كانَت له بَعدَ أخَوَيه؛ بَعدَ تَشتُّتِ أهوائهم، و تَفرُّقِ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بعضُهم حياةَ محمّدٍ، و أنّه بَينَ أسَدٍ و نَمِرٍ في جِبالِ رَضوى، إلى غيرِ ذلكَ مِن المَذاهبِ التي أَلجأَتهم الحَيرةُ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انقَرَضوا، فلا عَينَ لهُم و لا أثَرَ مُنذُ السِّنينَ الطِّوالِ، و ما رأَينا أحَداً منهم، و لا مَن كانَ قَبلَنا بمُدَدٍ بَعيدةٍ؛ فلَو كانَ قولُهم حَقّاً لَما جازَ أن يَنقَرِضوا حتّى لا يَقولَ قائلٌ به مِن الأُمّةِ في زمانٍ بَعدَ زمانٍ، و لا في زمانٍ واحدٍ؛ لأنّ الحَقَّ لا يَخرُجُ عن أقوالِ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إلّاقولُ مَن قالَ بإمامةِ الحَسَنِ، و هُم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ذَهَبَ إليها مِن طريقِ الاختيارِ</w:t>
      </w:r>
      <w:r>
        <w:rPr>
          <w:rStyle w:val="FootnoteAnchor"/>
          <w:rtl w:val="true"/>
        </w:rPr>
        <w:footnoteReference w:id="614"/>
      </w:r>
      <w:r>
        <w:rPr>
          <w:rFonts w:ascii="Amiri" w:hAnsi="Amiri" w:eastAsia="Amiri" w:cs="Amiri"/>
          <w:color w:val="111111"/>
          <w:sz w:val="28"/>
          <w:sz w:val="28"/>
          <w:szCs w:val="28"/>
          <w:rtl w:val="true"/>
          <w:lang w:bidi="ar-SA"/>
        </w:rPr>
        <w:t>، و قولُ هؤلاءِ يَفسُدُ بما دَلَّلنا عليه مِن وجوبِ النصِّ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إلّاقولُ مَن أوجَبَها بالنصِّ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المُبينُ؛ لأنّه لَو ساوى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القولُ ما تَقدَّمَ مِن الأقوالِ في الفَسادِ، لَاقتَضى ذلكَ خُروجَ الحَقِّ مِن الأُمّةِ؛ و قد بيّنّا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اتَّبَعتَ هذه الطريقةَ و سَلَكتَها في إمامةِ الحُسَينِ عليه السلامُ و مَن بَعدَه مِن الأئمّةِ، وَجَدتَها نَهجاً واضحاً و طَريقاً جَدَداً</w:t>
      </w:r>
      <w:r>
        <w:rPr>
          <w:rStyle w:val="FootnoteAnchor"/>
          <w:rtl w:val="true"/>
        </w:rPr>
        <w:footnoteReference w:id="615"/>
      </w:r>
      <w:r>
        <w:rPr>
          <w:rFonts w:ascii="Amiri" w:hAnsi="Amiri" w:eastAsia="Amiri" w:cs="Amiri"/>
          <w:color w:val="111111"/>
          <w:sz w:val="28"/>
          <w:sz w:val="28"/>
          <w:szCs w:val="28"/>
          <w:rtl w:val="true"/>
          <w:lang w:bidi="ar-SA"/>
        </w:rPr>
        <w:t xml:space="preserve">لأنّ كُلَّ مَن ذَهَبَ في الإمامةِ إلى غيرِ مَذهبِنا في إمامِ كُلِّ زمانٍ بعَينِه إمّا أن يَنفيَ وجوبَها، أو يُثبِتَها لِمَن يَعتَرِفُ بنَفيِ صفاتِ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أوجَبناها بحُجَجِ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أو يَدَّعيَ حياةَ مَيّتٍ قد عُلِمَ ضَرورةً مَوتُه</w:t>
      </w:r>
      <w:r>
        <w:rPr>
          <w:rStyle w:val="FootnoteAnchor"/>
          <w:rtl w:val="true"/>
        </w:rPr>
        <w:footnoteReference w:id="616"/>
      </w:r>
      <w:r>
        <w:rPr>
          <w:rFonts w:ascii="Amiri" w:hAnsi="Amiri" w:eastAsia="Amiri" w:cs="Amiri"/>
          <w:color w:val="111111"/>
          <w:sz w:val="28"/>
          <w:sz w:val="28"/>
          <w:szCs w:val="28"/>
          <w:rtl w:val="true"/>
          <w:lang w:bidi="ar-SA"/>
        </w:rPr>
        <w:t>، أو يُثبِتَها بطَريقٍ مِثلِ الاختيارِ، أو الدعوةِ على مَذهبِ الزيديّةِ؛ و قد دَلَّت العقولُ أيضاً على أنّ الطريقَ إليها لا يَكونُ إلّاالنصَّ و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إذا سُلِكَت في إمامةِ صاحبِ زمانِنا هذا عليه السلامُ كانَت أوضَحَ مِن غيرِها، و أحسَمَ لكُلِّ شُبهةٍ، و أقطَعَ لكُلِّ شَغْبٍ؛ لأنّ الإمامَ إذا وَجَبَت عِصمتُه و النصُّ عليه، فلَم يَبقَ في أقوالِ المُختَلِفينَ في إمامِ هذا الزمانِ ما يَجوزُ أن يَكونَ مُطابِقاً لهذه الأدِلّةِ إلّاقولانِ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الإماميّةِ، الذاهبينَ إلى إمامةِ ابنِ الحَسَنِ 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شُذّاذٍ لَم يَبقَ منهم إلّاصُبابةٌ‌</w:t>
      </w:r>
      <w:r>
        <w:rPr>
          <w:rStyle w:val="FootnoteAnchor"/>
          <w:rtl w:val="true"/>
        </w:rPr>
        <w:footnoteReference w:id="617"/>
      </w:r>
      <w:r>
        <w:rPr>
          <w:rFonts w:ascii="Amiri" w:hAnsi="Amiri" w:eastAsia="Amiri" w:cs="Amiri"/>
          <w:color w:val="111111"/>
          <w:sz w:val="28"/>
          <w:sz w:val="28"/>
          <w:szCs w:val="28"/>
          <w:rtl w:val="true"/>
          <w:lang w:bidi="ar-SA"/>
        </w:rPr>
        <w:t>، قد كادَ الانقراضُ يأتي عليهم كَما أتى على أمثالِهم، و هُم الواقفةُ على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يُبطِلُ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الشُّبهةُ به زائلةً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 جميعُ الأُمّةِ ضَرورةً؛ مِن وفاةِ موسَى بنِ جعفرٍ عليه السلامُ، و مُشاهَدةِ كَثيرٍ مِن الناسِ له مَيّتاً على حَدٍّ إن لَم يَزِدْ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الوضوحِ على مَوتِ آبائه عليهم السلامُ لَم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ما يَجوزُ أن يَكونَ صَحيحاً إلّاقولُ مَن ذَهَبَ إلى إمامةِ ابنِ الحَسَنِ؛ فيَجِبُ أن يَكونَ صَحيحاً، و إلّاأدّى ذلكَ إلى أنّ الحَقَّ مفقودٌ مِن أقوالِ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تُبيِّنُ أنّ ما ادَّعى صاحبُ الكتابِ تَعذُّرَه علينا مُمكِنٌ مُتَسهِّلٌ، بحَمدِ اللّهِ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إن كانَ الخَوفُ سببَها فقَد كانَ يَجِبُ أن يَحصُلَ غَيبةُ الأئمّةِ في أيّامِ بَني أُمَيّةَ و كَثيرٍ مِن أيّامٍ بَني العَبّاسِ؛ لأنّ الخَوفَ كانَ هُناكَ أظهَرَ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نَقولُه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بخِلافِ ما ظَنَّه مِن زيادةِ الخَوفِ في تلكَ الأيّامِ على غيرِها؛ لأنّا نَعلَمُ أنّ مَن عَدا إمامَ زمانِنا عليه السلامُ مِن آبائه عليهم السلامُ لَم يَكُن أحَدٌ منهم يُدَّعى له و يُحكَمُ فيه و يُنتَظَرُ منه إظهارُ العَدلِ في مَشارقِ الأرضِ و مَغارِبِها، و ابتزازُ الأمرِ مِن أيدي الجائرينَ و المُتغلِّبينَ؛ و لا</w:t>
      </w:r>
      <w:r>
        <w:rPr>
          <w:rStyle w:val="FootnoteAnchor"/>
          <w:rtl w:val="true"/>
        </w:rPr>
        <w:footnoteReference w:id="618"/>
      </w:r>
      <w:r>
        <w:rPr>
          <w:rFonts w:ascii="Amiri" w:hAnsi="Amiri" w:eastAsia="Amiri" w:cs="Amiri"/>
          <w:color w:val="111111"/>
          <w:sz w:val="28"/>
          <w:sz w:val="28"/>
          <w:szCs w:val="28"/>
          <w:rtl w:val="true"/>
          <w:lang w:bidi="ar-SA"/>
        </w:rPr>
        <w:t>أنّه صاحبُ الزمانِ، و المَهديُّ المُنتَظَرُ لإصلاحِ ما فَسَدَ مِن الأُمورِ، و ارتجاعِ ما غُصِبَ مِن الحقوقِ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موجودٌ في إمامةِ صاحبِ الزمانِ، مفقودٌ في إمامةِ مَن تَقدَّمَه مِن آبائه عليهم السلامُ أجمَعينَ؛ و لهذا كُتِمَت وِلادتُه، و أُخفيَ في الابتداءِ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الحالُ كذلكَ، و لمّا ماتَ الحَسَنُ عليه السلامُ جَمَعَ جَواريَه و سَراريَه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احتاطَ عليهم المُتملِّكُ في ذلكَ الوقتِ للأمرِ؛ ليَظهَرَ له ميلادُ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يُنتَظَرُ منه العَجائبُ، و قَلبُ الدُّوَلِ و 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أنّ ميلادَه قد تَقدَّمَ، و أنّه عليه السلامُ وُلِدَ قَبلَ وفاةِ أبيه بزَمانٍ طويلٍ؟ فكَيفَ يَجمَعُ مُنصِفٌ بَينَ أحوالِ صاحبِ الزمانِ مع ما ذَكرناه، و أحوالِ مَن تَقدَّمَ مِن آبائه عليهم السلامُ، فيما يَقتَضي الخَوفَ و الغَيبةَ و الاستتارَ و الأمنَ؟</w:t>
      </w:r>
    </w:p>
    <w:p>
      <w:pPr>
        <w:pStyle w:val="BookText"/>
        <w:rPr/>
      </w:pPr>
      <w:r>
        <w:rPr>
          <w:rFonts w:ascii="Amiri" w:hAnsi="Amiri" w:eastAsia="Amiri" w:cs="Amiri"/>
          <w:color w:val="111111"/>
          <w:sz w:val="28"/>
          <w:sz w:val="28"/>
          <w:szCs w:val="28"/>
          <w:rtl w:val="true"/>
          <w:lang w:bidi="ar-SA"/>
        </w:rPr>
        <w:t xml:space="preserve">و كَيفَ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الخَوفِ و التقيّةِ مِن المُتملِّكينَ للأُمورِ و المُستَبِدّينَ بالدُّوَلِ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لا يَخافونَه على ما في أيديهِم و لا يُنازِعُهم شَيئاً مِن أُمورِهم و لا يُقضى له و لا يُدَّعى فيه أنّه المنصورُ عليهم، و السالبُ لنِعمتِهم، و بَينَ مَن يَجتَمِعُ فيه هذه الصفاتُ؟ و الفَرقُ بَينَ هذَينِ الأمرَينِ فيما يَدعو إلَى الخَوفِ و التقيّةِ أوضَحُ مِن أن يُطنَبَ فيه، و هو بالعكسِ ممّا قَضى به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احوالَ الخائفِ إنّما يُرجَعُ فيها إلَى اعتقاداتِه و ظُنونِه، و اعتقاداتُه و ظُنونُه بحَسَبِ ما يَظهَرُ له مِن الأماراتِ التي تَقتَضي الخَوفَ أو الأمنَ، و لا مَرجِعَ في أحوالِ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و لهذا نَجِدُ كَثيراً مِن العقلاءِ يُقدِمُ في بعضِ المَجالسِ التي يَلزَمُ فيها الخَوفُ و التقيّةُ في الظاهرِ على أفعالٍ و أقوالٍ لا نَراه يُقدِمُ على مِثلِها في غيرِ ذلكَ المَجلسِ ممّا لا يَظهَرُ لنا فيه قُوّةُ أماراتِ الخَوفِ، و لا يَلزَمُ أن نَنسِبَه إلَى السَّفَهِ مِن حَيثُ لَم يَظهَرْ لنا ما ظَهَرَ له؛ لأنّه يَجوزُ أن يَختَصَّ بأماراتٍ تَقتَضي شِدّةَ الخَوفِ في المَوضِعِ الذي يَظهَرُ لنا فيه ضَعفُ الخَوفِ، و يَختَصَّ بأماراتٍ تَقتَضي ضَعفَ الخَوفِ في المَوضِعِ الذي يَظهَرُ لنا قُوّتُه، و العاداتُ تَشهَدُ بِما ذَكرناه شَهادةً لا يُحتاجُ معها إلَى الإكثارِ 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تَصِحُّ الغَيبةُ مع شِدّةِ الحاجةِ إلَى الإمامِ فيما يَتَّصِلُ </w:t>
      </w:r>
    </w:p>
    <w:p>
      <w:pPr>
        <w:pStyle w:val="BookText"/>
        <w:rPr/>
      </w:pPr>
      <w:r>
        <w:rPr>
          <w:rFonts w:ascii="Amiri" w:hAnsi="Amiri" w:eastAsia="Amiri" w:cs="Amiri"/>
          <w:color w:val="111111"/>
          <w:sz w:val="28"/>
          <w:sz w:val="28"/>
          <w:szCs w:val="28"/>
          <w:rtl w:val="true"/>
          <w:lang w:bidi="ar-SA"/>
        </w:rPr>
        <w:t xml:space="preserve">بالتكليفِ؟ و لَئن جازَ ذلكَ لِيَجوزَنَّ أن لا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الأدِلّةَ للمُكلَّفِ مع قيامِ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مضَى الكلامُ في هذا المعنى مُستَقصىً، و تَكرَّرَ في أثناءِ نَقضِنا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سببَ الغَيبةِ هو فِعلُ الظالمينَ، و تقصيرُهم فيما يَلزَمُ مِن تمكينِ الإمامِ فيه، و الإفراجِ بَينَه و بَينَ التصرُّفِ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أنّهم مع الغَيبةِ مُتمكِّنونَ مِن مَصلَحتِهم بأن يُزيلوا السببَ الموجِبَ للغَيبةِ؛ ليَظهَرَ الإمامُ و يَنتَفِعوا بتدبيرِه و 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فَرَّقنا بَينَ ذلكَ و بَينَ أن لا يَنصِبَ اللّهُ تَعالَى الأدِلّةَ للمُكلَّفِ، أو لا يُمكِّنَه، 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مُكلِّفاً لِما لا يُطاقُ، و لَكانَ فَقدُ العِلمِ و الانتفاعِ به مِن قِبَلِه تَعالى خاصّةً، و لا مَدخَلَ للمُكلَّفِ فيه، و لا أُتيَ فيه مِن 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الإمامِ بخِلافِ ذلكَ؛ لأنّ التمكُّنَ مِن المَصالحِ معها ثابتٌ، و ما فُقِدَ مِن المَنافعِ بالغَيبةِ مَرجِعُه إلَى الظالمينَ الذين سَبَّبوها و أَلجَئوا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هَلّا وَجَبَ على مَذهبِهم حِراسةُ إمامِ الزمانِ مِن جِهةِ اللّهِ تَعالى، و أن يَعصِمَه مِن كُلِّ 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الحِراسةُ و العصمةُ مِن المَخافةِ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يُنافي التكليفَ، و لا يُخرِجُ المُكلَّفَ إلى حَدِّ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قد فَعَلَه اللّهُ تَعالى على أبلَغِ الوجوهِ، و حَرَسَ الإمامَ بالحُجّةِ، و أيَّدَه و نَصَرَه بالأدِلّةِ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نافَى التكليفَ، و أخرَجَ مِن استحقاقِ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إلزامُنا هذا القِسمَ مِن عَجيبِ الأُمورِ؛ لأنّ الإمامَ إنّما يُحتاجُ إليهة</w:t>
      </w:r>
      <w:r>
        <w:rPr>
          <w:rFonts w:eastAsia="Amiri" w:cs="Amiri" w:ascii="Amiri" w:hAnsi="Amiri"/>
          <w:color w:val="111111"/>
          <w:sz w:val="28"/>
          <w:szCs w:val="28"/>
          <w:rtl w:val="true"/>
          <w:lang w:bidi="ar-SA"/>
        </w:rPr>
        <w:t xml:space="preserve">. </w:t>
      </w:r>
      <w:bookmarkStart w:id="289" w:name="pg7486_97313"/>
    </w:p>
    <w:p>
      <w:pPr>
        <w:pStyle w:val="BookText"/>
        <w:rPr/>
      </w:pPr>
      <w:bookmarkEnd w:id="289"/>
      <w:r>
        <w:rPr>
          <w:rFonts w:ascii="Amiri" w:hAnsi="Amiri" w:eastAsia="Amiri" w:cs="Amiri"/>
          <w:color w:val="111111"/>
          <w:sz w:val="28"/>
          <w:sz w:val="28"/>
          <w:szCs w:val="28"/>
          <w:rtl w:val="true"/>
          <w:lang w:bidi="ar-SA"/>
        </w:rPr>
        <w:t>للمَصلَحةِ في التكليفِ، فكَيفَ يُجمَعُ بَينَه و بَينَ ما نافاه التكليفُ؟ و هَل هذا إلّا مُناقَضةٌ مِن المُلزِمِ، أو قِلّةُ تأمُّلٍ لِما يَقولُه 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حَكاه عن واصِلِ بنِ عَطاءٍ مِن ذِكرِ الفَترةِ و الاستشهادِ بالقُرآنِ و إجماعِ علماءِ المُسلِمينَ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بَعيدِ الكلامِ عن مَوقِعِ الحُجّةِ؛ لأنّ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صَريحٌ في أنّ الفَترةَ تَختَصُّ الرسُلَ، و أنّها عِبارةٌ عن الزمانِ الذي لا رسولَ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يَلزَمُ مَن ادَّعى أنّ في كُلِّ زمانٍ حُجّةً هو رسولٌ، فأمّا إذا لَم يَزِد علَى ادّعاءِ حُجّةٍ و جَوازِ أن يَكونَ رسولاً و غيرَ رسولٍ، فإنّ هذا الكلامَ لا يَكونُ حِجاجاً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ادّعاؤه إجماعَ علماءِ المُسلِمينَ علَى الفَتَراتِ بَينَ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بالفَتَراتِ خُلوَّ الزمانِ مِن رسولٍ، فهو صَحيحٌ، و لا فائدةَ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خُلوَّه مِن رسولٍ و حُجّةٍ، فلا إجماعَ في ذلكَ، و كُلُّ مَن يَقولُ بوجوبِ الإمامةِ في كُلِّ زمانٍ و عَصرٍ يُخالفُ في ذلكَ؛ فكَيفَ يُدَّعَى الإجماعُ فيه؟</w:t>
      </w:r>
    </w:p>
    <w:p>
      <w:pPr>
        <w:pStyle w:val="BookText"/>
        <w:rPr/>
      </w:pPr>
      <w:r>
        <w:rPr>
          <w:rFonts w:ascii="Amiri" w:hAnsi="Amiri" w:eastAsia="Amiri" w:cs="Amiri"/>
          <w:color w:val="111111"/>
          <w:sz w:val="28"/>
          <w:sz w:val="28"/>
          <w:szCs w:val="28"/>
          <w:rtl w:val="true"/>
          <w:lang w:bidi="ar-SA"/>
        </w:rPr>
        <w:t>و هذه الجُملةُ تُبيِّنُ فَسادَ جميعِ ما أورَدَه في الفَصلِ الذي حَكَيناه إلى آخِرِه</w:t>
      </w:r>
      <w:r>
        <w:rPr>
          <w:rFonts w:eastAsia="Amiri" w:cs="Amiri" w:ascii="Amiri" w:hAnsi="Amiri"/>
          <w:color w:val="111111"/>
          <w:sz w:val="28"/>
          <w:szCs w:val="28"/>
          <w:rtl w:val="true"/>
          <w:lang w:bidi="ar-SA"/>
        </w:rPr>
        <w:t>.</w:t>
      </w:r>
      <w:r>
        <w:rPr>
          <w:rStyle w:val="FootnoteAnchor"/>
          <w:rtl w:val="true"/>
        </w:rPr>
        <w:footnoteReference w:id="622"/>
      </w:r>
    </w:p>
    <w:p>
      <w:pPr>
        <w:pStyle w:val="Heading4"/>
        <w:numPr>
          <w:ilvl w:val="3"/>
          <w:numId w:val="1"/>
        </w:numPr>
        <w:rPr/>
      </w:pPr>
      <w:bookmarkStart w:id="290" w:name="__RefHeading___Toc2226090_1051229030"/>
      <w:bookmarkStart w:id="291" w:name="_Toc105"/>
      <w:bookmarkEnd w:id="290"/>
      <w:r>
        <w:rPr>
          <w:rtl w:val="true"/>
        </w:rPr>
        <w:t>ز</w:t>
      </w:r>
      <w:r>
        <w:rPr>
          <w:rtl w:val="true"/>
        </w:rPr>
        <w:t xml:space="preserve">: </w:t>
      </w:r>
      <w:r>
        <w:rPr>
          <w:rtl w:val="true"/>
        </w:rPr>
        <w:t>تأويل آية</w:t>
      </w:r>
      <w:r>
        <w:rPr>
          <w:rtl w:val="true"/>
        </w:rPr>
        <w:t>: (</w:t>
      </w:r>
      <w:r>
        <w:rPr>
          <w:rtl w:val="true"/>
        </w:rPr>
        <w:t>وَعَدَ اللّهُ الَّذِينَ آمَنُوا مِنْكُمْ وَ عَمِلُوا الصّالِحاتِ لَيَسْتَخْلِفَنَّهُمْ فِي الْأَرْضِ</w:t>
      </w:r>
      <w:r>
        <w:rPr>
          <w:rtl w:val="true"/>
        </w:rPr>
        <w:t>)</w:t>
      </w:r>
      <w:bookmarkEnd w:id="291"/>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w:t>
      </w:r>
      <w:r>
        <w:rPr>
          <w:rStyle w:val="FootnoteAnchor"/>
          <w:rtl w:val="true"/>
        </w:rPr>
        <w:footnoteReference w:id="62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الشريف كلاماً في هذه الآية في كتابه الشافي، و قال بعد ذكر الآية و حكاية كلام عن مجاهد و ابن عبّاس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تأوَّلَ هذه الآيةَ علماءُ أهلِ البَيتِ عليهم السلامُ، و حَمَلوها على وجهٍ معروفٍ،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التمكينُ و الاستخلافُ و إبدالُ الخوفِ بالأمنِ إنّما يَكونُ عندَ قيامِ المهديِّ عليه السلامُ‌</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الشافى في الإمامة،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فلَيسَ على تأويلِكَ إجماعٌ مِن المُفسِّرينَ، و قولُ بعضِهم لَيسَ بحُجّةٍ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7486_97319"/>
      <w:bookmarkStart w:id="293" w:name="pg7486_97319"/>
      <w:bookmarkEnd w:id="293"/>
    </w:p>
    <w:p>
      <w:pPr>
        <w:pStyle w:val="Heading3"/>
        <w:numPr>
          <w:ilvl w:val="2"/>
          <w:numId w:val="1"/>
        </w:numPr>
        <w:rPr/>
      </w:pPr>
      <w:bookmarkStart w:id="294" w:name="pg7486_97319"/>
      <w:bookmarkStart w:id="295" w:name="__RefHeading___Toc2226092_1051229030"/>
      <w:bookmarkStart w:id="296" w:name="_Toc106"/>
      <w:bookmarkEnd w:id="294"/>
      <w:bookmarkEnd w:id="295"/>
      <w:r>
        <w:rPr/>
        <w:t>2</w:t>
      </w:r>
      <w:r>
        <w:rPr>
          <w:rtl w:val="true"/>
        </w:rPr>
        <w:t xml:space="preserve"> - </w:t>
      </w:r>
      <w:r>
        <w:rPr>
          <w:rtl w:val="true"/>
        </w:rPr>
        <w:t>ما ذكره في الديوان</w:t>
      </w:r>
      <w:bookmarkEnd w:id="296"/>
    </w:p>
    <w:p>
      <w:pPr>
        <w:pStyle w:val="BookText"/>
        <w:rPr/>
      </w:pPr>
      <w:r>
        <w:rPr>
          <w:rFonts w:ascii="Amiri" w:hAnsi="Amiri" w:eastAsia="Amiri" w:cs="Amiri"/>
          <w:color w:val="111111"/>
          <w:sz w:val="28"/>
          <w:sz w:val="28"/>
          <w:szCs w:val="28"/>
          <w:rtl w:val="true"/>
          <w:lang w:bidi="ar-SA"/>
        </w:rPr>
        <w:t>قال في رثاء جدّه الحسين عليه السلام و استنهاض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المُقْفِراتِ لَعِبَتْ بِها أَيْدي الشَّتاتِ</w:t>
      </w:r>
    </w:p>
    <w:p>
      <w:pPr>
        <w:pStyle w:val="BookText"/>
        <w:rPr/>
      </w:pPr>
      <w:r>
        <w:rPr>
          <w:rFonts w:ascii="Amiri" w:hAnsi="Amiri" w:eastAsia="Amiri" w:cs="Amiri"/>
          <w:color w:val="111111"/>
          <w:sz w:val="28"/>
          <w:sz w:val="28"/>
          <w:szCs w:val="28"/>
          <w:rtl w:val="true"/>
          <w:lang w:bidi="ar-SA"/>
        </w:rPr>
        <w:t>فَكَأَنَّهُنَّ هَشائِمٌ بِمُرورِ هُوجِ العاصِفاتِ‌</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فإِذا سَأَلْتَ فَلَيْسَ تَس ْ‌أَلُ غَيْرَ صُمٍّ صامِتاتِ</w:t>
      </w:r>
    </w:p>
    <w:p>
      <w:pPr>
        <w:pStyle w:val="BookText"/>
        <w:rPr/>
      </w:pPr>
      <w:r>
        <w:rPr>
          <w:rFonts w:ascii="Amiri" w:hAnsi="Amiri" w:eastAsia="Amiri" w:cs="Amiri"/>
          <w:color w:val="111111"/>
          <w:sz w:val="28"/>
          <w:sz w:val="28"/>
          <w:szCs w:val="28"/>
          <w:rtl w:val="true"/>
          <w:lang w:bidi="ar-SA"/>
        </w:rPr>
        <w:t>خُرْسٍ يُخَلْنَ مِنَ السُّكُو تِ بِهِنَّ هامُ المُصْغياتِ</w:t>
      </w:r>
    </w:p>
    <w:p>
      <w:pPr>
        <w:pStyle w:val="BookText"/>
        <w:rPr/>
      </w:pPr>
      <w:r>
        <w:rPr>
          <w:rFonts w:ascii="Amiri" w:hAnsi="Amiri" w:eastAsia="Amiri" w:cs="Amiri"/>
          <w:color w:val="111111"/>
          <w:sz w:val="28"/>
          <w:sz w:val="28"/>
          <w:szCs w:val="28"/>
          <w:rtl w:val="true"/>
          <w:lang w:bidi="ar-SA"/>
        </w:rPr>
        <w:t>عُجْ بِالمَطايا النَّاحِلا تِ عَلَى الرُّسُومِ الماحِلاتِ</w:t>
      </w:r>
    </w:p>
    <w:p>
      <w:pPr>
        <w:pStyle w:val="BookText"/>
        <w:rPr/>
      </w:pPr>
      <w:r>
        <w:rPr>
          <w:rFonts w:ascii="Amiri" w:hAnsi="Amiri" w:eastAsia="Amiri" w:cs="Amiri"/>
          <w:color w:val="111111"/>
          <w:sz w:val="28"/>
          <w:sz w:val="28"/>
          <w:szCs w:val="28"/>
          <w:rtl w:val="true"/>
          <w:lang w:bidi="ar-SA"/>
        </w:rPr>
        <w:t>الدّارِساتِ الفانِيا تِ شَبيهَةً بِالباقِياتِ</w:t>
      </w:r>
    </w:p>
    <w:p>
      <w:pPr>
        <w:pStyle w:val="BookText"/>
        <w:rPr/>
      </w:pPr>
      <w:r>
        <w:rPr>
          <w:rFonts w:ascii="Amiri" w:hAnsi="Amiri" w:eastAsia="Amiri" w:cs="Amiri"/>
          <w:color w:val="111111"/>
          <w:sz w:val="28"/>
          <w:sz w:val="28"/>
          <w:szCs w:val="28"/>
          <w:rtl w:val="true"/>
          <w:lang w:bidi="ar-SA"/>
        </w:rPr>
        <w:t>و اسأَلْ عَنِ القَتْلَى الأُ لى طُرِحوا عَلى شَطِّ الفُراتِ</w:t>
      </w:r>
    </w:p>
    <w:p>
      <w:pPr>
        <w:pStyle w:val="BookText"/>
        <w:rPr/>
      </w:pPr>
      <w:r>
        <w:rPr>
          <w:rFonts w:ascii="Amiri" w:hAnsi="Amiri" w:eastAsia="Amiri" w:cs="Amiri"/>
          <w:color w:val="111111"/>
          <w:sz w:val="28"/>
          <w:sz w:val="28"/>
          <w:szCs w:val="28"/>
          <w:rtl w:val="true"/>
          <w:lang w:bidi="ar-SA"/>
        </w:rPr>
        <w:t>شُعْثٌ، لَهُمْ جُمَمٌ عَصَيْ نَ عَلى أَكُفِّ الماشِطاتِ</w:t>
      </w:r>
    </w:p>
    <w:p>
      <w:pPr>
        <w:pStyle w:val="BookText"/>
        <w:rPr/>
      </w:pPr>
      <w:r>
        <w:rPr>
          <w:rFonts w:ascii="Amiri" w:hAnsi="Amiri" w:eastAsia="Amiri" w:cs="Amiri"/>
          <w:color w:val="111111"/>
          <w:sz w:val="28"/>
          <w:sz w:val="28"/>
          <w:szCs w:val="28"/>
          <w:rtl w:val="true"/>
          <w:lang w:bidi="ar-SA"/>
        </w:rPr>
        <w:t>و عُهودُهُنَّ بَعِيدَةٌ بِدِهانِ أَيْدٍ داهِناتِ</w:t>
      </w:r>
    </w:p>
    <w:p>
      <w:pPr>
        <w:pStyle w:val="BookText"/>
        <w:rPr/>
      </w:pPr>
      <w:r>
        <w:rPr>
          <w:rFonts w:ascii="Amiri" w:hAnsi="Amiri" w:eastAsia="Amiri" w:cs="Amiri"/>
          <w:color w:val="111111"/>
          <w:sz w:val="28"/>
          <w:sz w:val="28"/>
          <w:szCs w:val="28"/>
          <w:rtl w:val="true"/>
          <w:lang w:bidi="ar-SA"/>
        </w:rPr>
        <w:t>نَسَجَ الزَّمانُ بِهِمْ سَرا بيلاً بِحَوْكِ الرّامِساتِ‌</w:t>
      </w:r>
      <w:r>
        <w:rPr>
          <w:rStyle w:val="FootnoteAnchor"/>
          <w:rtl w:val="true"/>
        </w:rPr>
        <w:footnoteReference w:id="62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تُطوى و تُحْمى عَنْهُمُ مَحْواً بِهَطْلِ المُعْصِراتِ‌</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فَهُمُ لِأَيْدٍ كاسِيا تٍ تارَةً أَوْ مُعْرَياتِ</w:t>
      </w:r>
    </w:p>
    <w:p>
      <w:pPr>
        <w:pStyle w:val="BookText"/>
        <w:rPr/>
      </w:pPr>
      <w:r>
        <w:rPr>
          <w:rFonts w:ascii="Amiri" w:hAnsi="Amiri" w:eastAsia="Amiri" w:cs="Amiri"/>
          <w:color w:val="111111"/>
          <w:sz w:val="28"/>
          <w:sz w:val="28"/>
          <w:szCs w:val="28"/>
          <w:rtl w:val="true"/>
          <w:lang w:bidi="ar-SA"/>
        </w:rPr>
        <w:t>و لَهُمْ أَكُفٌّ ناضِرا تٌ بَيْنَ صُمٍّ يابِساتِ</w:t>
      </w:r>
    </w:p>
    <w:p>
      <w:pPr>
        <w:pStyle w:val="BookText"/>
        <w:rPr/>
      </w:pPr>
      <w:r>
        <w:rPr>
          <w:rFonts w:ascii="Amiri" w:hAnsi="Amiri" w:eastAsia="Amiri" w:cs="Amiri"/>
          <w:color w:val="111111"/>
          <w:sz w:val="28"/>
          <w:sz w:val="28"/>
          <w:szCs w:val="28"/>
          <w:rtl w:val="true"/>
          <w:lang w:bidi="ar-SA"/>
        </w:rPr>
        <w:t>ما كُنَّ إِلّا بِالعَطا يا و المَنايا جارِياتِ</w:t>
      </w:r>
    </w:p>
    <w:p>
      <w:pPr>
        <w:pStyle w:val="BookText"/>
        <w:rPr/>
      </w:pPr>
      <w:r>
        <w:rPr>
          <w:rFonts w:ascii="Amiri" w:hAnsi="Amiri" w:eastAsia="Amiri" w:cs="Amiri"/>
          <w:color w:val="111111"/>
          <w:sz w:val="28"/>
          <w:sz w:val="28"/>
          <w:szCs w:val="28"/>
          <w:rtl w:val="true"/>
          <w:lang w:bidi="ar-SA"/>
        </w:rPr>
        <w:t xml:space="preserve">كَمْ ثَمَّ مِنْ مُهَجٍ 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الحَتْفَ لِلقَوْمِ السَّراةِ‌</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مُثَقَّفٍ مِثْلِ القَنا ةِ أَتَى المَنِيَّةَ بِالقَناةِ</w:t>
      </w:r>
    </w:p>
    <w:p>
      <w:pPr>
        <w:pStyle w:val="BookText"/>
        <w:rPr/>
      </w:pPr>
      <w:r>
        <w:rPr>
          <w:rFonts w:ascii="Amiri" w:hAnsi="Amiri" w:eastAsia="Amiri" w:cs="Amiri"/>
          <w:color w:val="111111"/>
          <w:sz w:val="28"/>
          <w:sz w:val="28"/>
          <w:szCs w:val="28"/>
          <w:rtl w:val="true"/>
          <w:lang w:bidi="ar-SA"/>
        </w:rPr>
        <w:t xml:space="preserve">أَو مُرْهَفٍ ساقَتْ إِليْ هِ 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المُرْهَفاتِ‌</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كَرِهوا الفِرارَ و 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أَقْتادِ 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ناجِياتِ‌</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يَطْوِينَ طَيَّ الأتْحَم ِيِّ لَهُنَّ أَجْوازَ الفَلاتِ‌</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تَيَقَّنوا أَنّ الحَيا ةَ مَعَ المَذَلَّةِ كَالمَماتِ</w:t>
      </w:r>
    </w:p>
    <w:p>
      <w:pPr>
        <w:pStyle w:val="BookText"/>
        <w:rPr/>
      </w:pPr>
      <w:r>
        <w:rPr>
          <w:rFonts w:ascii="Amiri" w:hAnsi="Amiri" w:eastAsia="Amiri" w:cs="Amiri"/>
          <w:color w:val="111111"/>
          <w:sz w:val="28"/>
          <w:sz w:val="28"/>
          <w:szCs w:val="28"/>
          <w:rtl w:val="true"/>
          <w:lang w:bidi="ar-SA"/>
        </w:rPr>
        <w:t>و رَزِيَّةٍ لِلدِّينِ لَيْسَ تْ كالرَّزايا الماضِياتِ</w:t>
      </w:r>
    </w:p>
    <w:p>
      <w:pPr>
        <w:pStyle w:val="BookText"/>
        <w:rPr/>
      </w:pPr>
      <w:r>
        <w:rPr>
          <w:rFonts w:ascii="Amiri" w:hAnsi="Amiri" w:eastAsia="Amiri" w:cs="Amiri"/>
          <w:color w:val="111111"/>
          <w:sz w:val="28"/>
          <w:sz w:val="28"/>
          <w:szCs w:val="28"/>
          <w:rtl w:val="true"/>
          <w:lang w:bidi="ar-SA"/>
        </w:rPr>
        <w:t>تَرَكَتْ لَنا مِنْها الشَّوى و مَضَتْ بِما تَحْتَ الشَّواةِ‌</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يا آلَ أَحْمَدَ و الَّذي نَ غَداً بِحُبِّهِمُ نَجاتي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مَنِيَّتي في نَصْرِهِم ْ‌أَشْهى إِليَّ مِنَ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مَتى أَنْتُمْ عَلى صَهَواتِ حُدْبٍ شامِصاتِ؟</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حُقوقُكُمْ دُونَ البَر يَّةِ في أَكُفٍّ عاصِياتِ</w:t>
      </w:r>
    </w:p>
    <w:p>
      <w:pPr>
        <w:pStyle w:val="BookText"/>
        <w:rPr/>
      </w:pPr>
      <w:r>
        <w:rPr>
          <w:rFonts w:ascii="Amiri" w:hAnsi="Amiri" w:eastAsia="Amiri" w:cs="Amiri"/>
          <w:color w:val="111111"/>
          <w:sz w:val="28"/>
          <w:sz w:val="28"/>
          <w:szCs w:val="28"/>
          <w:rtl w:val="true"/>
          <w:lang w:bidi="ar-SA"/>
        </w:rPr>
        <w:t>و سُروبُكُمْ مَذْعُورَةٌ و أَديمُكُمْ للفارِياتِ‌</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وَلِيُّكُمْ يُضْحي و يُمْ سِي في أُمُورٍ مُعْضِلاتِ</w:t>
      </w:r>
    </w:p>
    <w:p>
      <w:pPr>
        <w:pStyle w:val="BookText"/>
        <w:rPr/>
      </w:pPr>
      <w:r>
        <w:rPr>
          <w:rFonts w:ascii="Amiri" w:hAnsi="Amiri" w:eastAsia="Amiri" w:cs="Amiri"/>
          <w:color w:val="111111"/>
          <w:sz w:val="28"/>
          <w:sz w:val="28"/>
          <w:szCs w:val="28"/>
          <w:rtl w:val="true"/>
          <w:lang w:bidi="ar-SA"/>
        </w:rPr>
        <w:t>يَلْوي و قَدْ خَبَطَ الظَّلا مُ عَلَى اللّيالي المُقْمِراتِ</w:t>
      </w:r>
    </w:p>
    <w:p>
      <w:pPr>
        <w:pStyle w:val="BookText"/>
        <w:rPr/>
      </w:pPr>
      <w:r>
        <w:rPr>
          <w:rFonts w:ascii="Amiri" w:hAnsi="Amiri" w:eastAsia="Amiri" w:cs="Amiri"/>
          <w:color w:val="111111"/>
          <w:sz w:val="28"/>
          <w:sz w:val="28"/>
          <w:szCs w:val="28"/>
          <w:rtl w:val="true"/>
          <w:lang w:bidi="ar-SA"/>
        </w:rPr>
        <w:t>فإِذا اشْتَكى فإِلى قُلو بٍ لاهِياتٍ ساهياتِ</w:t>
      </w:r>
    </w:p>
    <w:p>
      <w:pPr>
        <w:pStyle w:val="BookText"/>
        <w:rPr/>
      </w:pPr>
      <w:r>
        <w:rPr>
          <w:rFonts w:ascii="Amiri" w:hAnsi="Amiri" w:eastAsia="Amiri" w:cs="Amiri"/>
          <w:color w:val="111111"/>
          <w:sz w:val="28"/>
          <w:sz w:val="28"/>
          <w:szCs w:val="28"/>
          <w:rtl w:val="true"/>
          <w:lang w:bidi="ar-SA"/>
        </w:rPr>
        <w:t>و إلى عَصائِبَ سارِيا تٍ في الدَّآدِي عاشِياتِ‌</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غَرْثانَ إِلّا مِنْ جَوًى عُرْيانَ إِلّا مِنْ أَذاةِ</w:t>
      </w:r>
    </w:p>
    <w:p>
      <w:pPr>
        <w:pStyle w:val="BookText"/>
        <w:rPr/>
      </w:pPr>
      <w:r>
        <w:rPr>
          <w:rFonts w:ascii="Amiri" w:hAnsi="Amiri" w:eastAsia="Amiri" w:cs="Amiri"/>
          <w:color w:val="111111"/>
          <w:sz w:val="28"/>
          <w:sz w:val="28"/>
          <w:szCs w:val="28"/>
          <w:rtl w:val="true"/>
          <w:lang w:bidi="ar-SA"/>
        </w:rPr>
        <w:t>و إِذا اسْتَمَدَّ فَمِنْ أَكُ فٍّ بِالعَطايا باخِلاتِ</w:t>
      </w:r>
    </w:p>
    <w:p>
      <w:pPr>
        <w:pStyle w:val="BookText"/>
        <w:rPr/>
      </w:pPr>
      <w:r>
        <w:rPr>
          <w:rFonts w:ascii="Amiri" w:hAnsi="Amiri" w:eastAsia="Amiri" w:cs="Amiri"/>
          <w:color w:val="111111"/>
          <w:sz w:val="28"/>
          <w:sz w:val="28"/>
          <w:szCs w:val="28"/>
          <w:rtl w:val="true"/>
          <w:lang w:bidi="ar-SA"/>
        </w:rPr>
        <w:t>و إِذا اسْتَعانَ عَلى خُطو بٍ أَوْ كُروبٍ كارِثاتِ</w:t>
      </w:r>
    </w:p>
    <w:p>
      <w:pPr>
        <w:pStyle w:val="BookText"/>
        <w:rPr/>
      </w:pPr>
      <w:r>
        <w:rPr>
          <w:rFonts w:ascii="Amiri" w:hAnsi="Amiri" w:eastAsia="Amiri" w:cs="Amiri"/>
          <w:color w:val="111111"/>
          <w:sz w:val="28"/>
          <w:sz w:val="28"/>
          <w:szCs w:val="28"/>
          <w:rtl w:val="true"/>
          <w:lang w:bidi="ar-SA"/>
        </w:rPr>
        <w:t>فَبِكُلِّ مَغْلُولِ اليَدَيْ نِ هُناكَ مَفْلُولِ الشَّباةِ‌</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قُلْ لِلأُلى حادُوا و قَدْ ضَلُّوا الطَّريقَ عَنِ الهُداةِ</w:t>
      </w:r>
    </w:p>
    <w:p>
      <w:pPr>
        <w:pStyle w:val="BookText"/>
        <w:rPr/>
      </w:pPr>
      <w:r>
        <w:rPr>
          <w:rFonts w:ascii="Amiri" w:hAnsi="Amiri" w:eastAsia="Amiri" w:cs="Amiri"/>
          <w:color w:val="111111"/>
          <w:sz w:val="28"/>
          <w:sz w:val="28"/>
          <w:szCs w:val="28"/>
          <w:rtl w:val="true"/>
          <w:lang w:bidi="ar-SA"/>
        </w:rPr>
        <w:t>و سَرَوْا عَلى شُعَبِ الرَّكا ئِبِ في الفَلاةِ بِلا حُداةِ</w:t>
      </w:r>
    </w:p>
    <w:p>
      <w:pPr>
        <w:pStyle w:val="BookText"/>
        <w:rPr/>
      </w:pPr>
      <w:r>
        <w:rPr>
          <w:rFonts w:ascii="Amiri" w:hAnsi="Amiri" w:eastAsia="Amiri" w:cs="Amiri"/>
          <w:color w:val="111111"/>
          <w:sz w:val="28"/>
          <w:sz w:val="28"/>
          <w:szCs w:val="28"/>
          <w:rtl w:val="true"/>
          <w:lang w:bidi="ar-SA"/>
        </w:rPr>
        <w:t>نامَتْ عُيونُكُمُ و ل كِنْ عَنْ عُيونٍ ساهِراتِ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ظَنَنْتُمُ طُولَ المَدى يَمْحو القُلوبَ مِنَ التِّراتِ‌</w:t>
      </w:r>
      <w:r>
        <w:rPr>
          <w:rStyle w:val="FootnoteAnchor"/>
          <w:rtl w:val="true"/>
        </w:rPr>
        <w:footnoteReference w:id="63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هَيْهاتَ إنّ الضِّغْنَ تُو قِدُهُ اللَّيالي بِالغَداةِ‌</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لاتَأْمَنوا غَضَّ النَّوا 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مُرْصِداتِ‌</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إِنَّ السُّيوفَ المُعْرَيا تِ مِنَ السُّيوفِ المُغْمَداتِ</w:t>
      </w:r>
    </w:p>
    <w:p>
      <w:pPr>
        <w:pStyle w:val="BookText"/>
        <w:rPr/>
      </w:pPr>
      <w:r>
        <w:rPr>
          <w:rFonts w:ascii="Amiri" w:hAnsi="Amiri" w:eastAsia="Amiri" w:cs="Amiri"/>
          <w:color w:val="111111"/>
          <w:sz w:val="28"/>
          <w:sz w:val="28"/>
          <w:szCs w:val="28"/>
          <w:rtl w:val="true"/>
          <w:lang w:bidi="ar-SA"/>
        </w:rPr>
        <w:t>و المُثْقِلاتِ المُعْيِيا تِ مِنَ الأُمورِ الهَيِّناتِ</w:t>
      </w:r>
    </w:p>
    <w:p>
      <w:pPr>
        <w:pStyle w:val="BookText"/>
        <w:rPr/>
      </w:pPr>
      <w:r>
        <w:rPr>
          <w:rFonts w:ascii="Amiri" w:hAnsi="Amiri" w:eastAsia="Amiri" w:cs="Amiri"/>
          <w:color w:val="111111"/>
          <w:sz w:val="28"/>
          <w:sz w:val="28"/>
          <w:szCs w:val="28"/>
          <w:rtl w:val="true"/>
          <w:lang w:bidi="ar-SA"/>
        </w:rPr>
        <w:t>و المُصْمِياتِ مِنَ المَقا تِلِ هُنَّ نَفْسُ المُخْطِئاتِ‌</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كَأَنَّني بالكُمْتِ تَرْ دي في البَسيطَةِ بِالكُماةِ‌</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بِكُلِّ مِقدامٍ عَلَى ال أَهْوالِ مَرْهوبِ الشَّذاةِ‌</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قَرِمٍ فَلا شِبَعٌ لَهُ إِلّا بِأَرْواحِ العُداةِ‌</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كَأَنَّهُ مُتَنَمِّراً صَقْرٌ تَشَرَّفَ مِنْ عَلاةِ‌</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الرُّمْحُ يَفْتُقُ كُلَّ نَجْ لاءٍ كَأَرْدانِ الفَتاةِ‌</w:t>
      </w:r>
      <w:r>
        <w:rPr>
          <w:rStyle w:val="FootnoteAnchor"/>
          <w:rtl w:val="true"/>
        </w:rPr>
        <w:footnoteReference w:id="64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تَهْمِي نَجيعاً كاللُّغا مِ عَلى شُدوقِ اليَعْمَلاتِ‌</w:t>
      </w:r>
      <w:r>
        <w:rPr>
          <w:rStyle w:val="FootnoteAnchor"/>
          <w:rtl w:val="true"/>
        </w:rPr>
        <w:footnoteReference w:id="64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تُؤْسى و لكِنْ كَلْمُها أَبَداً يُبَرِّحُ بِالأُساةِ‌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حَتّى يَعودَ الحقُّ يَقْ ظاناً لَنا بَعْدَ السِّناتِ‌</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لَكَمْ أَتى مِنْ فُرجَةٍ قَدْ كانَ يُحْسَبُ غَيْرَ آتِ</w:t>
      </w:r>
    </w:p>
    <w:p>
      <w:pPr>
        <w:pStyle w:val="BookText"/>
        <w:rPr/>
      </w:pPr>
      <w:r>
        <w:rPr>
          <w:rFonts w:ascii="Amiri" w:hAnsi="Amiri" w:eastAsia="Amiri" w:cs="Amiri"/>
          <w:color w:val="111111"/>
          <w:sz w:val="28"/>
          <w:sz w:val="28"/>
          <w:szCs w:val="28"/>
          <w:rtl w:val="true"/>
          <w:lang w:bidi="ar-SA"/>
        </w:rPr>
        <w:t>يا صاحِبي في يَوْمِ عا شُوراءَ و الحَدِبِ المُواتي</w:t>
      </w:r>
    </w:p>
    <w:p>
      <w:pPr>
        <w:pStyle w:val="BookText"/>
        <w:rPr/>
      </w:pPr>
      <w:r>
        <w:rPr>
          <w:rFonts w:ascii="Amiri" w:hAnsi="Amiri" w:eastAsia="Amiri" w:cs="Amiri"/>
          <w:color w:val="111111"/>
          <w:sz w:val="28"/>
          <w:sz w:val="28"/>
          <w:szCs w:val="28"/>
          <w:rtl w:val="true"/>
          <w:lang w:bidi="ar-SA"/>
        </w:rPr>
        <w:t>لا تَسقِني بِاللّهِ في هِ سِوى دُموعِ الباكِياتِ</w:t>
      </w:r>
    </w:p>
    <w:p>
      <w:pPr>
        <w:pStyle w:val="BookText"/>
        <w:rPr/>
      </w:pPr>
      <w:r>
        <w:rPr>
          <w:rFonts w:ascii="Amiri" w:hAnsi="Amiri" w:eastAsia="Amiri" w:cs="Amiri"/>
          <w:color w:val="111111"/>
          <w:sz w:val="28"/>
          <w:sz w:val="28"/>
          <w:szCs w:val="28"/>
          <w:rtl w:val="true"/>
          <w:lang w:bidi="ar-SA"/>
        </w:rPr>
        <w:t>ما ذاكَ يَوْماً صَيِّباً فاسْمَحْ لَنا بِالصَّيِّباتِ‌</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إِذا ثَكِلْتَ فَلا تَزُرْ إِلّا دِيارَ الثّاكِلاتِ</w:t>
      </w:r>
    </w:p>
    <w:p>
      <w:pPr>
        <w:pStyle w:val="BookText"/>
        <w:rPr/>
      </w:pPr>
      <w:r>
        <w:rPr>
          <w:rFonts w:ascii="Amiri" w:hAnsi="Amiri" w:eastAsia="Amiri" w:cs="Amiri"/>
          <w:color w:val="111111"/>
          <w:sz w:val="28"/>
          <w:sz w:val="28"/>
          <w:szCs w:val="28"/>
          <w:rtl w:val="true"/>
          <w:lang w:bidi="ar-SA"/>
        </w:rPr>
        <w:t>و تَنَحَّ في يَوْمِ المُصي بةِ عَنْ قُلوبٍ سالِياتِ</w:t>
      </w:r>
    </w:p>
    <w:p>
      <w:pPr>
        <w:pStyle w:val="BookText"/>
        <w:rPr/>
      </w:pPr>
      <w:r>
        <w:rPr>
          <w:rFonts w:ascii="Amiri" w:hAnsi="Amiri" w:eastAsia="Amiri" w:cs="Amiri"/>
          <w:color w:val="111111"/>
          <w:sz w:val="28"/>
          <w:sz w:val="28"/>
          <w:szCs w:val="28"/>
          <w:rtl w:val="true"/>
          <w:lang w:bidi="ar-SA"/>
        </w:rPr>
        <w:t>و مَتى سَمِعْتَ فَمِنْ عَوي لٍ لِلنِّساءِ المُعْوِلاتِ</w:t>
      </w:r>
    </w:p>
    <w:p>
      <w:pPr>
        <w:pStyle w:val="BookText"/>
        <w:rPr/>
      </w:pPr>
      <w:r>
        <w:rPr>
          <w:rFonts w:ascii="Amiri" w:hAnsi="Amiri" w:eastAsia="Amiri" w:cs="Amiri"/>
          <w:color w:val="111111"/>
          <w:sz w:val="28"/>
          <w:sz w:val="28"/>
          <w:szCs w:val="28"/>
          <w:rtl w:val="true"/>
          <w:lang w:bidi="ar-SA"/>
        </w:rPr>
        <w:t>و تَداوَ مِنْ حُزْنٍ بِقَلْ بِكَ بِالمَراثِي المُحْزِناتِ</w:t>
      </w:r>
    </w:p>
    <w:p>
      <w:pPr>
        <w:pStyle w:val="BookText"/>
        <w:rPr/>
      </w:pPr>
      <w:r>
        <w:rPr>
          <w:rFonts w:ascii="Amiri" w:hAnsi="Amiri" w:eastAsia="Amiri" w:cs="Amiri"/>
          <w:color w:val="111111"/>
          <w:sz w:val="28"/>
          <w:sz w:val="28"/>
          <w:szCs w:val="28"/>
          <w:rtl w:val="true"/>
          <w:lang w:bidi="ar-SA"/>
        </w:rPr>
        <w:t>لا عُطِّلَتْ تِلْكَ الحَفا ئِرُ مِنْ سَلامٍ أَو صَلاةِ</w:t>
      </w:r>
    </w:p>
    <w:p>
      <w:pPr>
        <w:pStyle w:val="BookText"/>
        <w:rPr/>
      </w:pPr>
      <w:r>
        <w:rPr>
          <w:rFonts w:ascii="Amiri" w:hAnsi="Amiri" w:eastAsia="Amiri" w:cs="Amiri"/>
          <w:color w:val="111111"/>
          <w:sz w:val="28"/>
          <w:sz w:val="28"/>
          <w:szCs w:val="28"/>
          <w:rtl w:val="true"/>
          <w:lang w:bidi="ar-SA"/>
        </w:rPr>
        <w:t>و سُقِينَ مِنْ وَكْفِ التَّح ِيَّةِ عَنْ وَكِيفِ السّارِياتِ‌</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نُفِحْنَ مِنْ عَبَقِ الجِنا نِ أَريجُهُ بالذّاكِياتِ‌</w:t>
      </w:r>
      <w:r>
        <w:rPr>
          <w:rStyle w:val="FootnoteAnchor"/>
          <w:rtl w:val="true"/>
        </w:rPr>
        <w:footnoteReference w:id="65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طَوَيْنَ شُموسَنا و بُدُورَنا في المُشْكِلاتِ‌</w:t>
      </w:r>
      <w:r>
        <w:rPr>
          <w:rStyle w:val="FootnoteAnchor"/>
          <w:rtl w:val="true"/>
        </w:rPr>
        <w:footnoteReference w:id="653"/>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7486_97330"/>
      <w:bookmarkStart w:id="298" w:name="pg7486_97330"/>
      <w:bookmarkEnd w:id="298"/>
    </w:p>
    <w:p>
      <w:pPr>
        <w:pStyle w:val="Heading3"/>
        <w:numPr>
          <w:ilvl w:val="2"/>
          <w:numId w:val="1"/>
        </w:numPr>
        <w:rPr/>
      </w:pPr>
      <w:bookmarkStart w:id="299" w:name="pg7486_97330"/>
      <w:bookmarkStart w:id="300" w:name="__RefHeading___Toc2226094_1051229030"/>
      <w:bookmarkStart w:id="301" w:name="_Toc107"/>
      <w:bookmarkEnd w:id="299"/>
      <w:bookmarkEnd w:id="300"/>
      <w:r>
        <w:rPr/>
        <w:t>3</w:t>
      </w:r>
      <w:r>
        <w:rPr>
          <w:rtl w:val="true"/>
        </w:rPr>
        <w:t xml:space="preserve"> - </w:t>
      </w:r>
      <w:r>
        <w:rPr>
          <w:rtl w:val="true"/>
        </w:rPr>
        <w:t xml:space="preserve">ما ذكره في كتاب </w:t>
      </w:r>
      <w:r>
        <w:rPr>
          <w:rtl w:val="true"/>
        </w:rPr>
        <w:t>«</w:t>
      </w:r>
      <w:r>
        <w:rPr>
          <w:rtl w:val="true"/>
        </w:rPr>
        <w:t>تنزيه الأنبياء</w:t>
      </w:r>
      <w:r>
        <w:rPr>
          <w:rtl w:val="true"/>
        </w:rPr>
        <w:t>»</w:t>
      </w:r>
      <w:bookmarkEnd w:id="301"/>
    </w:p>
    <w:p>
      <w:pPr>
        <w:pStyle w:val="Heading4"/>
        <w:numPr>
          <w:ilvl w:val="3"/>
          <w:numId w:val="1"/>
        </w:numPr>
        <w:rPr/>
      </w:pPr>
      <w:bookmarkStart w:id="302" w:name="__RefHeading___Toc2226096_1051229030"/>
      <w:bookmarkStart w:id="303" w:name="_Toc108"/>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قد ذكر الشريف المرتضى في هذا الكتاب كلاماً في الغيبة و ما يتعلّق بها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226098_1051229030"/>
      <w:bookmarkStart w:id="305" w:name="_Toc109"/>
      <w:bookmarkEnd w:id="304"/>
      <w:r>
        <w:rPr>
          <w:rtl w:val="true"/>
        </w:rPr>
        <w:t>القائم المهديّ عليه السلام</w:t>
      </w:r>
      <w:bookmarkEnd w:id="305"/>
    </w:p>
    <w:p>
      <w:pPr>
        <w:pStyle w:val="Heading5"/>
        <w:numPr>
          <w:ilvl w:val="4"/>
          <w:numId w:val="1"/>
        </w:numPr>
        <w:rPr/>
      </w:pPr>
      <w:bookmarkStart w:id="306" w:name="__RefHeading___Toc2226100_1051229030"/>
      <w:bookmarkStart w:id="307" w:name="_Toc110"/>
      <w:bookmarkEnd w:id="306"/>
      <w:r>
        <w:rPr>
          <w:rtl w:val="true"/>
        </w:rPr>
        <w:t>الوجهُ في غَيبتِه عليه السلام</w:t>
      </w:r>
      <w:bookmarkEnd w:id="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غَيبَتِه عليه السلام و استتارِه علَى الاِستمرارِ و الدوام حتّى أنّ ذلكَ قد صارَ سبباً لنفيِ وِلادتِه و إنكارِ وجودِه؟</w:t>
      </w:r>
    </w:p>
    <w:p>
      <w:pPr>
        <w:pStyle w:val="BookText"/>
        <w:rPr/>
      </w:pPr>
      <w:r>
        <w:rPr>
          <w:rFonts w:ascii="Amiri" w:hAnsi="Amiri" w:eastAsia="Amiri" w:cs="Amiri"/>
          <w:color w:val="111111"/>
          <w:sz w:val="28"/>
          <w:sz w:val="28"/>
          <w:szCs w:val="28"/>
          <w:rtl w:val="true"/>
          <w:lang w:bidi="ar-SA"/>
        </w:rPr>
        <w:t xml:space="preserve">و كَيفَ يَجوزُ أن يَكونَ إماماً للخَلقِ و هو لَم يَظهَرْ قَطُّ لأحَدٍ منهم، و آباؤه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غيرَ آمِرينَ فيما يَتعلَّقُ بالإمامةِ و لا ناهينَ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ظاهرينَ بارزينَ يُفتونَ في الأحكامِ و يُرشِدونَ عندَ المُعضِلاتِ، لا يُمَكَّنُ أحدٌ نَفيَ وجودِهم و إن نَفى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الاِستتارُ و الغَيبةُ، فسببُهما إخافةُ الظالمينَ له عليه السلام على نفسِه، و مَن أُخيفَ على نفسِه فقَد احوِجَ إلَى الاِستتارِ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الغَيبةُ مِن ابتدائها على ما هي عليه الآنَ؛ فإنّه عليه السلام في ابتداءِ الأمرِ كانَ ظاهراً لأوليائه غائباً عن أعدائه، و لمّا اشتَدَّ الأمرُ و قَوِيَ الخوفُ و زادَ الطلَبُ استَتَرَ عن الوليِّ و العدُوِّ؛ فلَيسَ ما ذَكَرَه السائلُ مِن أنّه لَم يَظهَرْ لأحَدٍ مِن الخَلقِ صحيحاً</w:t>
      </w:r>
      <w:r>
        <w:rPr>
          <w:rFonts w:eastAsia="Amiri" w:cs="Amiri" w:ascii="Amiri" w:hAnsi="Amiri"/>
          <w:color w:val="111111"/>
          <w:sz w:val="28"/>
          <w:szCs w:val="28"/>
          <w:rtl w:val="true"/>
          <w:lang w:bidi="ar-SA"/>
        </w:rPr>
        <w:t xml:space="preserve">. </w:t>
      </w:r>
      <w:bookmarkStart w:id="308" w:name="pg7486_97332"/>
    </w:p>
    <w:p>
      <w:pPr>
        <w:pStyle w:val="BookText"/>
        <w:rPr/>
      </w:pPr>
      <w:bookmarkEnd w:id="308"/>
      <w:r>
        <w:rPr>
          <w:rFonts w:ascii="Amiri" w:hAnsi="Amiri" w:eastAsia="Amiri" w:cs="Amiri"/>
          <w:color w:val="111111"/>
          <w:sz w:val="28"/>
          <w:sz w:val="28"/>
          <w:szCs w:val="28"/>
          <w:rtl w:val="true"/>
          <w:lang w:bidi="ar-SA"/>
        </w:rPr>
        <w:t>فأمّا كَونُ ذلكَ سبباً لنَفيِ وِلادتِه عليه السلام، فلَم يَكُن سبباً لشَيءٍ مِن ذلكَ إلّا بالشُّبهةِ و ضَعفِ البَصيرةِ و التقصيرِ عن النظَرِ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التقصيرُ داعياً إليه و الشُّبهةُ سببَه مِن الاِعتقاداتِ، و علَى الحقِّ فيه دليلٌ واضحٌ بادٍ لمَن أرادَه ظاهرٌ لِمَن قَصَدَه، لَيسَ يَجِبُ المنعُ في دارِ التكليف و المِحنةِ منه؛ ألا تَرى أنّ تكليفَ اللّهِ تَعالى مَن عَلِمَ أنّه يَكفُرُ قد صارَ سبباً لاِعتقاداتٍ كثيرةٍ باطلةٍ؛ فالمُلحِدونَ جَعَلوه طريقاً إلى نَفيِ الصانعِ، و المُجْبِرةُ جَعَلَته طريقاً إلى أنّ القَبيحَ مِنّا لا يَقبُحُ مِن فِعلِه تَعالى، و آخَرونَ جَعَلوه طريقاً إلَى الشكِّ و الحَيرةِ و الدفعِ عن القَطعِ على حِكمةِ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 الآلامِ بالأطفالِ و البَهائمِ قد شَكَّكَه كثيرٌ مِن الناسِ؛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 و أصحابُ التناسُخِ، و البَكريّةُ، و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دخولُ الشُّبهةِ بهذه الأُمورِ على مَن قَصَّرَ في النظَرِ و انقادَ للشُّبهةِ مع وضوحِ الحقِّ له لو أرادَه موجِباً علَى اللّهِ تَعالى دَفْعَها؛ حتّى لا يُكلِّفَ إلّاالمؤمنينَ، و لا يؤلِمَ إلّا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البابِ في الأُصولِ نظائرُ كثيرةٌ ذِكرُها يَطولُ، و الإشارةُ إليها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الفَرقُ بَينَه و بَينَ آبائه عليهم السلام فواضحٌ؛ لأنّ خوفَ مَن يُشارُ إليه بأنّه القائمُ المَهديُّ الذي يَظهَرُ بالسيفِ و يَقهَرُ الأعداءَ و يُزيلُ الدُّوَلَ و المَمالِكَ لا يَكونُ كخَوفِ غيرِه ممّن يَجوزُ له مع الظهورِ التقيّةُ و مُلازَمةُ مَنزِلِه، و لَيسَ من تكليفِه و لا ممّا سَبَقَ أنّه يَجري على يدِه الجهادُ و استئصالُ الظالمينَ</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226102_1051229030"/>
      <w:bookmarkStart w:id="310" w:name="_Toc111"/>
      <w:bookmarkEnd w:id="309"/>
      <w:r>
        <w:rPr>
          <w:rtl w:val="true"/>
        </w:rPr>
        <w:t>المصلحةُ بوجودِه عليه السلام</w:t>
      </w:r>
      <w:bookmarkEnd w:id="3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الخوفُ قد اقتَضى أنّ المَصلحةَ في استتارِه و تباعُدِه، فقَد تَغيَّرَت الحالُ إذَن في المَصلحةِ بالإمامِ، و اختَلَفَت، و صارَ ما توجِبونَه مِن كَونِ المَصلحةِ مُستَمِرّةً بوجودِه و أمرِه و نهيِه مُختَلِفاً على ما تَرَونَ، و هذا خِلافُ مَذهَبِكم</w:t>
      </w:r>
      <w:r>
        <w:rPr>
          <w:rFonts w:eastAsia="Amiri" w:cs="Amiri" w:ascii="Amiri" w:hAnsi="Amiri"/>
          <w:color w:val="111111"/>
          <w:sz w:val="28"/>
          <w:szCs w:val="28"/>
          <w:rtl w:val="true"/>
          <w:lang w:bidi="ar-SA"/>
        </w:rPr>
        <w:t xml:space="preserve">! </w:t>
      </w:r>
      <w:bookmarkStart w:id="311" w:name="pg7486_97334"/>
    </w:p>
    <w:p>
      <w:pPr>
        <w:pStyle w:val="BookText"/>
        <w:rPr/>
      </w:pPr>
      <w:bookmarkEnd w:id="31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التي توجِبُ استمرارَها علَى الدوامِ بوجودِه و أمرِه و نهيِه إنّما هي للمُكلَّفينَ، و هذه المَصلحةُ ما تَغيَّرَت و لا تَتغيَّرُ،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مِن الظالمينَ اقتَضى أن يَكونَ مِن مَصلحتِه هو في نفسِه عليه السلام الاِستتارُ و التباعُدُ، و ما يَرجِعُ إلى مَصلحةِ المُكلَّفينَ به لَم يَختَلِفْ، و مَصلحتُنا و إن كانَت لا تَتِمُّ إلّابظُهورِه و بُروزِه،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مَصلحتَه الآنَ في نفسِه في خِلافِ الظهورِ، فذلكَ غيرُ مُتَناقِضٍ؛ لأنّ مَن أخافَ الإمامَ و أحوَجَه إلَى الغَيبةِ و إلى أن يَكونَ الاِستتارُ مِن مَصلحتِه قادرٌ على أن يُزيلَ خوفَه فيَظهَرَ و يَبرِزَ و يَصِلَ كُلُّ مُكلَّفٍ إلى مَصلحتِه به، و التمكُّنُ ممّا يُسهِّلُ سَبيلَ المَصلحةِ تَمكُّنٌ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الوجهِ لَم يَزَلِ التكليفُ الذي الإمامُ لُطفٌ فيه عن المُكلَّفينَ بالغَيبةِ منه و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يَلزَمُ في النبيِّ صلّى اللّه عليه و آله لمّا استَتَرَ في الغارِ و غابَ عن قومِه بحَيثُ لا يَعرِفونَه؛ لأنّا نَعلَمُ أنّ المَصلحةَ بظهورِه و بيانِه كانَت ثابتةً غيرَ مُتغيِّرةٍ، و مع هذه الحالِ فإنّ المَصلحةَ له في الاِستتارِ و الغَيبةِ عندَ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أنّه لا تَنافيَ فيه و لا 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إلّابمِثلِ ما اعتَمَدناه بعَينِه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226104_1051229030"/>
      <w:bookmarkStart w:id="313" w:name="_Toc112"/>
      <w:bookmarkEnd w:id="312"/>
      <w:r>
        <w:rPr>
          <w:rtl w:val="true"/>
        </w:rPr>
        <w:t>حكمةُ وجودِ الإمامِ و هو غائبٌ عن الناسِ‌</w:t>
      </w:r>
      <w:bookmarkEnd w:id="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الإمامُ عليه السلام غائباً بحَيثُ لا يَصِلُ إليه أحَدٌ مِن الخَلقِ و لا يَنتَفِعُ به، فما الفَرقُ بين وجودِه و عدمِه؟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جازَ أن يَكونَ إخافةُ الظالمينَ سبباً لغَيبتِه بحَيثُ لا نَصِلُ إلى مَصلحتِنا به حتّى إذا زالَت الإخافةُ ظَهَرَ، فلِمَ لا جازَ أن تَكونَ إخافتُهم له سبباً لأن يُعدِمَه اللّهُ تَعالى، فإذا انقادوا و أذعَنوا أوجَدَه لهم؟</w:t>
      </w:r>
      <w:r>
        <w:rPr>
          <w:rFonts w:eastAsia="Amiri" w:cs="Amiri" w:ascii="Amiri" w:hAnsi="Amiri"/>
          <w:color w:val="111111"/>
          <w:sz w:val="28"/>
          <w:szCs w:val="28"/>
          <w:rtl w:val="true"/>
          <w:lang w:bidi="ar-SA"/>
        </w:rPr>
        <w:t xml:space="preserve">! </w:t>
      </w:r>
      <w:bookmarkStart w:id="314" w:name="pg7486_97336"/>
    </w:p>
    <w:p>
      <w:pPr>
        <w:pStyle w:val="BookText"/>
        <w:rPr/>
      </w:pPr>
      <w:bookmarkEnd w:id="31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 أنّا غيرُ قاطعينَ على أنّ الإمامَ لا يَصِلُ إليه أحَدٌ، و لا يَلقاه بَشَرٌ؛ فهذا أمرٌ غيرُ معلومٍ، و لا سَبيلَ إلَى القطعِ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 بَينَ وجودِه غائباً عن أعدائه للتقيّةِ و هو في خِلالِ ذلكَ مُنتَظِرٌ أن يُمكِّنوه فيَظهَرَ و يَتصرَّفَ و بَينَ عدمِه واضحٌ لا خَفاءَ به، و هو الفَرقُ بَينَ أن تَكونَ الحُجّةُ فيما فاتَ مِن مَصالِحِ العبادِ لازمةً للّهِ تَعالى و بَينَ أن تَكونَ لازمةً للبَشَرِ؛ لأنّه إذا أُخيفَ فغُيِّبَ شخصُه عنهم كانَ ما يَفوتُهم مِن مَصلحةٍ عَقيبَ فِعلٍ سَبَّبوه و ألجأوا إليه، فكانَت العُهدة فيه عليهم و الذمُّ لازماً لهم؛ و إذا أعدَمَه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العَدَمَ لا يُسبِّبُه الظالمونَ بفِعلِهم، و إنّما يَفعَلُه اللّهُ تَعالَى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يَفوتُ بالإعدامِ مِن المَصالِحِ لازماً له تَعالى و منسوباً إليه</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226106_1051229030"/>
      <w:bookmarkStart w:id="316" w:name="_Toc113"/>
      <w:bookmarkEnd w:id="315"/>
      <w:r>
        <w:rPr>
          <w:rtl w:val="true"/>
        </w:rPr>
        <w:t>حُكمُ الحدودِ في الشريعةِ في زمنِ الغَيبةِ‌</w:t>
      </w:r>
      <w:bookmarkEnd w:id="3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فالحدودُ التي تَجِبُ علَى الجُناةِ في حالِ الغَيبةِ كَيفَ حُكمُها؟ و هل تَسقُطُ عن أهلِها؟ و هذا إن قُلتموه صَرَّحتم بنَسخِ شريعةِ الرسولِ صلّى اللّه عليه و آله، و إن أثبَتُّموه فمَن الذي يُقيمُها و الإمامُ غائبٌ مُستَتِرٌ؟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المُستَحَقّةُ بالأعمالِ القبيحةِ فواجبةٌ في جُنوبِ مُرتَكِبي القبائحِ، و إن تَعذَّرَ علَى الإمامِ في حالِ الغَيبةِ إقامتُها فالإثمُ فيما تَعذَّرَ مِن ذلكَ على مَن سَبَّبَ الغَيبةَ و أوجَبَها بفِعلِه، و لَيسَ هذا نَسخاً للشريعةِ؛ لأنّ المُتقرِّرَ بالشرعِ وجوبُ إقامةِ الحَدِّ مع التمَكُّنِ و ارتفاعِ المَوانِعِ، و سُقوطُ فَرضِ إقامتِه مع المَوانِعِ و ارتفاعِ التمَكُّنِ لا يَكونُ نَسخاً للشرعِ المُتقرِّرِ؛ لأنّ الشرطَ في الوجوبِ لَم يَحصُلْ، و إنّما يَكونُ ذلكَ نَسخاً لَو سَقَطَ فَرضُ إقامةِ الحدودِ عن الإمامِ مع تَمكُّنِه</w:t>
      </w:r>
      <w:r>
        <w:rPr>
          <w:rFonts w:eastAsia="Amiri" w:cs="Amiri" w:ascii="Amiri" w:hAnsi="Amiri"/>
          <w:color w:val="111111"/>
          <w:sz w:val="28"/>
          <w:szCs w:val="28"/>
          <w:rtl w:val="true"/>
          <w:lang w:bidi="ar-SA"/>
        </w:rPr>
        <w:t xml:space="preserve">. </w:t>
      </w:r>
      <w:bookmarkStart w:id="317" w:name="pg7486_97338"/>
    </w:p>
    <w:p>
      <w:pPr>
        <w:pStyle w:val="BookText"/>
        <w:rPr/>
      </w:pPr>
      <w:bookmarkEnd w:id="317"/>
      <w:r>
        <w:rPr>
          <w:rFonts w:ascii="Amiri" w:hAnsi="Amiri" w:eastAsia="Amiri" w:cs="Amiri"/>
          <w:color w:val="111111"/>
          <w:sz w:val="28"/>
          <w:sz w:val="28"/>
          <w:szCs w:val="28"/>
          <w:rtl w:val="true"/>
          <w:lang w:bidi="ar-SA"/>
        </w:rPr>
        <w:t>على أنّ هذا يَلزَمُ مُخالِفينا في الإمامةِ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الحُكمُ في الحدودِ التي تُستَحَقُّ في الأحوالِ التي لا يَتمكَّنُ فيها أهلُ الحَلِّ و العَقدِ مِن نَصبِ إمامٍ و اختيارِه؟ و هل تَبطُلُ الحدودُ أو تُستَحَقُّ مع تَعذُّرِ إقامتِها؟ و هل يَقتَضي هذا التعذُّرُ نَسخَ الشريعةِ؟ فأيُّ شيءٍ اعتَصَموا به مِن ذلكَ فهو جوابُنا بعَينِه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226108_1051229030"/>
      <w:bookmarkStart w:id="319" w:name="_Toc114"/>
      <w:bookmarkEnd w:id="318"/>
      <w:r>
        <w:rPr>
          <w:rtl w:val="true"/>
        </w:rPr>
        <w:t>طريقُ كشفِ الحقّ مع غَيبةِ الإمامِ‌</w:t>
      </w:r>
      <w:bookmarkEnd w:id="3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غَيبةِ الإمام كَيفَ يُدرَكُ، و هذا يَقتَضي أن يَكونَ الناسُ في حَيرةٍ مع الغَيبةِ؟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يُدرَكُ مِن جهةِ الأدِلّةِ المنصوبةِ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يَقتَضي الاستغناءَ عن الإمامِ بهذه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العِلّةُ المُحوِجةُ إلَى الإمامِ في كُلِّ عصرٍ و على كُلِّ حالٍ فهي كَونُه لُطفاً فيما وَجَبَ علينا فِعلُه مِن العقليّاتِ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و العدلِ، و اجتنابِ الظلمِ و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عَدا هذه العِلّةِ مِن الاُمورِ المُستَنِدةِ إلَى السمعِ و العِبادةِ به جائزٌ ارتفاعُها؛ لجوازِ خُلوِّ المُكلَّفينَ مِن العباداتِ الشرعيّةِ كُلِّها، و ما يَجوزُ على حالِ ارتفاعِه لا يَجوزُ أن يَكونَ عِلّةً في أمرٍ مُستَمرٍّ لا يَجوزُ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استَقصَينا هذا المعنى في كتابِنا الشافي في الإمامة و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زمانِنا هذا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فالعقليُّ نُدرِكُه بالعقلِ، و لا يؤثِّرَ فيه وجودُ الإمامِ و لا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السمعيُّ إنّما يُدرَكُ بالنقلِ الذي في مِثلِه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حقَّ يَجِبُ علينا العِلمُ به مِن الشرعيّاتِ إلّاو عليه دليلٌ شرعيٌّ، و قد وَرَدَ النقلُ به عن النبيِّ صلّى اللّه عليه و آله أو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نُصيبُ الحقَّ بالرجوعِ إلى هذه الأدِلّةِ و النظَرِ فيها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الحاجةُ مع ذلكَ كُلِّه إلَى الإمامِ فيها ثابتةٌ؛ لأنّ الناقلينَ يَجوزُ أن يُعرِضوا عن </w:t>
      </w:r>
      <w:bookmarkStart w:id="320" w:name="pg7486_97340"/>
    </w:p>
    <w:p>
      <w:pPr>
        <w:pStyle w:val="BookText"/>
        <w:rPr/>
      </w:pPr>
      <w:bookmarkEnd w:id="320"/>
      <w:r>
        <w:rPr>
          <w:rFonts w:ascii="Amiri" w:hAnsi="Amiri" w:eastAsia="Amiri" w:cs="Amiri"/>
          <w:color w:val="111111"/>
          <w:sz w:val="28"/>
          <w:sz w:val="28"/>
          <w:szCs w:val="28"/>
          <w:rtl w:val="true"/>
          <w:lang w:bidi="ar-SA"/>
        </w:rPr>
        <w:t>النقلِ؛ إمّا لشُبهةٍ أو اعتمادٍ، فيَنقَطِعَ النقلُ، أو يَبقى فيمَن لَيسَ نَقلُه حُجّةً و لا دليلاً، فيَحتاجُ حينئذٍ المُكلَّفونَ إلى دليلٍ هو قولُ الإمامِ و بيانُه، و إنّما يَثِقُ المكلَّفونَ بما نُقِلَ إليهم، و أنّه جميعُ الشرعِ؛ لعِلمِهم بأنّ وراءَ هذا النقلِ إماماً متى اختَلَّ استَدْرَكَه و بَيَّنَ عمّا شَذَّ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 إلَى الإمامِ ثابتةٌ مع إدراكِ الحقِّ في أحوالِ الغَيبةِ مِن الأدِلّةِ الشرعيّةِ، على ما بيّنّاه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226110_1051229030"/>
      <w:bookmarkStart w:id="322" w:name="_Toc115"/>
      <w:bookmarkEnd w:id="321"/>
      <w:r>
        <w:rPr>
          <w:rtl w:val="true"/>
        </w:rPr>
        <w:t>علّةُ عدمِ كونِه عليه السلام ظاهراً لأوليائه و شيعتِه مع عدمِ خوفِه منهم</w:t>
      </w:r>
      <w:bookmarkEnd w:id="3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في استتارِ الإمامِ خوفَه مِن الظالمينَ و اتّقاءَه مِن المُعانِدينَ، فهذه العِلّةُ زائلةٌ في أوليائه و شيعتِه، فيَجِبُ أن يَكونَ ظاهراً لهم، أو يَجِبُ أن يَكونَ التكليفُ الذي أوجَبَ إمامتُه لُطفاً فيه ساقطاً عنهم؛ لأنّه لا يَجوزُ أن يُكلَّفوا ما فيه لُطفٌ ثُمَّ يُحرَموه لجِنايةِ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أصحابُنا عن هذا بأن العِلّةَ في استتارِه مِن الأعداءِ هي الخوفُ منهم و التقيّةُ، و عِلّةَ استتارِه مِن الأولياءِ لا يَمتَنِعُ أن تَكونَ لئلّا يُشيعوا خبرَه و يَتحدَّثوا عنه بما يؤدّي إلى خوفِه، و إن كانوا غيرَ قاصدينَ به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كتابِ الإمامةِ جواباً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عندَ ظهورِه مِن الغَيبةِ إنّما يُعلَمُ شخصُه و يُميَّزُ عينُه مِن جهةِ المُعجِزِ الذي يَظهَرُ على يدِه؛ لأنّ النصَّ المُتقدِّمَ مِن آبائه عليهم السلام لا يُميِّزُ شخصَه مِن غيرِه كما مَيَّزَ النصُّ أشخاصَ آبائه عليهم السلام لمّا وَقَعَ على إمامتِهم، و المُعجِزُ إنّما يُعلَمُ أنّه دَلالةٌ و حُجّةٌ بضربٍ مِن الاِستدلالِ، و الشُّبَهُ مُعتَرِضةٌ لذلكَ و داخلةٌ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على هذا أن يَكونَ كُلُّ مَن لَم يَظهَرْ له مِن أوليائه، فلأنّ المعلومَ مِن حالِه أنّه متى ظَهَرَ له قَصَّرَ في النظَرِ في مُعجِزِه، و ألحَقَ هذا التقصيرَ عند دخولِ الشُّبهةِ بمَن يُخافُ منه مِن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مُمتَنِعٍ أن يَكونَ الإمامُ يَظهَرُ لبعضِ أوليائه ممّن لا يَخشى من جهتِه شَيئاً مِن أسبابِ الخوفِ؛ فإنّ هذا ممّا لا يُمكِنُ القَطعُ علَى ارتفاعِه و امتناعِه، و إنّما يَعلَمُ كُلُّ واحدٍ مِن شيعتِه حالَ نفسِه، و لا سَبيلَ له إلَى العِلمِ بحالِ غيرِه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لَو لا أنّ استقصاءَ الكلامِ في مَسائلِ الغَيبةِ يَطولُ و يَخرُجُ عن الغرضِ بهذا الكتابِ لَأشبَعناه هاهنا، و قد أورَدنا منه الكثيرَ في كتابِنا في الإمامةِ، و لَعلَّنا نَستَقصي الكلامَ فيه و نأتي على ما لَعلَّه لَم نورِدْه في كتابِ الإمامةِ في مَوضِعٍ نُفرِدُه له، إن أخَّرَ اللّهُ تَعالى في المُدّةِ، و تَفضَّلَ بالتأييدِ و المَعونةِ؛ فهو المسئولُ ذلكَ، و المأمولُ لكُلِّ فَضلٍ و خَيرٍ؛ قُرباً مِن ثوابِه، و بُعداً مِن عِقابِه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و الحمدُ للّهِ ربِّ العالَمينَ، و صَلَواتُه على خِيَرَتِه مِن خَلقِه</w:t>
      </w:r>
      <w:r>
        <w:rPr>
          <w:rFonts w:eastAsia="Amiri" w:cs="Amiri" w:ascii="Amiri" w:hAnsi="Amiri"/>
          <w:color w:val="111111"/>
          <w:sz w:val="28"/>
          <w:szCs w:val="28"/>
          <w:rtl w:val="true"/>
          <w:lang w:bidi="ar-SA"/>
        </w:rPr>
        <w:t>.</w:t>
      </w:r>
      <w:r>
        <w:rPr>
          <w:rStyle w:val="FootnoteAnchor"/>
        </w:rPr>
        <w:footnoteReference w:id="65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7486_97346"/>
      <w:bookmarkStart w:id="324" w:name="pg7486_97346"/>
      <w:bookmarkEnd w:id="324"/>
    </w:p>
    <w:p>
      <w:pPr>
        <w:pStyle w:val="Heading3"/>
        <w:numPr>
          <w:ilvl w:val="2"/>
          <w:numId w:val="1"/>
        </w:numPr>
        <w:rPr/>
      </w:pPr>
      <w:bookmarkStart w:id="325" w:name="pg7486_97346"/>
      <w:bookmarkStart w:id="326" w:name="__RefHeading___Toc2226112_1051229030"/>
      <w:bookmarkStart w:id="327" w:name="_Toc116"/>
      <w:bookmarkEnd w:id="325"/>
      <w:bookmarkEnd w:id="326"/>
      <w:r>
        <w:rPr/>
        <w:t>4</w:t>
      </w:r>
      <w:r>
        <w:rPr>
          <w:rtl w:val="true"/>
        </w:rPr>
        <w:t xml:space="preserve"> - </w:t>
      </w:r>
      <w:r>
        <w:rPr>
          <w:rtl w:val="true"/>
        </w:rPr>
        <w:t xml:space="preserve">ما ذكره في رسالة </w:t>
      </w:r>
      <w:r>
        <w:rPr>
          <w:rtl w:val="true"/>
        </w:rPr>
        <w:t>«</w:t>
      </w:r>
      <w:r>
        <w:rPr>
          <w:rtl w:val="true"/>
        </w:rPr>
        <w:t>جواب المسائل التبّانيّات</w:t>
      </w:r>
      <w:r>
        <w:rPr>
          <w:rtl w:val="true"/>
        </w:rPr>
        <w:t>»</w:t>
      </w:r>
      <w:bookmarkEnd w:id="327"/>
    </w:p>
    <w:p>
      <w:pPr>
        <w:pStyle w:val="Heading4"/>
        <w:numPr>
          <w:ilvl w:val="3"/>
          <w:numId w:val="1"/>
        </w:numPr>
        <w:rPr/>
      </w:pPr>
      <w:bookmarkStart w:id="328" w:name="__RefHeading___Toc2226114_1051229030"/>
      <w:bookmarkStart w:id="329" w:name="_Toc117"/>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قد تعرّض الشريف المرتضى في موضعين من هذه الرسالة لهذا المقال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2226116_1051229030"/>
      <w:bookmarkStart w:id="331" w:name="_Toc118"/>
      <w:bookmarkEnd w:id="330"/>
      <w:r>
        <w:rPr>
          <w:rtl w:val="true"/>
        </w:rPr>
        <w:t>ألف</w:t>
      </w:r>
      <w:r>
        <w:rPr>
          <w:rtl w:val="true"/>
        </w:rPr>
        <w:t xml:space="preserve">: </w:t>
      </w:r>
      <w:r>
        <w:rPr>
          <w:rtl w:val="true"/>
        </w:rPr>
        <w:t>كلامه في أنّ الإمام عليه السلام داخل في الإجماع</w:t>
      </w:r>
      <w:r>
        <w:rPr>
          <w:rtl w:val="true"/>
        </w:rPr>
        <w:t>:</w:t>
      </w:r>
      <w:bookmarkEnd w:id="331"/>
    </w:p>
    <w:p>
      <w:pPr>
        <w:pStyle w:val="BookText"/>
        <w:rPr/>
      </w:pPr>
      <w:r>
        <w:rPr>
          <w:rFonts w:ascii="Amiri" w:hAnsi="Amiri" w:eastAsia="Amiri" w:cs="Amiri"/>
          <w:color w:val="111111"/>
          <w:sz w:val="28"/>
          <w:sz w:val="28"/>
          <w:szCs w:val="28"/>
          <w:rtl w:val="true"/>
          <w:lang w:bidi="ar-SA"/>
        </w:rPr>
        <w:t>و هاهُنا طريقٌ أُخرى تَجري في وقوعِ العِلمِ مَجرَى التواتُرِ و المُشافَهةِ؛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تمييزِ عَينِ الإمامِ و انفرادِ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جماعةٍ على بعضِ الأقوالِ، يَثِقُ بأنّ قولَه داخلٌ في جُملةِ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أيضاً لا يَخرُجُ عن المُشافَهةِ أو التواتُرِ؛ لأنّ إمامَ العَصرِ إذا كانَ موجوداً، فإمّا أن يُعرَفَ مذهبُه و أقوالُه مُشافَهةً و سَماعاً منه، أو بالتواتُرِ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ما تَضمَّنَه السؤالُ، غيرَ أنّ الرسولَ أو الإمامَ إذا كانَ مُتميِّزاً مُتعيِّناً، عُلِمَت مذاهبُه و أقوالُه بالمُشافَهةِ له و بالتواتُرِ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مُستَتِراً غيرَ مُتميِّزِ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مقطوعاً على وجودِه و اختلاطِه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أقوالُه بإجماعِ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نَقطَعُ على أنّ قولَه في جُملةِ أقوالِهم، و إن كانَ العِلمُ بذلكَ مِن أحوالِه لا يَعدو إمّا المُشافَهةَ أو التواتُرَ؛ و إنّما تَختَلِفُ الحالانِ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بالتمييزِ و التعيينِ في حالٍ، و فَقدِهما في أُخرى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يَصِحُّ العِلمُ بقَولِ الإمامِ، إذا لَم يَكُن مُتعيِّناً مُتميِّزاً؟ و كَيفَ يُمكِنُ أن يُحتَّجَّ بإجماعِ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قولَه داخلٌ في جُملةِ أقوالِهم؟ </w:t>
      </w:r>
    </w:p>
    <w:p>
      <w:pPr>
        <w:pStyle w:val="BookText"/>
        <w:rPr/>
      </w:pPr>
      <w:r>
        <w:rPr>
          <w:rFonts w:ascii="Amiri" w:hAnsi="Amiri" w:eastAsia="Amiri" w:cs="Amiri"/>
          <w:color w:val="111111"/>
          <w:sz w:val="28"/>
          <w:sz w:val="28"/>
          <w:szCs w:val="28"/>
          <w:rtl w:val="true"/>
          <w:lang w:bidi="ar-SA"/>
        </w:rPr>
        <w:t xml:space="preserve">أوَ لَيسَ هذا يَقتَضي أن تَكونوا قد عَرَفتم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سَهلٍ و جَبَلٍ و بَرٍّ و بَحرٍ، و حَزنٍ و وَعرٍ، و لَقيتُموه حتّى عَرَفتم أقوالَه و مذاهبَه، أو أخبَرتم بالتواتُرِ عن ذلكَ؟ و معلومٌ لكُلِّ عاقلٍ استحالةُ هذا و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يُمكِنُكم أن تَجعَلوا إجماعَ مَن عَرَفتموه مِن الطائفةِ المُحقّةِ هو الحُجّةَ؛ لأنّكم لا تأمَنونَ أن يَكونَ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الحُجّةَ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معروفةٌ مشهورةٌ، و هي التي عَوَّلَ عليها و اعتَمَدَها مَن قَدَحَ في الإجماعِ؛ مِن جهةِ أنّه لا يُمكِنُ معرفةُ حصولِه و اتّفاقِ الأقوالِ كُلِّها علَى المذهبِ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 سَهلٌ واضحٌ؛ 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دفعُ حصولِ العِلمِ الذي لا ريبَ فيه و لا شَكَّ، لفَقدِ العِلمِ بطريقِه على سَبيلِ التفصيلِ؛ فإنّ كثيراً مِن العلومِ قد تَحصُلُ مِن غيرِ أن تَتفصَّلَ العالِم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العِلمَ بالبُلدانِ و الأمصارِ و الحَوادثِ الكِبارِ و المُلوكِ العِظامِ يَحصُلُ لكُلِّ عاقلٍ مُخالِطٍ للناسِ، حتّى لا يُعارِضَه شَكٌّ فيه؛ و لَو طالَبتَه بطريقِ ذلكَ على سَبيلِ التفصيلِ لَتعذَّرَ عليه ذِكرُه و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لِمَن عَرَفَ البصرةَ و الكوفةَ و هو لَم يُشاهِدْهما، و قَطَعَ على بَدرٍ و حُنَينٍ و الجَمَلِ و صِفّينَ و ما أشبَهَ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 إلى مَن خَبَّرَكَ بهذا، و عَيِّنْ مَن أَنبأَكَ به، و كَيفَ حَصَلَ لكَ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عليه تفصيلُ ذلكَ و تمييزُه، و لَم يَقدَحْ تَعذُّرُ التمييزِ و التفصيلِ عليه في عِلمِه بما ذَكرناه؛ و إن كانَ عندَ التأمُّلِ يَعلَمُ علَى الجُملةِ أنّه عَلِمَ ذلكَ بالأخبارِ، و إن لَم يَتفصَّلْ له كُلُّ مُخبِرٍ علَى التعيينِ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مَذاهبُ الأُمّةِ 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العهدِ، و تَداوُلِ الأيّامِ، و كثرةِ الخَوضِ و البَلوى، و تَوفُّرِ الدَّواعي و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عن المعلومِ منها نقطَعُ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مَذهباً لها، و لا قولٌ مِن أقوالِها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إذا كانَت مَذاهبُ فِرَقِ الأُمّةِ علَى اختلافِها مُستَمِرّةً 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الأزمانِ، و تَردُّدِ الخِلافِ، و وقوعِ التناظُرِ و التجادُلِ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العِلمُ بإجماعِ كُلِّ فِرقةٍ على مَذاهبِها المعروفةِ المألوفةِ و تَميُّزِه ممّا بايَنَه و خالَفَه، مَجرَى العِلمِ بمذاهبِ جميعِ الأُمّةِ و ما وافَقَه و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الذي يَشُكُّ في أنّ تحريمَ الخمرِ و لحمِ الخنزيرِ و الربا لَيسَ مِن مَذهبِ أحَدِ المُسلِمينَ، و إن كُنّا لَم نَلقَ كُلَّ مُسلِمٍ في البَرِّ و البَحرِ و السَّهلِ و الوَعرِ</w:t>
      </w:r>
      <w:r>
        <w:rPr>
          <w:rStyle w:val="FootnoteAnchor"/>
          <w:rtl w:val="true"/>
        </w:rPr>
        <w:footnoteReference w:id="6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 عاقلٍ مِن أهلِ العِلمِ يَرتابُ في أنّ أحَداً مِن الأُمّةِ لَم يَذهَبْ في الجَدِّ و الأخِ إذا انفَرَدا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للأخِ دونَ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الإخوةَ مع الأُمِّ يَرِثونَ مع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أقوالُ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اتِّساعِها و انتشارِها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تَنضَبِطُ لنا، حتّى لا نَشُكُّ فيما دَخَلَ فيها و ما خَرَجَ عنها؛ فكَيفَ يُستَبعَدُ انحصارُ أقوالِ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نَذكُرُ أنّ قولَ الحُجّةِ فيهم، و مِن جُملةِ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أقَلُّ عَدَداً و أقرَبُ انحصاراً؟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لَيسَ أقوالُ أبي حَنيفةَ و أصحابِه و الشافعيِّ و المُختَلِفِ مِن أقوالِه قد انحَصَرَت؛ حتّى لا يُمكِنُ أحَدًا أن يَدَّعيَ أنّ حَنَفيّاً أو شافعيّاً يَذهَبُ إلى خِلافِ ما عُرِفَ و ظَهَرَ و سُطِرَ؛ و إن لَم تُجْبَ البِحارُ و تُحَلَّ الأَمصارُ و تُشافَهَ كُلُّ حَنَفيٍّ و شافعيٍّ؛ فما المُنكَرُ مِن مِثلِ ذلكَ في أقوالِ الشيعةِ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أظهَرَ مُظهِرٌ الشكَّ في جميعِ ما ذَكَرنا منه القَليلَ، و هو الكَثيرُ الغَزيرُ</w:t>
      </w:r>
      <w:r>
        <w:rPr>
          <w:rStyle w:val="FootnoteAnchor"/>
          <w:rtl w:val="true"/>
        </w:rPr>
        <w:footnoteReference w:id="65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لا أقطَعُ على شَيءٍ ممّا ذَكَرتم أنّه مقطوعٌ عليه؛ لِفَقدِ طريقِ العِلمِ؛ الذي هو المُشاهَدةُ أو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بالسُّمَنيّةِ‌</w:t>
      </w:r>
      <w:r>
        <w:rPr>
          <w:rStyle w:val="FootnoteAnchor"/>
          <w:rtl w:val="true"/>
        </w:rPr>
        <w:footnoteReference w:id="658"/>
      </w:r>
      <w:r>
        <w:rPr>
          <w:rFonts w:ascii="Amiri" w:hAnsi="Amiri" w:eastAsia="Amiri" w:cs="Amiri"/>
          <w:color w:val="111111"/>
          <w:sz w:val="28"/>
          <w:sz w:val="28"/>
          <w:szCs w:val="28"/>
          <w:rtl w:val="true"/>
          <w:lang w:bidi="ar-SA"/>
        </w:rPr>
        <w:t>جاحِدي الأخبارِ، و قَرُبَ مِن السُّوفِسْطائيّةِ مُنكِري المُشاهَداتِ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البَتّةَ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تجويزِ مَذهبٍ للأُمّةِ لَم نَعرِفْه و لَم نألَفْه و لَم يُنقَلْ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البحثِ و استمرارِ الخَوضِ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تجويزِ بَلَدٍ عَظيمٍ في أقرَبِ المَواضِعِ مِنّا لَم يُنقَلْ خبرُه إلينا، و حادثةٍ عظيمةٍ لَم نُحِطْ بها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لِمَن تَعلَّقَ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تَدفَعُ العِلمَ عن نفسِكَ و السكونَ إلى ما ذَكرناه، فأنتَ مُكابِرٌ؛ كالسُّمَنيّةِ و السُّوفِسْطائيّةِ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العِلمِ مفقودٌ؛ لأنّه المُشاهَدةُ و التواتُرُ، و قد ارتَفَعا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 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قد يَتعذَّرُ مع حُصولِ العِلمِ، و التواتُرُ و المُشاهَدةُ في الجُملةِ طريقٌ إلى كُلِّ ما ذَكرناه؛ غيرَ أنّه رُبَّما تَجلّى و تَعيَّنَ، و رُبَّما التَبَسَ و 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يَلتَبِسَ الطريقُ و يَتعذَّرَ تفصيلُه إلّاعندَ قُوّةِ العِلمِ و امتناعِ دَفعِه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العالِمَ بالبُلدانِ و الحوادثِ الكِبارِ علَى الوجهِ القويِّ الجَليِّ،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و مَن خَبَّرَكَ و نَقَلَ إليكَ؟ لَتعذَّرَ عليه الإشارةُ إلَى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هكذا مَن عَلِمَ شَيئاً بنَقلٍ خاصٍّ مُتعيِّنٍ؛ لأنّه يَتمكَّنُ متى سُئلَ عن طريقِ عِلمِه أن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 تَعذُّرُ التفصيلِ للطريقِ عَلَماً على قُوّةِ العِلمِ و شِدّةِ اليَقينِ، فلهذا استُغنيَ عن تفصيلِ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يُحتاجُ إلى تعيينِ الطريقِ فيما لَم يَستَو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بالطريقِ المعلومِ؛ فأمّا ما يَستَوفيهِ قُوّةُ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بوضوحِه و تَجلّيهِ و ارتفاعِ الريبِ و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حاجةٍ إلَى العِلمِ بتعيينِ طريقِه؟</w:t>
      </w:r>
    </w:p>
    <w:p>
      <w:pPr>
        <w:pStyle w:val="BookText"/>
        <w:rPr/>
      </w:pPr>
      <w:r>
        <w:rPr>
          <w:rFonts w:ascii="Amiri" w:hAnsi="Amiri" w:eastAsia="Amiri" w:cs="Amiri"/>
          <w:color w:val="111111"/>
          <w:sz w:val="28"/>
          <w:sz w:val="28"/>
          <w:szCs w:val="28"/>
          <w:rtl w:val="true"/>
          <w:lang w:bidi="ar-SA"/>
        </w:rPr>
        <w:t>و بَعدُ، فالإجماعُ الموثوقُ به في الفِرقةِ المُحِقّةِ هو إجماعُ الخاصّةِ دونَ العامّةِ، و العلماءِ دونَ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الحَصرَ أقرَبُ إلى ما ذَكرناه؛ ألا تَرى أنّ علماءَ أهلِ كُلِّ نِحلةٍ و مِلّةٍ في العلومِ و الآدابِ معروفونَ محصورونَ مُتميِّزونَ؟</w:t>
      </w:r>
    </w:p>
    <w:p>
      <w:pPr>
        <w:pStyle w:val="BookText"/>
        <w:rPr/>
      </w:pPr>
      <w:r>
        <w:rPr>
          <w:rFonts w:ascii="Amiri" w:hAnsi="Amiri" w:eastAsia="Amiri" w:cs="Amiri"/>
          <w:color w:val="111111"/>
          <w:sz w:val="28"/>
          <w:sz w:val="28"/>
          <w:szCs w:val="28"/>
          <w:rtl w:val="true"/>
          <w:lang w:bidi="ar-SA"/>
        </w:rPr>
        <w:t>و إذا كانَت أقوالُ العلماءِ في كُلِّ مَذهبٍ مضبوطةً، و الإمامُ لا يَكونُ إلّاسيّدَ العلماءِ و أوحَدَهم، فلا بُدَّ مِن دخولِه في جُملتِهم، و القَطعِ على أنّ قولَه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الطاعنُ علَى الطريقةِ التي ذَكرناها بأنّا لَم نَلقَ كُلَّ إماميٍّ و لا عَرَفناه، إلّا كالطاعنِ في إجماعِ النحويّينَ و اللُّغَويّينَ على ما أجمَعوا عليه في لُغاتِهم و طُرُقِهم، بأنّا لَم نَلقَ كُلَّ نحويٍّ و لُغويٍّ في الأقطارِ و الأمصارِ، و يَلزَمُنا الشكُّ في قولٍ زائدٍ على ما عَرَفناه مِن أقوالِهم المسطورةِ المشهورةِ؟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إلّاأن تَدُلّوا على أنّ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تميُّزِه و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أقوالِ الشيعةِ الإماميّةِ خاصّةً دونَ سائرِ الفِرَقِ؛ حتّى تَقَعَ الثقةُ بما يُجمِعونَ عليه و يَذهَبون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أن يَكونَ قولُه موجودًا في جُملةِ أقوالِ الأُمّةِ، مِن غيرِ أن تَتعيَّنَ لنا الفِرقةُ التي قولُه فيها و لا يَخرُجُ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الدليلُ القاهرُ على أنّ الحَقَّ في قولِ هذه الفِرقةِ دونَ غيرِها، فلا بُدَّ مِن أن يَكونَ الإمامُ الذي نَثِقُ بأنّه لا يُفارِقُ الحَقَّ و لا يَعتَمِدُ سِواه، مَذهبُه مَذهبُ هذه الفِرقةِ؛ إذ لا حَقَّ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غَيبتِه عليه السلامُ و تَعذُّرِ تَميُّزِه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مَذهبَه مَذهبُ أهلِ العَدلِ و التوحيدِ، ثُمَّ مَذهبُ أهلِ الإسلامِ مِن جُملتِهم؛ مِن حَيثُ عَلِمنا أنّ هذه المذاهبَ هي التي دَلَّ الدليلُ على صوابِها و فَسادِ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فَرَضنا أنّ الإمامَ إماميُّ المَذهبِ،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 مخصوصٍ أنّ كُلَّ إماميٍّ عليه، و زالَ الريبُ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أنّ إجماعَ الإماميّةِ على قولٍ أو مَذهبٍ لا يَكونُ إلّاحَقّاً؛ لأنّهم لا يُجمِعونَ إلّاو قولُ الإمامِ داخلٌ في جُملةِ أقوالِهم، كما أنّهم لا يُجمِعونَ إلّاو قولُ كُلِّ عالِمٍ منهم داخلٌ في جُملةِ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السائلُ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مُوافِقاً للإماميّةِ في مَذاهبِها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w:t>
      </w:r>
      <w:r>
        <w:rPr>
          <w:rStyle w:val="FootnoteAnchor"/>
          <w:rtl w:val="true"/>
        </w:rPr>
        <w:footnoteReference w:id="659"/>
      </w:r>
      <w:r>
        <w:rPr>
          <w:rFonts w:ascii="Amiri" w:hAnsi="Amiri" w:eastAsia="Amiri" w:cs="Amiri"/>
          <w:color w:val="111111"/>
          <w:sz w:val="28"/>
          <w:sz w:val="28"/>
          <w:szCs w:val="28"/>
          <w:rtl w:val="true"/>
          <w:lang w:bidi="ar-SA"/>
        </w:rPr>
        <w:t>تَعرِفوه و لَم تَسمَعوا به؛ لأنّكم ما لَقيتُموه و لا تَواتَرَ عنه الخبرُ علَى التمييزِ 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الطعنِ في كُلِّ إجماعٍ، و تشكيكٌ في الثقةِ بإجماعِ كُلِّ فِرقةٍ على مَذهبٍ مخصوصٍ؛ و لَيسَ بطَعنٍ يَختَصُّ ما نحنُ بسَبيلِه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قد تَقدَّمَ مُستَقصًى، و أوضَحنا أنّ التشكيكَ في ذلكَ دَفعٌ للضروريّاتِ و لُحوقٌ بأهلِ الجَهالاتِ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قد قَدَّمنا ما أرَدنا تقديمَه ممّا هو جوابٌ عندَ التأمُّلِ عن جميعِ ما تَضمَّنَه الفَصلُ الأوّلُ، فنحنُ نُشيرُ إلَى المَواضعِ التي يَجِبُ الإشارةُ إليها، و التنبيهُ علَى الصوابِ فيها مِن جُملةِ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مَضى في الفَصلِ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طَعَنتم على طُرُقِ مُخالِفيكم التي يَتوصَّلونَ بها إلَى الأحكامِ الشرعيّةِ، لا بُدَّ مِن ذِكرِ طريقٍ لا يَلحَقُه تلكَ الطعونُ، توضِحونَ أنّه موصِلٌ إلَى العِلمِ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إنّه لا بُدَّ مِن ذلكَ؛ و قد بيّنّا فيما قَدَّمناه كَيفَ الطريقُ إلَى العِلمِ بالأحكامِ، و شَرَحناه، و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رجوعُنا إلى عملِ الطائفةِ و إجماعِها في ترجيحِ أحَدِ الخبرَينِ المَرويَّينِ على صاحبِه أمراً يَختَصُّ هذا المَوضِعَ حتّى يَظُنَّ ظانٌّ أنّ الرجوعَ إلى إجماعِ الطائفةِ إنّما هو في هذا الضربِ مِن الترجيحِ؛ بَل نَرجِعُ إلى إجماعِهم في كُلِّ حُكمٍ لَم نَستَفِدْه بظاهرِ الكتابِ، و لا بالنقلِ المُتَواتِرِ الموجِبِ للعِلمِ عن الرسولِ أو الإمامِ عليهما السلامُ؛ سَواءٌ وَرَدَ بذلكَ خبرٌ مُعيَّنٌ، أو لَم يَرِدْ؛ و سَواءٌ تَقابَلَت فيه الرواياتُ، أو لَم تَتقابَلْ؛ لأنّ العملَ بخبرِ الواحدِ المُتجرِّدِ لَيسَ بحُجّةٍ عندَهم على وجهٍ مِن الوجوهِ؛ انفَرَدَ مِن مُعارِضٍ، أو قابَلَه غيرُه على سَبيلِ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مضى في الفَصلِ مِن ذِكرِ طَوفِ المَشارقِ و المَغاربِ و السُّهولِ و الوُعورِ، و أنّ ذلكَ إذا تَعذَّرَ لَم يَقَعِ الثقةُ بعمومِ المَذهبِ لكُلِّ واحدٍ مِن الفِرقةِ؛</w:t>
      </w:r>
    </w:p>
    <w:p>
      <w:pPr>
        <w:pStyle w:val="BookText"/>
        <w:rPr/>
      </w:pPr>
      <w:r>
        <w:rPr>
          <w:rFonts w:ascii="Amiri" w:hAnsi="Amiri" w:eastAsia="Amiri" w:cs="Amiri"/>
          <w:color w:val="111111"/>
          <w:sz w:val="28"/>
          <w:sz w:val="28"/>
          <w:szCs w:val="28"/>
          <w:rtl w:val="true"/>
          <w:lang w:bidi="ar-SA"/>
        </w:rPr>
        <w:t>فقَد مضَى الجوابُ عنه مُستَوفًى مُستَقصًى؛ و بيّنّا أنّ العِلمَ بذلكَ حاصلٌ ثابتٌ بالمُشافَهةِ و التواتُرِ، و إن لَم نَجُبِ البلادَ و نَعرِفْ كُلَّ ساكنٍ لها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التقسيمُ الذي ذُكِرَ؛ أنّه لا يَخلو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كُلَّ مُتديِّنٍ بالإمامةِ و مُعتَقِدٍ لها، أو يُريدَ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تعاطي إفسادِ القِسمِ الأوّلِ بما تَقدَّمَ </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علَى الثاني بالمطالَبةِ بالدليلِ المُميِّزِ لذلكَ البعضِ مِن غيرِهم، و الحُجّةِ الموجِبةِ لكَونِ الحقِّ فيه، ثُمّ بإقامةِ الدَّلالةِ على أنّ قولَ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الحُجّةُ علَى الحقيقةِ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أقوالِ ذلكَ البعضِ دونَ ما عَداهم مِن أهلِ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مُستَفادٌ ممّا</w:t>
      </w:r>
      <w:r>
        <w:rPr>
          <w:rStyle w:val="FootnoteAnchor"/>
          <w:rtl w:val="true"/>
        </w:rPr>
        <w:footnoteReference w:id="660"/>
      </w:r>
      <w:r>
        <w:rPr>
          <w:rFonts w:ascii="Amiri" w:hAnsi="Amiri" w:eastAsia="Amiri" w:cs="Amiri"/>
          <w:color w:val="111111"/>
          <w:sz w:val="28"/>
          <w:sz w:val="28"/>
          <w:szCs w:val="28"/>
          <w:rtl w:val="true"/>
          <w:lang w:bidi="ar-SA"/>
        </w:rPr>
        <w:t>تَقدَّمَ بيانُه و إيرادُنا له، غيرَ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المُشارُ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نَقطَعُ على أنّ الحُجّةَ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إجماعِ العامّةِ و الخاصّةِ و العلماءِ و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المُشارُ بذلكَ إلى إجماعِ العلماءِ الذينَ لهم في الأحكامِ الشرعيّةِ أقوالٌ مضبوطةٌ معروفةٌ، فأمّا مَن لا قولَ له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لا يَخطُرُ ببالِه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إجماعٍ له يَعتَبِرُ؟</w:t>
      </w:r>
    </w:p>
    <w:p>
      <w:pPr>
        <w:pStyle w:val="BookText"/>
        <w:rPr/>
      </w:pPr>
      <w:r>
        <w:rPr>
          <w:rFonts w:ascii="Amiri" w:hAnsi="Amiri" w:eastAsia="Amiri" w:cs="Amiri"/>
          <w:color w:val="111111"/>
          <w:sz w:val="28"/>
          <w:sz w:val="28"/>
          <w:szCs w:val="28"/>
          <w:rtl w:val="true"/>
          <w:lang w:bidi="ar-SA"/>
        </w:rPr>
        <w:t>فأمّا الدليلُ على أنّ قولَ الإمامِ في هذا البعضِ الذي عيّنّاه دونَ غيرِه؛ فواضحٌ؛ لأنّه إذا كانَ الإمامُ عليه السلامُ أحَدَ العلماءِ بل سيّدَهم، فقَولُه في جملةِ أقوالِ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عَلِمنا في قولٍ مِن الأقوالِ أنّه مَذهبٌ لكُلِّ عالِمٍ مِن الإماميّةِ، فلا بُدَّ مِن أن يَكونَ الإمامُ عليه السلامُ داخلاً في هذه الجُملةِ، كما لا بُدَّ مِن أن يَكونَ كُلُّ عالِمٍ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الجُملةِ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للخبرِ، لا يَخلو مِن أن يُعتَبَرَ فيه العِلمُ بعملِ المعصومِ في جُملةِ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فالكلامُ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المعصومِ هو الحُجّةُ، دونَ عملِ‌ر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ممّن انضَمَّ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حُجّةَ في عملِ الجماعةِ التي لا يُعلَمُ دخولُ المعصومِ فيها، و لا هو أيضاً إذا خَرَجَ المعصومُ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جميعِ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انفَرَدَ لنا عملُ المعصومِ و تَميَّزَ، لَما احتَجنا إلى سِواه، و إنّما راعَينا عندَ فَقدِ التمييزِ دخولَه في جُملةِ غيرِه؛ لنَثِقَ بأنّ قولَه في جُملةِ 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عملُه مُستَقِّلاً بنفسِه في كَونِه حُجّةً و دَلالةً، فلا اعتبارَ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ما اعتَبَرنا غيرَه إلّاعلى وجهٍ مخصوصٍ، و هو حالُ الالتباسِ، و ما كانَ اعتبارُنا لغَيرِه إلّاتَوصُّلاً إليه، و لنَثِقَ لأجلِه بما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المعصومِ، فلا شُبهةَ في أنّها لا تَدُلُّ على صدقِ الراوي فيما رَواه، و مَن هذا الذي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دليلاً على صدقِ الراوي؟</w:t>
      </w:r>
    </w:p>
    <w:p>
      <w:pPr>
        <w:pStyle w:val="BookText"/>
        <w:rPr/>
      </w:pPr>
      <w:r>
        <w:rPr>
          <w:rFonts w:ascii="Amiri" w:hAnsi="Amiri" w:eastAsia="Amiri" w:cs="Amiri"/>
          <w:color w:val="111111"/>
          <w:sz w:val="28"/>
          <w:sz w:val="28"/>
          <w:szCs w:val="28"/>
          <w:rtl w:val="true"/>
          <w:lang w:bidi="ar-SA"/>
        </w:rPr>
        <w:t>و الذي يَجِبُ تحصيلُه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الفِرقةَ المُحِقّةَ إذا عَمِلَت بحُكمٍ مِن الأحكامِ أو ذَهَبَت إلى مَذهبٍ مِن المَذاهبِ، و وَجَدنا روايتَه مُطابِقةً لهذا العملِ، لا نَحكُمُ بصحّتِها و نَقطَعُ على صدقِ رُواتِها؛ لكِنّا نَقطَعُ على وجوبِ العملِ بذلكَ الحُكمِ المُطابِقِ للروايةِ؛ لا لأجلِ الروايةِ، لكِنْ بعملِ المعصومِ، الذي قَطَعنا على دخولِه في جُملةِ عملِ القائلينَ بذلكَ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تُجمِعَ الفِرقةُ المُحِقّةُ على صحّةِ خبرٍ مخصوصٍ و صدقِ راويه، فيُحكَمُ حينَئذٍ بذلكَ مُضافاً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تُجمِعُ الفِرقةُ المُحِقّةُ على صدقِ بعضٍ أخبارِ الآحادِ؟ و أيُّ طريقٍ لها إلى ذلكَ؟</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عَرَفَت ذلكَ بأمارةٍ أو علامةٍ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مِن طريقِ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أيضاً أن يَكونوا عَرَفوا في راوٍ بعَينِه صِدقَه على سَبيلِ </w:t>
      </w:r>
      <w:bookmarkStart w:id="332" w:name="pg7486_97364"/>
    </w:p>
    <w:p>
      <w:pPr>
        <w:pStyle w:val="BookText"/>
        <w:rPr/>
      </w:pPr>
      <w:bookmarkEnd w:id="332"/>
      <w:r>
        <w:rPr>
          <w:rFonts w:ascii="Amiri" w:hAnsi="Amiri" w:eastAsia="Amiri" w:cs="Amiri"/>
          <w:color w:val="111111"/>
          <w:sz w:val="28"/>
          <w:sz w:val="28"/>
          <w:szCs w:val="28"/>
          <w:rtl w:val="true"/>
          <w:lang w:bidi="ar-SA"/>
        </w:rPr>
        <w:t>التمييزِ و التعيينِ؛ لأنّ هؤلاءِ المُجمِعينَ مِن الفِرقةِ المُحِقّةِ قد كانَ لهُم سَلَفٌ قَبلَ سَلَفٍ يَلقَونَ الأئمّةَ الذينَ كانوا في أعصارِهم عليهم السلام و هُم ظاهرونَ بارزونَ؛ تُسمَعُ أقوالُهم، و يُرجَعُ إليهم في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المعصومَ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فإذا أجمَعوا على شَيءٍ قَطَعنا على صحّتِه، و لَيسَ علينا أن نَعلَمَ دليلَهم الذي أجمَعوا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بعَينِه؟ فإنّ ذلكَ عنّا موضوعٌ؛ لأنّ حُجّتَنا التي عليها نَعتَمِدُ هي إجماعُهم، لا ما لأجلِه كانَ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مُخالِفونا في مسألةِ الإمامةِ بمِثلِ هذا الجوابِ يُجيبونَ إذا سُئلوا عن عِلَلِ الإجماعِ و طُرُقِه و أولويّتِه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خبرَينِ واردَينِ مِن طُرُقِ الآحادِ تَعارَضا و تَنافيَا، و لَم تَعمَلِ الفِرقةُ المُحِقّةُ بما يُطابِقُ فائدةَ أحَدِهما، و لا أجمَعوا في واحدٍ منهما على صحّةٍ و لا فَسادٍ؟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نَعمَلُ بشَيءٍ مِن هذَينِ الخبرَينِ، بَل يَكونانِ عندَنا مُطَّرَحَينِ 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نَكونُ على ما تَقتَضيهِ الأدلّةُ الشرعيّةُ في تلكَ الأحكامِ التي تَضَمَّنَتها الأخبارُ الواردةُ مِن طريقِ الآحادِ؛ و إن لَم يَكُن لنا دليلٌ شرعيٌّ في ذلكَ، استَمرَرنا على ما يَقتَضيهِ العقلُ</w:t>
      </w:r>
      <w:r>
        <w:rPr>
          <w:rFonts w:eastAsia="Amiri" w:cs="Amiri" w:ascii="Amiri" w:hAnsi="Amiri"/>
          <w:color w:val="111111"/>
          <w:sz w:val="28"/>
          <w:szCs w:val="28"/>
          <w:rtl w:val="true"/>
          <w:lang w:bidi="ar-SA"/>
        </w:rPr>
        <w:t>.</w:t>
      </w:r>
      <w:r>
        <w:rPr>
          <w:rStyle w:val="FootnoteAnchor"/>
          <w:rtl w:val="true"/>
        </w:rPr>
        <w:footnoteReference w:id="662"/>
      </w:r>
    </w:p>
    <w:p>
      <w:pPr>
        <w:pStyle w:val="Heading4"/>
        <w:numPr>
          <w:ilvl w:val="3"/>
          <w:numId w:val="1"/>
        </w:numPr>
        <w:rPr/>
      </w:pPr>
      <w:bookmarkStart w:id="333" w:name="__RefHeading___Toc2226118_1051229030"/>
      <w:bookmarkStart w:id="334" w:name="_Toc119"/>
      <w:bookmarkEnd w:id="333"/>
      <w:r>
        <w:rPr>
          <w:rtl w:val="true"/>
        </w:rPr>
        <w:t>ب</w:t>
      </w:r>
      <w:r>
        <w:rPr>
          <w:rtl w:val="true"/>
        </w:rPr>
        <w:t xml:space="preserve">: </w:t>
      </w:r>
      <w:r>
        <w:rPr>
          <w:rtl w:val="true"/>
        </w:rPr>
        <w:t>كلامه في فلسفة الغيبة و حفظ الشريعة بوجود الإمام عليه السلام</w:t>
      </w:r>
      <w:r>
        <w:rPr>
          <w:rtl w:val="true"/>
        </w:rPr>
        <w:t>:</w:t>
      </w:r>
      <w:bookmarkEnd w:id="33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التقريرِ الذي أَوضَحناه 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يوصِلُ إلَى العِلمِ بصِدقِ الرسولِ في دَعواه إلّابأقصَرِ الطرُقِ و أخصَرِها، و أنّه إذا كانَ للعِلمِ بصِدقِه </w:t>
      </w:r>
    </w:p>
    <w:p>
      <w:pPr>
        <w:pStyle w:val="BookText"/>
        <w:rPr/>
      </w:pPr>
      <w:r>
        <w:rPr>
          <w:rFonts w:ascii="Amiri" w:hAnsi="Amiri" w:eastAsia="Amiri" w:cs="Amiri"/>
          <w:color w:val="111111"/>
          <w:sz w:val="28"/>
          <w:sz w:val="28"/>
          <w:szCs w:val="28"/>
          <w:rtl w:val="true"/>
          <w:lang w:bidi="ar-SA"/>
        </w:rPr>
        <w:t>طريقانِ، أحَدُهما أبعَدُ مِن الآخَرِ، دَلَّ بالأقرَبِ دونَ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على يَدِه إلّا ما لا يُمكِنُ العِلمُ بصِدقِه مِن طريقٍ هو أخصَرُ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حتّى لا يَفوتَ المكلّفَ العِلمُ بغَيرِ جِنايتِه؛ لأنّه قد تَفوتُه مَصالِحُه بجِنايتِه، مِثلُ أن يُعرِضَ عن النظَرِ في المُعجِزِ، أو يَنظُرَ لا مِن جِهةِ حصولِ العِلمِ، أو يُدخِلَ على نفسِه شُبُهاتٍ تَمنَعُ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نَراكم بهذا الكلامِ الذي حَصَّلتموه قد نَقَضتم مُعتَمَدَ الإماميّةِ في حِفظِ النبيِّ و الأئمّةِ للشرائعِ؛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المؤَدّينَ عن النبيِّ شَريعتَه في حياتِه يَجوزُ أن يَكتُموها و يُخِلّوا بنَقلِها حتّى يَجِبَ علَى النبيِّ التلافي و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علَى الأُمّةِ بَعدَ مَوتِ النبيِّ عليه السلامُ أن يَكتُموا كَثيراً مِن الشريعةِ، حتّى يَقِفَ عِلمُ ذلكَ على بَيانِ الإمامِ؛ فإن كانَ ظاهراً آمناً مِن ذلكَ استَدرَكَه، و إن كانَ غائباً فلا بُدَّ مِن ظهورِه، 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تَعالى أنّ أسبابَ الغَيبةِ تَستمِرُّ في الأحوالِ التي تَكتُمُ فيها الأُمّةُ شَرعاً، حتّى لا يُعلَمَ إلّامِن جِهةِ الإمامِ، لَما بَقيَ التكليفُ علَى المُكلَّفينَ؛ لأنّ تَبقيةَ التكليفِ مع فَقدِ الاطّلاعِ علَى المَصالِحِ فيه و المَفاسِدِ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خَشيتم ما استأنَفتُموه في هذا الكلامِ و عَطَفتم عليه؛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أصحابُنا ظهورَ الإمامِ مِن الغَيبةِ و رَفعَ التقيّةِ، إذا اجتَمَعَت الأُمّةُ على خَطإٍ، كأنّهم يَذهَبونَ على طريقِ التأويلِ في بعضِ الشريعةِ إلى مَذهبٍ باطلٍ و يُجمِعونَ عليه، فيَجِبُ علَى الإمامِ ردُّهم إلَى الحقِّ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تَذهَبونَ فيه إلى باطلٍ على طريقِ التأويلِ و الشُّبهةِ و غيرِها، لا يَكونُ طريقُ الحقِّ فيه مسدوداً و لا موقوفاً على بَيانِ الإمامِ،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يَجِبُ </w:t>
      </w:r>
    </w:p>
    <w:p>
      <w:pPr>
        <w:pStyle w:val="BookText"/>
        <w:rPr/>
      </w:pPr>
      <w:r>
        <w:rPr>
          <w:rFonts w:ascii="Amiri" w:hAnsi="Amiri" w:eastAsia="Amiri" w:cs="Amiri"/>
          <w:color w:val="111111"/>
          <w:sz w:val="28"/>
          <w:sz w:val="28"/>
          <w:szCs w:val="28"/>
          <w:rtl w:val="true"/>
          <w:lang w:bidi="ar-SA"/>
        </w:rPr>
        <w:t>عليه الظهورُ إن كانَ غائباً، و يَخرُجُ أسبابُ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يُمكِنُ أن يُعلَمَ الحقُّ بالدليلِ الذي هو غيرُ 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يَجِبُ ظهورُ الإمامِ حتّى يُبيِّنَ ما لا طريقَ إلى عِلمِه إلّاقولُه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يَتِمُّ إلّابأن يَعدِلوا عن نَقلِ بعضِ الشرائعِ و يَكتموه، حتّى يَصِحَّ القولُ بأنّه لا جِهةَ لعِلمِه إلّابيانُ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الشريعةِ إلى مَن بَعُدَ في أطرافِ البِلادِ لا بُدَّ منه و لا غِنى عنه؛ للوجهِ الذي أَوضَحناه، و بيّنّا أنّ إزاحةَ العِلّةِ في التكليفِ العقليِّ لا يَتِمُّ إلّا معه، غيرَ أنّ مَن أُدِّيَ ذلكَ إليهم و عَلِموه يَجوزُ أن يَكتُموه و يَعدِلوا عن نَقلِه؛ إمّا لشُبهةٍ،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استَمَرَّ ذلكَ منهم، لَم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يأتي مِن الخَلَفِ و يوجَدُ فيما بَعدُ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يَتِمُّ مَصلَحتُه إلّابه مِن هذه الشريعةِ، فحينَئذٍ يَجِبُ علَى النبيِّ إن كانَ موجودًا أو الإمامِ القائمِ مَقامَه أن يُبيِّنَ ذلكَ و يوضِحَه و يُسمَعَ منه فيه ما يؤدِّي إلى ظهورِه و إتّصالِه بكُلِّ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فلهذا أوجَبنا حِفظَ الإمامِ للشريعةِ، و الثقةَ بها لأجلِه و مِن جهةِ مُراعاتِه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تَنافيَ بَينَ هذا القولِ و بَينَ ما قَدَّمناه مِن أنّ شَريعةَ النبيِّ لا بُدَّ مِن اتّصالِها بكُلِّ مُكلَّفٍ موجودٍ؛ و الفَرقُ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فَوتِ العِلمِ بالمَصلحةِ واجبٌ، و الاستظهارَ في ذلكَ حتّى لا يَقصُرَ العِلمُ عمّن يَلزَمُه لا بُدَّ منه؛ و لَيسَ كذلكَ استدراكُ الأمرِ بَعدَ فواتِه، و قُصورُ عِلمِه في حالِ الحاجةِ إليه؛ لأنّه يؤَدّي إلى ما ذَكرناه مِن قُبحِ التكليفِ في تلكَ الأحوالِ التي لَم يَتَّصِلْ فيها العِلمُ بصِفاتِ هذه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بيّنّا في كتابِ 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يَتطرَّقُ عليه الكِتمانُ مِن الأُمورِ الظاهرةِ و ما لا يَتطرَّقُ ذلكَ عليه، و ما جَرَت العادةُ بأن تَدعوَ الدواعي العقلاءَ إلى كِتمانِه و ما لَم تَجرِ بذلكَ فيه؛ فمَن أرادَ ذلكَ مُستَقصًى مبسوطاً فليأخُذْه مِن هُناكَ‌</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مَنَعتم مِن كِتمانِ شَرعِ النبيِّ عليه السلامُ عمّن بَعُدَ عنه في أطرافِ البِلادِ، و ادَّعَيتم أنّه لا بُدَّ أن يَكونَ المعلومُ مِن حالِ الناقلينَ لذلكَ أن يَنقُلوه و لا يَكتُموه، و ذَكرتم أنّ التكليفَ و إزاحةَ العِلّةِ فيه يوجِبُ ذلكَ، فألّا جَعَلتم البابَ واحدًا و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يَنتَهي جميعُ الشرعِ إليهم و يَتَساوَون في عِلمِه، لا يَجوزُ أن يَعدِلوا كُلُّهم عن نَقلِه و يَكتُموه، حتّى لا يَتَّصِلَ بمَن يوجَدُ مُستأنَفاً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العِلّةِ التي رَوَيتموها في إزاحةِ العِلّةِ في التكليفِ؟ و ألّا كانَ كُلُّ ناقلٍ للشرعِ و مؤدِّ له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موجودٍ حاضرٍ و مفقودٍ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الذي ذَكرتموه متساويَينِ، و لا حاجةَ مع ذلكَ إلى إمامٍ حافظٍ للشريعةِ؟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هذا السؤالِ بعَينِه في جوابِ مسألةٍ وَرَدَت مِن المَوصِلِ‌</w:t>
      </w:r>
      <w:r>
        <w:rPr>
          <w:rStyle w:val="FootnoteAnchor"/>
          <w:rtl w:val="true"/>
        </w:rPr>
        <w:footnoteReference w:id="664"/>
      </w:r>
      <w:r>
        <w:rPr>
          <w:rFonts w:ascii="Amiri" w:hAnsi="Amiri" w:eastAsia="Amiri" w:cs="Amiri"/>
          <w:color w:val="111111"/>
          <w:sz w:val="28"/>
          <w:sz w:val="28"/>
          <w:szCs w:val="28"/>
          <w:rtl w:val="true"/>
          <w:lang w:bidi="ar-SA"/>
        </w:rPr>
        <w:t>، و أوضَحنا أنّ ذلكَ كانَ جائزًا عقلاً و تقديرًا، و إنّما مَنَعنا منه إجماعاً؛ لأنّ كُلَّ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بأَسرِهم يَجوزُ عليهم أن يَكتُموا شَيئاً مِن الشرعِ، حتّى لا يَذكُرَه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المؤمِنَ مِن ذلكَ إلّابيانَ إمامِ الزمانِ له و إيضاحَه و استدراكَه، دونَ غيرِه ممّا يَجوزُ فرضاً و تقديراً أن يَكونَ الثقةُ له و مِن أجلِه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جَوَّزَ أن يَنحَفِظَ الشرعُ بإمامِ الزمانِ و يوثَقَ بأنّه لَم يَفُت شَيءٌ منه لأجلِه، كما يَجوزُ أن يَنحَفِظَ و يوثَقَ بوصولِ جميعِه بأن يَكونَ المعلومُ مِن حالِ‌ب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المؤدِّينَ أنّهم لا يَكتُمونَ، فيَقطَعُ على أنّ حِفظَ الشرعِ و الثقةَ به مقصورانِ علَى الإمامِ و حِفظِه؛ لأنّ الأُمّةَ بَينَ مُجوِّزٍ علَى الأُمّةِ الكِتمانَ و غيرِ مُحيلٍ له عليهم و بَينَ مُحيلٍ له و مُعتَقِدٍ أنّ العاداتِ تَمنَعُ منه؛ فمَن أجازَه و لَم يُحِلْه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الإماميّةُ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يُسنِدونَ الثقةَ و الحفظَ إلّاإلَى الإمامِ دونَ غيرِه، و إنّما يُسنِدُ الثقةَ إلى غيرِ الإمامِ مَن يُحيلُ الكتمانَ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بانَ بالأدلّةِ القاهرةِ جوازُ الكِتمانِ عليهم، فبالإجماعِ يُعلَمُ أنّ الثقةَ إنّما يَصِحُّ استنادُها إلَى الإمامِ، دونَ ما أشاروا إليه مِن المعلومِ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 التي ذَكرناها إذا حُصِّلَت و ضُبِطَت، بانَ مِن أثنائها جوابُ كُلِّ شُبهةٍ اشتَمَلَ عليها الفَصلُ الذي حَكَيناه و زيادةٌ كَثيرةٌ عليه</w:t>
      </w:r>
      <w:r>
        <w:rPr>
          <w:rFonts w:eastAsia="Amiri" w:cs="Amiri" w:ascii="Amiri" w:hAnsi="Amiri"/>
          <w:color w:val="111111"/>
          <w:sz w:val="28"/>
          <w:szCs w:val="28"/>
          <w:rtl w:val="true"/>
          <w:lang w:bidi="ar-SA"/>
        </w:rPr>
        <w:t>.</w:t>
      </w:r>
      <w:r>
        <w:rPr>
          <w:rStyle w:val="FootnoteAnchor"/>
        </w:rPr>
        <w:footnoteReference w:id="66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35" w:name="pg7486_97375"/>
    </w:p>
    <w:p>
      <w:pPr>
        <w:pStyle w:val="Heading3"/>
        <w:numPr>
          <w:ilvl w:val="2"/>
          <w:numId w:val="1"/>
        </w:numPr>
        <w:rPr/>
      </w:pPr>
      <w:bookmarkStart w:id="336" w:name="__RefHeading___Toc2226120_1051229030"/>
      <w:bookmarkStart w:id="337" w:name="_Toc120"/>
      <w:bookmarkEnd w:id="335"/>
      <w:bookmarkEnd w:id="336"/>
      <w:r>
        <w:rPr/>
        <w:t>5</w:t>
      </w:r>
      <w:r>
        <w:rPr>
          <w:rtl w:val="true"/>
        </w:rPr>
        <w:t xml:space="preserve"> - </w:t>
      </w:r>
      <w:r>
        <w:rPr>
          <w:rtl w:val="true"/>
        </w:rPr>
        <w:t xml:space="preserve">ما ذكره في كتاب </w:t>
      </w:r>
      <w:r>
        <w:rPr>
          <w:rtl w:val="true"/>
        </w:rPr>
        <w:t>«</w:t>
      </w:r>
      <w:r>
        <w:rPr>
          <w:rtl w:val="true"/>
        </w:rPr>
        <w:t>الفصول المختارة من العيون و المحاسن</w:t>
      </w:r>
      <w:r>
        <w:rPr>
          <w:rtl w:val="true"/>
        </w:rPr>
        <w:t>»</w:t>
      </w:r>
      <w:bookmarkEnd w:id="337"/>
    </w:p>
    <w:p>
      <w:pPr>
        <w:pStyle w:val="Heading4"/>
        <w:numPr>
          <w:ilvl w:val="3"/>
          <w:numId w:val="1"/>
        </w:numPr>
        <w:rPr/>
      </w:pPr>
      <w:bookmarkStart w:id="338" w:name="__RefHeading___Toc2226122_1051229030"/>
      <w:bookmarkStart w:id="339" w:name="_Toc121"/>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قد تعرّض الشريف المرتضى في أربعة مواضع من هذه الكتاب لهذا المقال</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226124_1051229030"/>
      <w:bookmarkStart w:id="341" w:name="_Toc122"/>
      <w:bookmarkEnd w:id="340"/>
      <w:r>
        <w:rPr>
          <w:rtl w:val="true"/>
        </w:rPr>
        <w:t>ألف</w:t>
      </w:r>
      <w:r>
        <w:rPr>
          <w:rtl w:val="true"/>
        </w:rPr>
        <w:t xml:space="preserve">: </w:t>
      </w:r>
      <w:r>
        <w:rPr>
          <w:rtl w:val="true"/>
        </w:rPr>
        <w:t>تقيّة الإمام من العدوّ و الوليّ و لطف الغيبة في حقّ الأولياء</w:t>
      </w:r>
      <w:r>
        <w:rPr>
          <w:rtl w:val="true"/>
        </w:rPr>
        <w:t>:</w:t>
      </w:r>
      <w:bookmarkEnd w:id="341"/>
    </w:p>
    <w:p>
      <w:pPr>
        <w:pStyle w:val="Heading5"/>
        <w:numPr>
          <w:ilvl w:val="4"/>
          <w:numId w:val="1"/>
        </w:numPr>
        <w:rPr/>
      </w:pPr>
      <w:bookmarkStart w:id="342" w:name="__RefHeading___Toc2226126_1051229030"/>
      <w:bookmarkStart w:id="343" w:name="_Toc123"/>
      <w:bookmarkEnd w:id="342"/>
      <w:r>
        <w:rPr>
          <w:rtl w:val="true"/>
        </w:rPr>
        <w:t>الفصلُ الثامنُ و الأربعونَ مناظَرةٌ في الغَيبةِ للإمامِ المهديِّ عليه السلام</w:t>
      </w:r>
      <w:bookmarkEnd w:id="343"/>
    </w:p>
    <w:p>
      <w:pPr>
        <w:pStyle w:val="BookText"/>
        <w:rPr/>
      </w:pPr>
      <w:r>
        <w:rPr>
          <w:rFonts w:ascii="Amiri" w:hAnsi="Amiri" w:eastAsia="Amiri" w:cs="Amiri"/>
          <w:color w:val="111111"/>
          <w:sz w:val="28"/>
          <w:sz w:val="28"/>
          <w:szCs w:val="28"/>
          <w:rtl w:val="true"/>
          <w:lang w:bidi="ar-SA"/>
        </w:rPr>
        <w:t>و مِن حكاياتِ الشيخِ و كلامِه في الغَيبةِ؛ قالَ الشيخُ‌</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شيخٌ مِن حُذّاقِ المعتزلةِ و أهلِ التَّدَيُّنِ بمذهَبِه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مسألةٍ كانَت خَطَرَت بِبالي، و قد سألتُ عنها جماعةً ممّن لقيتُ مِن متكلّمي الإماميّةِ بخراسانَ و فارِسَ و العراقِ، فلَم يُجيبوا فيها بجوابٍ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علَى اسمِ اللّهِ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الإمامِ عندكمُ الغائبِ؛ أ هو في تَقيّةٍ منكَ، كما هو في تَقيّةٍ مِن أعدائِه، أم هو في تَقيّةٍ مِن أعدائِه خاصّةً؟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عندي في تَقيّةٍ مِن أعدائِهِ لا مَحالةَ، و هو أيضاً في تقيّةٍ مِن كثيرٍ مِن الجاهلينَ به ممَّن لا يعرفُه و لا سَمِعَ بهِ فَيُعادِيَه أو يُوالِيَه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غالبِ الظنِّ </w:t>
      </w:r>
    </w:p>
    <w:p>
      <w:pPr>
        <w:pStyle w:val="BookText"/>
        <w:rPr/>
      </w:pPr>
      <w:r>
        <w:rPr>
          <w:rFonts w:ascii="Amiri" w:hAnsi="Amiri" w:eastAsia="Amiri" w:cs="Amiri"/>
          <w:color w:val="111111"/>
          <w:sz w:val="28"/>
          <w:sz w:val="28"/>
          <w:szCs w:val="28"/>
          <w:rtl w:val="true"/>
          <w:lang w:bidi="ar-SA"/>
        </w:rPr>
        <w:t>و العُرْفِ، و لَستُ أُنكِرُ أن يكونَ في تقيّةٍ مِن جماعةٍ تعتقدُ إمامتَه الآنَ؛ فأمّا أنا، فإنّه لا تقيّةَ عليه مِنّي بَعدَ معرفتِه بي على حقيقةِ المعرفةِ،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طَريفٌ لَم أسمَعْه مِن أحدٍ قَبلَكَ، فاُحِبُّ أن تُفَصِّلَ لِيَ وجوهَه؛ و كيفَ صارَ في تقيّةٍ ممّن لا يعرفُه، و في تقيّةٍ مِن جماعةٍ تعتقدُ إمامتَه الآنَ، و لَيسَ هو في تقيّةٍ منكَ إذ 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تقيّتُه مِنْ أعدائِهِ، فلا حاجةَ إلَى الكلامِ فيها؛ لِظُهورِ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تقيّتُه ممّن لا يعرفُه، فإنّما قلتُ ذلكَ على غالِب الظنِّ و ظاهرِ الحالِ؛ و ذلكَ أنّه لَيسَ يَبعُدُ أن لَو ظَهَرَ لهم لَكانوا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يَسفِكوا دمَه بأنفسِهم لِيَنالوا بذلكَ المنزلةَ عندَ المتغلِّبِ علَى الزمانِ و يَحوزوا به المالَ و الرئاسةَ، أو يَسعَوا به إلى مَن يُحِلُّ هذا الفِعلَ به، أو يَقْبِضُوا عليه و يُسَلِّموه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في ذلكَ عَطَبُه</w:t>
      </w:r>
      <w:r>
        <w:rPr>
          <w:rStyle w:val="FootnoteAnchor"/>
          <w:rtl w:val="true"/>
        </w:rPr>
        <w:footnoteReference w:id="667"/>
      </w:r>
      <w:r>
        <w:rPr>
          <w:rFonts w:ascii="Amiri" w:hAnsi="Amiri" w:eastAsia="Amiri" w:cs="Amiri"/>
          <w:color w:val="111111"/>
          <w:sz w:val="28"/>
          <w:sz w:val="28"/>
          <w:szCs w:val="28"/>
          <w:rtl w:val="true"/>
          <w:lang w:bidi="ar-SA"/>
        </w:rPr>
        <w:t>، و في عَطَبِه و هلاكِه عظيمُ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غلَبَ في الظنِّ ذلكَ؛ لأنّ الجاهلَ بحَقِّه ليسَ يكونُ معهُ المعرفةُ التي تَمنَعُه مِن السَّعيِ على دَمِه، و لا يعتقدُ في الكفِّ عنه ما يعتقدُه المتديِّنُ بوَلايَتِه، و هو يَرَى الدُّنيا مُقبِلةً إلى مَن أوقَعَ الضررَ به، فلَم يَبعُدْ منه ما وَصفناه؛ بَل قَرُبَ، و بَعُدَ مِنه خِلافُه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تقيَّتِه مِن بعضِ مَن يعتقدُ إمامتَه الآنَ، فإنّ المعتقدينَ لذلكَ لَيسوا بِمعصومينَ مِن الغَلَطِ، و لا مأموناً عليهم الخَطأُ؛ بَل لَيسَ مأموناً عليهم العنادُ و الارتدادُ، فلا يُنكَرُ أن يكونَ المعلومُ مِنهم أنّه لَو ظَهَرَ لهم الإمامُ عليه السلام أو عَرَفُوا مَكانَه أن تَدعُوَهم دَواعي الشيطانِ إلَى الإغراءِ به، و السَّعيِ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الإخبارِ بمكانِه؛ طَمَعاً في العاجِلةِ، و رَغبةً فيها، و إيثاراً لها علَى الآجِلةِ؛ كما دَعَت دواعي الشيطانِ أُمَمَ الأنبياءِ إلَى الارتدادِ عن شَرائعِهم حتّى غَيَّرَها جماعةٌ منهم و بَدَّلَها أكثرُهم، و كما عانَدَ قَومُ موسى نَبيَّهم وَ إمامَهم هارونَ، و ارتَدّوا عن شَرعِه الذي جاءَ به هو و أخوه موسى عليه السلام، وَ اتَّبَعوا السامِريَّ، و لَم يَلتَفِتوا إلى أمرِ هارونَ و نَهيِه، وَ لا فَكَّروا في وَعظِه و زَجرِه، و إذا كانَ ذلكَ على ما وصفتُ لم يُنكَرْ أن تكونَ هذه حالَ جماعةٍ مِن مُنتَحِلي الحَقِّ في هذا الزمانِ؛ لارتفاعِ العصمةِ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حُكمي لنَفْسي، فإنّه لَيسَ يختصُّني؛ لأنّه يعمُّ كُلَّ مَن شارَكَني في المعنَى الذي مِن أجلِه حَكمتُ، و إنّما خَصَصْتُ نَفْسي بالذِّكرِ؛ لأنّني لا أعرفُ غَيري عَيناً علَى اليقينِ مُشاركاً لِيَ في الباطنِ، فأُدخِلَه مَعي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الذي مِن أجلِه نَفَيتُ أن يَكونَ صاحبُ الأمرِ عليه السلام متّقياً مِنّي عندَ المعرفةِ بِحالي؛ لأنّني أعلَمُ أنّي عارفٌ باللّهِ تعالى و برسولِه صلّى اللّه عليه و آله و بالأئمّةِ عليهم السلام، و هذه المعرفةُ تَمنَعُني مِن إيقاعِ كُفرٍ غَيرِ مغفورٍ، و السعيِ على دمِ الإمامِ عليه السلام؛ بل إخافتُه عِندي كفرٌ غيرُ مغفورٍ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على ثقةٍ تَعصِمُني من ذلكَ لِما أذهبُ إليه في المُوافاةِ فقد أمِنتُ أن يكونَ الإمامُ في تقيّةٍ مِنّي أو مِمّن شارَكَني فيما وصفتُ مِن إخواني إذا تحقّقَ أُمورُنا على ما ذكرتُ؛</w:t>
      </w:r>
      <w:r>
        <w:rPr>
          <w:rStyle w:val="FootnoteAnchor"/>
          <w:rtl w:val="true"/>
        </w:rPr>
        <w:footnoteReference w:id="668"/>
      </w:r>
      <w:r>
        <w:rPr>
          <w:rFonts w:ascii="Amiri" w:hAnsi="Amiri" w:eastAsia="Amiri" w:cs="Amiri"/>
          <w:color w:val="111111"/>
          <w:sz w:val="28"/>
          <w:sz w:val="28"/>
          <w:szCs w:val="28"/>
          <w:rtl w:val="true"/>
          <w:lang w:bidi="ar-SA"/>
        </w:rPr>
        <w:t>إذ التقيّةُ إنّما هي الخَوفُ علَى النَّفْسِ، و الإخافةُ للإمامِ لا تَقَعَ مِن عارفٍ باللّهِ تعالى على ما قَدَّمتُ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إنّما جَوَّزتَ تقيّةَ الإمامِ مِن أهلِ النفاقِ مِن الشيعةِ، فأمّا المعتقدونَ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للتشيّعِ ظاهراً و باطناً فحالُهُم كحالِكَ، و هذا يؤَدّي إلَى المناقَضةِ؛ لأنّ المنافقَ لَيسَ بمعتقدٍ للتشيّعِ في الحقيقةِ، و أنتَ فقَد أجَزتَ ذلكَ على بعضِ الشيعةِ في الحقيقةِ؛ فكيفَ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و ذلكَ أنّ جماعةً مِن مُعتقدي التشيّعِ عندي غيرُ عارفينَ في الحقيقةِ، و إنّما يعتقدونَ الديانةَ على ظاهرِ القَولِ و التقليدِ و الاسترسالِ دونَ النظرِ في الأدلّةِ و العملِ عَلَى الحُجّةِ، و مَن كانَ بهذه المنزلةِ لَم يَحصُلْ له الثوابُ الدائمُ المستَحَقُّ للمعرفةِ المانعُ بدَلالةِ الخبرِ به عن إيقاعِ كفرٍ مِن صاحِبِه يستحقُّ به الخُلودَ 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اعتَرَضَ الآنَ هاهُنا سؤالٌ في غيرِ الغَيبةِ أحتاجُ إلى معرفةِ جوابكَ عنه ثُمّ أرجِعُ إلَى المسألةِ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هؤلاءِ المقلّدينَ مِن الشيعةِ؛ أ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كفّارٌ يَستحقّونَ الخلودَ في النارِ؟</w:t>
      </w:r>
    </w:p>
    <w:p>
      <w:pPr>
        <w:pStyle w:val="BookText"/>
        <w:rPr/>
      </w:pPr>
      <w:r>
        <w:rPr>
          <w:rFonts w:ascii="Amiri" w:hAnsi="Amiri" w:eastAsia="Amiri" w:cs="Amiri"/>
          <w:color w:val="111111"/>
          <w:sz w:val="28"/>
          <w:sz w:val="28"/>
          <w:szCs w:val="28"/>
          <w:rtl w:val="true"/>
          <w:lang w:bidi="ar-SA"/>
        </w:rPr>
        <w:t>فإن قلتَ ذلكَ، فلَيسَ في الجَنّةِ مِن الشيعةِ الإماميّةِ إذَنْ غيرُكَ؛ لأنّا لا نَعرفُ أحَداً مِنهم على تحقيقِ النظرِ سِواكَ، بَل إن كانَ فيهم فلعلّهم لا يكونونَ عشرينَ نَفْساً في الدنيا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أظنُّكَ تذهبُ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بكفّارٍ، و هُم يعتقدونَ التشيّعَ ظاهراً و باطناً، فهُم مِثلُكَ، و هذا مُبطِلٌ لِما قَدَّمتَ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المُقَلِّدةِ كفّارٌ؛ لأنّ فيهم جماعةً لَم يُكلَّفوا المعرفةَ و لا النظرَ في الأدلّةِ؛ لنُقصانِ عقولِهم عن الحدِّ الذي به يَجِبُ تكليفُ ذلكَ، و إن كانوا مكلَّفينَ عندي للقَولِ و العَمَلِ، و هذا مَذهَبي في جماعةٍ مِن أهلِ السَّوادِ و البَوادي و الأعرابِ و العَجَمِ و العامّةِ، فهؤلاءِ إذا قالوا و عَمِلوا كانَ ثوابُهم على ذلكَ كعِوَضِ البَهائمِ و الأطفالِ و المَجانينِ، و كانَ ما يَقَعُ مِنهم مِن عِصيانٍ </w:t>
      </w:r>
    </w:p>
    <w:p>
      <w:pPr>
        <w:pStyle w:val="BookText"/>
        <w:rPr/>
      </w:pPr>
      <w:r>
        <w:rPr>
          <w:rFonts w:ascii="Amiri" w:hAnsi="Amiri" w:eastAsia="Amiri" w:cs="Amiri"/>
          <w:color w:val="111111"/>
          <w:sz w:val="28"/>
          <w:sz w:val="28"/>
          <w:szCs w:val="28"/>
          <w:rtl w:val="true"/>
          <w:lang w:bidi="ar-SA"/>
        </w:rPr>
        <w:t>يَستحقّونَ عَلَيه العِقابَ في الدنيا و في يومِ المَآبِ طولَ زمانِ الحسابِ أو في النارِ أحقاباً، ثُمَّ يَخرجونَ إلى مَحَلِّ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المُقَلِّدةِ عندي كُفّارٌ؛ لأنّ معهم مِن القوّةِ علَى الاستدلالِ ما يَصِلونَ به إلَى المَعارفِ، فإذا انصَرَفوا عن النظرِ في طُرُقِها فقَد استَحَقّوا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الدنيا أحدٌ مِن الشيعةِ ينظرُ حقّ النظرِ إلّاعشرونَ نَفْساً أو نَحوُهم؛ فإنّه لَو كنتَ صادقاً في هذا المَقالِ، ما مَنَعَ أن يكونَ جُمهورُ الشيعةِ عارفينَ؛ لأنّ طُرُقَ المعرفةِ قريبةٌ يَصِلُ إليها كلُّ مَن استَعملَ عقلَه، و إن لَم يَتمكّنْ مِن العبارةِ عن ذلكَ و يَتَسهَّلْ عَلَيه الجَدَلُ و يَكُنْ مِن أهلِ التحقيقِ في النظرِ، و لَيسَ عدمُ الحِذْقِ‌</w:t>
      </w:r>
      <w:r>
        <w:rPr>
          <w:rStyle w:val="FootnoteAnchor"/>
          <w:rtl w:val="true"/>
        </w:rPr>
        <w:footnoteReference w:id="669"/>
      </w:r>
      <w:r>
        <w:rPr>
          <w:rFonts w:ascii="Amiri" w:hAnsi="Amiri" w:eastAsia="Amiri" w:cs="Amiri"/>
          <w:color w:val="111111"/>
          <w:sz w:val="28"/>
          <w:sz w:val="28"/>
          <w:szCs w:val="28"/>
          <w:rtl w:val="true"/>
          <w:lang w:bidi="ar-SA"/>
        </w:rPr>
        <w:t>في الجَدَلِ و إحاطةِ العِلمِ بحُدودهِ و المعرفةِ بغَوامضِ الكلامِ و دَقيقِه و لطيفِ القَولِ في المسائلِ دليلاً علَى الجَهلِ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أرى أن أصِلَ معكَ الكلامَ في هذا البابِ الآنَ؛ لأنَّ الغرضَ هوَ القولُ في الغَيبةِ؛ و لكنْ لمّا تَعَلَّقَ بمَذهبٍ غَريبٍ أحببتُ أن أقِفَ عَلَيه، و أنا أعودُ إلى مسألتِيَ الأُولى، و أُكلِّمُكَ في هذا المذهبِ يَوماً آخَرَ؛ أخبِرْنِي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الإمامُ في تقيّةٍ منكَ فما بالُه لا يَظهَرُ لكَ فيُعَرِّفَكَ نفسَهُ بالمشاهَدةِ، و يُرِيَكَ مُعجِزةً، وَ يُبَيّنَ لكَ كثيراً مِن المشكلاتِ، وَ يؤنِسَكَ بقُربِه، وَ يُعَظّمَ قَدْرَكَ بقَصدِه، و يُشَرّفَكَ بمَكانِه إذا كانَ قد أمِنَ منكَ الإغراءَ به، و تَيَقَّنَ ولايتكَ لهُ ظاهرةً و باطنةً؟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هذا البابِ أنّني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يَعلَمُ السرائرَ، و إنّه ممَّن لا يخفى عَلَيه الضَّمائرُ، فتكونَ قد أخذتَ رَهْني بأنّهُ يَعلَمُ مِنّي ما أعرفُه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ذلكَ مَذهَبي،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الظواهرَ كما يَعلَمُها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البَشَرُ، و إن عَلِمَ باطناً فبإعلامِ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خاصّةً على لسانِ نبيّه صلّى اللّه عليه و آله بما أودَعَه إيّاه مِن النُّصوصِ على ذلكَ، أو بالمَنامِ الذي يَصْدُقُ و لا يُخلفُ أبداً، أو بسببٍ أذكُرُه غيرِ هذا، فقد سَقَطَ سؤالُكَ مِن أصلِه؛ لأنَّ الإمامَ إذا فَقَدَ عِلمَ ذلكَ مِن جهةِ اللّهِ تَعالى أجازَ عَلَيَّ ما يُجيزُ على غَيري ممّن ذَكرتُ، فأوجبَتِ الحكمةُ تقيّتَهُ‌</w:t>
      </w:r>
      <w:r>
        <w:rPr>
          <w:rStyle w:val="FootnoteAnchor"/>
          <w:rtl w:val="true"/>
        </w:rPr>
        <w:footnoteReference w:id="670"/>
      </w:r>
      <w:r>
        <w:rPr>
          <w:rFonts w:ascii="Amiri" w:hAnsi="Amiri" w:eastAsia="Amiri" w:cs="Amiri"/>
          <w:color w:val="111111"/>
          <w:sz w:val="28"/>
          <w:sz w:val="28"/>
          <w:szCs w:val="28"/>
          <w:rtl w:val="true"/>
          <w:lang w:bidi="ar-SA"/>
        </w:rPr>
        <w:t>مِنّي و إنّما تقيّتُهُ مِنّي علَى الشرطِ الّذي ذَكرتُ آنِفاً، و لم أقطَعْ على حُصولِه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أطلَعَ الإمامَ على باطِني، و عَرّفَهُ حقيقةَ حالي قطعاً، فَتُفرِغَ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لَو قَطعتُ على ذلكَ لَكانَ لِتَرْكِ ظُهورِه لي و تَعَرُّفِه إلَيَّ وجهٌ واضحٌ غيرُ التقيّة؛ و هو أنّه صلّى اللّه عليه و آله قد عَلِمَ أنّني و جميعَ مَن شارَكني في المعرفةِ لا نَزولُ عن معرفتِه، و لا نَرجِعُ عن اعتقادِ إمامتِهِ، و لا نَرتابُ في أمرِه ما دامَ غائبا، و عَلِمَ أنّ اعتقادَنا ذلكَ مِن جهةِ الاستدلالِ و مَعَ عدمِ ظهورِه لِحَواسّنا أصلَحُ لَنا في تَعاظُمِ الثوابِ و عُلُوّ المنزلةِ باكتسابِ الأعمالِ؛ إذ كانَ ما يَقَعُ مِن العملِ بالمَشاقّ الشديدةِ أعظمَ ثواباً ممّا يَقَعُ بالسهولةِ و مَعَ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عليه السلام ذلكَ مِن حالِنا وَجَبَ عَلَيه الاستتارُ عَنّا؛ لِنَصِلَ إلى معرفتِه و طاعتِه على حدّ يَكسِبُنا مِنَ المَثوبةِ أكثرَ ممّا يَكْسِبُنا العِلم به و الطاعةُ له مَعَ المُشاهَدةِ و ارتفاعِ الشُّبهةِ التي تَكونُ في حالِ الغَيبةِ و الخَواطرِ، و هذا ضِدُّ ما ظَننتَ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أصلَكَ في اللطفِ يؤيّدُ ما ذَكرناه، و يوجبُ ذلكَ، و إن عُلِمَ أنَّ الكفرَ يكونُ مَعَ الغَيبةِ، و الإيمانَ مَعَ الظهورِ؛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اللّهِ تعالى فِعلُ اللطفِ الذي يَعلمُ أنَّ العبدَ إن فَعَلَ الطاعةَ مَعَ عدمِهِ كانت أشرفَ منهاه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فَعَلَها مَعَه، فلذلكَ يَمنعُ الإمامَ مِن الظهورِ إذا عَلِمَ أنّ الطاعة للإمامِ تكونُ عندَ غَيبتِه أشرفَ منها عندَ ظُهوره، و لَيسَ يَكفُرُ القَومُ به في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عَلَيه هذا الجوابُ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جوابٌ يَستمِرُّ علَى الأُصولِ التي ذَكرتَها، و الحَقُّ أَولى ما استُعمِلَ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اجيبُكَ بَعدَ هذا بجوابٍ آخَرَ أظنُّه ممّا قد سَمِعتَهُ؛ لأنظُرَ كلامَكَ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ذلكَ؛ فإنّي أحبُّ أن أستوفِيَ ما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في تقيّةٍ مِنّي و في تقيّةٍ مِمَّن خالَفَني، ما يكونُ كلامُكَ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فتُطلقُ أنّه في تقيّةٍ مِنكَ كما هوَ في تقيّةٍ مِمَّن خالَفَكَ؟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 القَولَينِ؟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أنّني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تقيّةٍ مِنّي كما هو في تقيّةٍ مِمَّن خالَفَني، أوهمتُ أنّ خَوفَه مِنّي على حَدّ خَوفِه مِن عدوّه، و أنّ الذي يَحْذَرُه مِنّي هو الذي يَحْذَرُه مِنه، أو مِثله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يَتَّقي مِنّي و مِمَّنْ خالَفَني، ارتَفَعَ هذا الإيهامُ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وَجهٍ اتَّقى مِنكَ؟ و مِن أيّ وَجهٍ اتَّقى مِن عدوّه؟ فَصّلْ لِيَ الأمرَينِ حتّى أعرِفَهما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تقيّتُه مِن عدوّه هي لأجلِ خَوفِه مِن ظُلمهِ له، و قَصدِه الإضرارَ به، و حَذَرِه مِن سَعيِه على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تقيّتُه مِنّي لأجلِ خَوفِه مِن إذاعَتي على سَبيلِ السهوِ، أو للتجمُّلِ و التشرُّفِ بمعرفتِه بالمشاهَدةِ، أو علَى التقيّةِ مِنّي بمَن أوعِزُه </w:t>
      </w:r>
    </w:p>
    <w:p>
      <w:pPr>
        <w:pStyle w:val="BookText"/>
        <w:rPr/>
      </w:pPr>
      <w:r>
        <w:rPr>
          <w:rFonts w:ascii="Amiri" w:hAnsi="Amiri" w:eastAsia="Amiri" w:cs="Amiri"/>
          <w:color w:val="111111"/>
          <w:sz w:val="28"/>
          <w:sz w:val="28"/>
          <w:szCs w:val="28"/>
          <w:rtl w:val="true"/>
          <w:lang w:bidi="ar-SA"/>
        </w:rPr>
        <w:t>إليه مِن إخواني في الظاهرِ، فيُعقِبُه ذلكَ ضرراً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يكونَ هذا يوجبُ المساواةَ بَينَكَ و بَينَ عدوِّه؛ لأنّه لَيسَ يَثِقُ بكَ كما لا يَثِقُ بعدوِّه؟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الفَرقَ و أَوضَحتُهُ، و هذا سؤالٌ قد سَلَفَ جوابُه، و تَكرارُهُ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أقْلِبُهُ عَلَيكَ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هَربَ رسولُ اللّهِ صلّى اللّه عليه و آله مِن أعدائِه و اسْتَتَرَ عنهم في الغارِ خَوفاً على نَفسِه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 عُمَرُ بنُ الخَطّابِ حالَ هَرَبِه و مُستَقَرَّه و مَكانَه كمَا عَرَفَ أبو بَكرٍ ذلكَ بكَونِه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عَرَفَ عمرُ ذلكَ؛ أ عَرَفَ ذلكَ جميعُ أصحابِه و المؤمِنينَ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كانَ بَينَ أصحابِه الذينَ لَم يَعلَمُوا بهَرَبِه و لا عَرَفوا مَكانَه و بَينَ أعدائِه الذينَ هَرَبَ مِنهم؟ و هَلَّا أبانَهم مِنَ المشرِكينَ بإيقافِهم على أمرِه، و لَم يَستُرْ ذلكَ عنهم كما سَتَرَه عن أعدائِه؟ و ما أنكرتَ أن يكونَ لا فَرقَ بَينَ أوليائِه و أعدائِه، و أن يكونَ قد سَوّى بَينَهم في الخوفِ منهم و التقيَّةِ، و إلّافما الفَصلُ؟</w:t>
      </w:r>
    </w:p>
    <w:p>
      <w:pPr>
        <w:pStyle w:val="BookText"/>
        <w:rPr/>
      </w:pPr>
      <w:r>
        <w:rPr>
          <w:rFonts w:ascii="Amiri" w:hAnsi="Amiri" w:eastAsia="Amiri" w:cs="Amiri"/>
          <w:color w:val="111111"/>
          <w:sz w:val="28"/>
          <w:sz w:val="28"/>
          <w:szCs w:val="28"/>
          <w:rtl w:val="true"/>
          <w:lang w:bidi="ar-SA"/>
        </w:rPr>
        <w:t>فلَم يأتِ بشيءٍ أكثَرَ مِن أنّه جَعَلَ يومئُ إلى مُعتمَدي في الفَرقِ، بَينَما أُلزِمَ و لَم يأتِ به على وَجههِ، و عَلِمَ مِن نَفسِه العَجزَ عن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أبو القاسمِ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استزدتُ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الفصلِ مِن هذا المجلسِ حيثُ اعتَلَّ بأنّ غَيبةَ الإمامِ عن </w:t>
      </w:r>
    </w:p>
    <w:p>
      <w:pPr>
        <w:pStyle w:val="BookText"/>
        <w:rPr/>
      </w:pPr>
      <w:r>
        <w:rPr>
          <w:rFonts w:ascii="Amiri" w:hAnsi="Amiri" w:eastAsia="Amiri" w:cs="Amiri"/>
          <w:color w:val="111111"/>
          <w:sz w:val="28"/>
          <w:sz w:val="28"/>
          <w:szCs w:val="28"/>
          <w:rtl w:val="true"/>
          <w:lang w:bidi="ar-SA"/>
        </w:rPr>
        <w:t>أوليائِه إنّما هي لُطفٌ لهُم في وقوعِ الطاعةِ مِنهم على وَجهٍ يكونُ به أشرفَ منها عند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حالُ هؤلاءِ الأولياءِ عندَ ظُهورِه عليه السلام؟ أليسَ يَجِبُ أن يكونَ القديمُ تعالى قد مَنَعَهم اللطفَ في شَرَفِ طاعاتِهم و زيادةِ ثوابِهم؟</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ذلكَ مَنعٌ لهُم مِنَ اللطفِ؛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أن يَعلَمَ اللّهُ سُبحانَه مِنهم أنّهُ لَو أدامَ سَترَهُ عنهم و أباحَه الغَيبةَ في ذلك الزمانِ بَدَلاً مِن الظهورِ لَفَسَقَ هؤلاءِ الأولياءُ فِسقاً يَستحِقّونَ به مِن العِقابِ ما لا يَفي به أضعافُ ما يَفوتُهم مِن الثوابِ، فأظهَرَه سُبحانَه لهذه العِلّةِ، و كانَ ما يَقتطِعُهم به عنه مِن العذابِ أردَّ</w:t>
      </w:r>
      <w:r>
        <w:rPr>
          <w:rStyle w:val="FootnoteAnchor"/>
          <w:rtl w:val="true"/>
        </w:rPr>
        <w:footnoteReference w:id="671"/>
      </w:r>
      <w:r>
        <w:rPr>
          <w:rFonts w:ascii="Amiri" w:hAnsi="Amiri" w:eastAsia="Amiri" w:cs="Amiri"/>
          <w:color w:val="111111"/>
          <w:sz w:val="28"/>
          <w:sz w:val="28"/>
          <w:szCs w:val="28"/>
          <w:rtl w:val="true"/>
          <w:lang w:bidi="ar-SA"/>
        </w:rPr>
        <w:t>عَلَيهم و أنفعَ لهم مِمّا كانُوا يكتسبونَهُ مِن فضلِ الثوابِ، على ما تقدَّمَ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يَستَحيلُ أن يكونَ اللّهُ تَعالى قد عَلِمَ مِن حالِ كثيرٍ مِن أعداءِ الإمامِ عليه السلام أنّهم يؤمِنونَ عندَ ظُهورِه، وَ يَعتَرفونَ بالحقِّ عندَ مُشاهَدَتِه، و يُسلِّمونَ له الأمرَ، و أنّه إن لم يَظهَرْ في ذلكَ الزمانِ أقاموا على كفرِهم، و ازدادوا طُغياناً بزيادةِ الشُّبهةِ عليهم، فوَجَبَ في حِكمتِه تعالى إظهارُه لعمومِ الصَّلاحِ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أباحَه الغَيبةَ لَكانَ قد خَصَّ بالصَّلاحِ، و مَنَعَ مِن اللطفِ في تَركِ الكفرِ، و لَيسَ يجوزُ على مَذهبِنا في الأصلحِ أن يَخُصَّ اللّهُ تعالى بالصَّلاحِ، و لا يَجوزُ أيضاً أن يَفعلَ لطفاً في اكتسابِ بعضِ خَلقِه مَنافعَ تزيدُ على منافِعِه، إذا كانَ في فِعلِ ذلكَ اللطفِ رفعُ لطفٍ لجماعةٍ في تركِ القَبيحِ و الانصرافِ عن الكفرِ به</w:t>
      </w:r>
      <w:r>
        <w:rPr>
          <w:rFonts w:eastAsia="Amiri" w:cs="Amiri" w:ascii="Amiri" w:hAnsi="Amiri"/>
          <w:color w:val="111111"/>
          <w:sz w:val="28"/>
          <w:szCs w:val="28"/>
          <w:rtl w:val="true"/>
          <w:lang w:bidi="ar-SA"/>
        </w:rPr>
        <w:t xml:space="preserve">. </w:t>
      </w:r>
      <w:bookmarkStart w:id="344" w:name="pg7486_97402"/>
    </w:p>
    <w:p>
      <w:pPr>
        <w:pStyle w:val="BookText"/>
        <w:rPr/>
      </w:pPr>
      <w:bookmarkEnd w:id="344"/>
      <w:r>
        <w:rPr>
          <w:rFonts w:ascii="Amiri" w:hAnsi="Amiri" w:eastAsia="Amiri" w:cs="Amiri"/>
          <w:color w:val="111111"/>
          <w:sz w:val="28"/>
          <w:sz w:val="28"/>
          <w:szCs w:val="28"/>
          <w:rtl w:val="true"/>
          <w:lang w:bidi="ar-SA"/>
        </w:rPr>
        <w:t>تعالى و الاستخفافِ بحقوقِ أوليائِه عليه السلام؛ لأنَّ الأصلَ و المَدارَ عَلى إنقاذِ العبادِ مِن المَهالكِ، و زَجرِهم عَن القَبائحِ، و لَيسَ الغرضُ زيادتَهم في المنافعِ خاصَّةً؛ إذْ كانَ الاقتطاعُ بالألطافِ عمّا يوجِبُ دوامَ العقابِ أولى مِن فِعلِ اللطفِ فيما يُستزادُ بهِ الثوابُ؛ لأنّه لَيسَ يَجِبُ علَى اللّهِ تَعالى أن يَفعلَ بعَبدِه ما يَصِلُ مَعَه إلى نفعٍ يَمنعُه مِن أضعافِه مِن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لا يَجِبُ عَلَيه أن يَفعلَ اللطفَ لهُ في النفعِ بما يَمنَعُ غَيرَه مِن أضعافِ ذلكَ النفعِ، و هو إذا سَلَبَهُ هذا اللطفَ لَم يستدرجْه به إلى فِعلِ القبيحِ، و متى فَعَلَه حالَ بَينَ غَيرِه و بَينَ منافِعِه، و مَنَعَه مِن لطفِ ما يَنصرِفُ به عَن القبيحِ، و إذا كانَ الأمرُ على ما بَيَّنّاه كانَ هذانِ الفصلانِ يُسقِطانِ هذه الزيادةَ</w:t>
      </w:r>
      <w:r>
        <w:rPr>
          <w:rFonts w:eastAsia="Amiri" w:cs="Amiri" w:ascii="Amiri" w:hAnsi="Amiri"/>
          <w:color w:val="111111"/>
          <w:sz w:val="28"/>
          <w:szCs w:val="28"/>
          <w:rtl w:val="true"/>
          <w:lang w:bidi="ar-SA"/>
        </w:rPr>
        <w:t>.</w:t>
      </w:r>
      <w:r>
        <w:rPr>
          <w:rStyle w:val="FootnoteAnchor"/>
          <w:rtl w:val="true"/>
        </w:rPr>
        <w:footnoteReference w:id="672"/>
      </w:r>
    </w:p>
    <w:p>
      <w:pPr>
        <w:pStyle w:val="Heading4"/>
        <w:numPr>
          <w:ilvl w:val="3"/>
          <w:numId w:val="1"/>
        </w:numPr>
        <w:rPr/>
      </w:pPr>
      <w:bookmarkStart w:id="345" w:name="__RefHeading___Toc2226128_1051229030"/>
      <w:bookmarkStart w:id="346" w:name="_Toc124"/>
      <w:bookmarkEnd w:id="345"/>
      <w:r>
        <w:rPr>
          <w:rtl w:val="true"/>
        </w:rPr>
        <w:t>ب</w:t>
      </w:r>
      <w:r>
        <w:rPr>
          <w:rtl w:val="true"/>
        </w:rPr>
        <w:t xml:space="preserve">: </w:t>
      </w:r>
      <w:r>
        <w:rPr>
          <w:rtl w:val="true"/>
        </w:rPr>
        <w:t>حكايتُه مناظرةَ الشيخ المفيد في الرجعة</w:t>
      </w:r>
      <w:r>
        <w:rPr>
          <w:rtl w:val="true"/>
        </w:rPr>
        <w:t>:</w:t>
      </w:r>
      <w:bookmarkEnd w:id="346"/>
    </w:p>
    <w:p>
      <w:pPr>
        <w:pStyle w:val="Heading5"/>
        <w:numPr>
          <w:ilvl w:val="4"/>
          <w:numId w:val="1"/>
        </w:numPr>
        <w:rPr/>
      </w:pPr>
      <w:bookmarkStart w:id="347" w:name="__RefHeading___Toc2226130_1051229030"/>
      <w:bookmarkStart w:id="348" w:name="_Toc125"/>
      <w:bookmarkEnd w:id="347"/>
      <w:r>
        <w:rPr>
          <w:rtl w:val="true"/>
        </w:rPr>
        <w:t>الفصلُ الثامنُ و الخَمسونَ مناظَرةٌ في الرَّجعةِ‌</w:t>
      </w:r>
      <w:bookmarkEnd w:id="348"/>
    </w:p>
    <w:p>
      <w:pPr>
        <w:pStyle w:val="Heading6"/>
        <w:numPr>
          <w:ilvl w:val="5"/>
          <w:numId w:val="1"/>
        </w:numPr>
        <w:rPr/>
      </w:pPr>
      <w:bookmarkStart w:id="349" w:name="__RefHeading___Toc2226132_1051229030"/>
      <w:bookmarkStart w:id="350" w:name="_Toc126"/>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و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و جوابِ سؤالٍ فيها سَألَه المخالفونَ؛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المعتزِلةِ شَيخاً مِن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قد ضَمَّ جَماعةً كثيرةً مِن أهلِ النظرِ و المتفَقِّهةِ،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قولِكَ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الأمواتَ إلى دارِ الدُّنيا قَبلَ الآخرةِ عندَ قيامِ القائمِ عليه السلام ليَشفِيَ المؤمنينَ كما زعمتم مِن الكافرينَ، و يَنتقِمَ لهم مِنهم كما فَعَلَ ببني إسرائيلَ فيما ذَكرتم حَيثُ تَتعلَّقونَ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فخَبِّرْني ما الذي يُؤمِنُكَ أنْ </w:t>
      </w:r>
    </w:p>
    <w:p>
      <w:pPr>
        <w:pStyle w:val="BookText"/>
        <w:rPr/>
      </w:pPr>
      <w:r>
        <w:rPr>
          <w:rFonts w:ascii="Amiri" w:hAnsi="Amiri" w:eastAsia="Amiri" w:cs="Amiri"/>
          <w:color w:val="111111"/>
          <w:sz w:val="28"/>
          <w:sz w:val="28"/>
          <w:szCs w:val="28"/>
          <w:rtl w:val="true"/>
          <w:lang w:bidi="ar-SA"/>
        </w:rPr>
        <w:t>يَتوبَ يَزيدُ و شَمِرٌ و عبدُ الرحمنِ بنُ مُلْجَمٍ، و يَرجِعوا عن كُفرِهم و ضَلالِهم، و يَصيروا في تلكَ الحالِ إلى طاعةِ الإمامِ؟ فيجِبُ عليكَ وَلايتُهم و القطعُ بالثوابِ لهم، و هذا نقضُ مَذاهبِ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الرَّجعةِ إنّما قُلتُه مِن طريقِ التوقيفِ، و لَيسَ للنظرِ فيهِ مَجالٌ، و أنا لا أُجيبُ عَن هذا السؤالِ؛ لأنّه لا نَصَّ عندي فيه، و لَيسَ يَجوزُ لي أن أَتكلّفَ مِن غيرِ جهةِ النصِّ الجوابَ، فشَنَّعَ السائلُ و جماعةُ المعتزلةِ عَلَيه بالعجزِ 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عن هذا السؤالِ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يَمنَعُ مِن وقوعِ الإيمانِ ممّن ذَكرَه السائلُ؛ لأنّه يكونُ إذ ذاكَ قادراً عليهِ و متمكِّناً منه، لكنّ السمعَ الواردَ عن أئمّةِ الهُدى عليهم السلام بالقطعِ عليهم بالخُلودِ في النارِ و التديُّنِ بلَعنِهم و البَراءةِ مِنهم إلى آخر الزمانِ مَنَعَ مِن الشكّ في حالِهم، و أَوجَبَ القطعَ على سوءِ اختيارِهم، فجَرَوا في هذا البابِ مَجرى فِرعَونَ و هامانَ و قارونَ، و مجَرى مَن قَطَعَ اللّهُ على خُلودِه في النار، و دَلَّ بالقطعِ على أنّهم لا يَختارونَ أبداً الإيمانَ مِمَّن قالَ اللّهُ تعالى في جُملتِهم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يُريدُ إلّاأن يُلجِئَهُم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فِيهِمْ خَيْراً لَأَسْمَعَهُمْ وَ لَوْ أَسْمَعَهُمْ لَتَوَلَّوْا وَ هُمْ مُعْرِضُونَ</w:t>
      </w:r>
      <w:r>
        <w:rPr>
          <w:rFonts w:eastAsia="Amiri" w:cs="Amiri" w:ascii="Amiri" w:hAnsi="Amiri"/>
          <w:color w:val="111111"/>
          <w:sz w:val="28"/>
          <w:szCs w:val="28"/>
          <w:rtl w:val="true"/>
          <w:lang w:bidi="ar-SA"/>
        </w:rPr>
        <w:t>) .</w:t>
      </w:r>
      <w:r>
        <w:rPr>
          <w:rStyle w:val="FootnoteAnchor"/>
          <w:rtl w:val="true"/>
        </w:rPr>
        <w:footnoteReference w:id="6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تفصيلِهم، و هو يوجّهُ القولَ إلى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جَهَنَّمَ مِنْكَ وَ مِمَّنْ تَبِعَكَ مِنْهُمْ أَجْمَعِينَ</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فقَطَعَ عليهِ بالنارِ، و أمِنَ مِن انتقالِه إلى ما يوجِبُ لهُ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وَصَفناه بَطَلَ ما تَوَهَّموه على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إذا رَدَّ الكافرينَ في الرَّجعةِ ليَنتَقِمَ مِنهم لَم يَقبَلْ لهم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جَرَوا في ذلكَ مَجرى فِرعَونَ؛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فَرَدَّ اللّهُ عليهِ إيمانَه، و لَم يَنفَعْه في تلكَ الحالِ نَدَمُه و إقلاعُه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كأهلِ الآخِرةِ الذينَ لا تُقبَلُ لهم تَوبة، و لا يَنفَعُهم نَدَمٌ؛ لأنّهم كالمُلْجَئينَ إذ ذاكَ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الحكمةَ تَمنَعُ مِن قبولِ التَّوبةِ أبداً، و توجِبَ اختصاصَ بعضِ الأوقاتِ بقبولِها دونَ بعضٍ</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الجوابُ الصحيحُ على مذهبِ أهلِ الإمامةِ، و قد جاءَت بهِ آثارٌ متظاهرةٌ عن آلِ محمّدٍ عليهم السلام، فَرُويَ عنهم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هي القائمُ عليه السلام، فإذا ظَهَرَ لَم تُقبَلْ تَوبةُ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يُسقِطُ ما اعتَمَدَه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51" w:name="pg7486_97410"/>
    </w:p>
    <w:p>
      <w:pPr>
        <w:pStyle w:val="Heading6"/>
        <w:numPr>
          <w:ilvl w:val="5"/>
          <w:numId w:val="1"/>
        </w:numPr>
        <w:rPr/>
      </w:pPr>
      <w:bookmarkStart w:id="352" w:name="__RefHeading___Toc2226134_1051229030"/>
      <w:bookmarkStart w:id="353" w:name="_Toc127"/>
      <w:bookmarkEnd w:id="351"/>
      <w:bookmarkEnd w:id="352"/>
      <w:r>
        <w:rPr>
          <w:rtl w:val="true"/>
        </w:rPr>
        <w:t>سؤال</w:t>
      </w:r>
      <w:r>
        <w:rPr>
          <w:rtl w:val="true"/>
        </w:rPr>
        <w:t>:</w:t>
      </w:r>
      <w:bookmarkEnd w:id="353"/>
    </w:p>
    <w:p>
      <w:pPr>
        <w:pStyle w:val="BookText"/>
        <w:rPr/>
      </w:pPr>
      <w:r>
        <w:rPr>
          <w:rFonts w:ascii="Amiri" w:hAnsi="Amiri" w:eastAsia="Amiri" w:cs="Amiri"/>
          <w:color w:val="111111"/>
          <w:sz w:val="28"/>
          <w:sz w:val="28"/>
          <w:szCs w:val="28"/>
          <w:rtl w:val="true"/>
          <w:lang w:bidi="ar-SA"/>
        </w:rPr>
        <w:t>فإن قالوا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اللّهُ سُبحانَه على ما أصَّلتُموه قد أغرى عبادَه بالعِصيانِ، و أباحَهم الهَرْجَ و المَرْجَ‌</w:t>
      </w:r>
      <w:r>
        <w:rPr>
          <w:rStyle w:val="FootnoteAnchor"/>
          <w:rtl w:val="true"/>
        </w:rPr>
        <w:footnoteReference w:id="682"/>
      </w:r>
      <w:r>
        <w:rPr>
          <w:rFonts w:ascii="Amiri" w:hAnsi="Amiri" w:eastAsia="Amiri" w:cs="Amiri"/>
          <w:color w:val="111111"/>
          <w:sz w:val="28"/>
          <w:sz w:val="28"/>
          <w:szCs w:val="28"/>
          <w:rtl w:val="true"/>
          <w:lang w:bidi="ar-SA"/>
        </w:rPr>
        <w:t>و الطُّغيانَ؟ لأنَّهم إذا كانوا يَقدرونَ علَى الكفرِ و أنواعِ الضلالِ، و قد يَئِسوا مِن قبولِ التَّوبةِ، لَم يَدْعُهم داعٍ إلَى الكفّ عمّا في طِباعِهم، و لا انزَجَروا عن فعلِ قبيحٍ يَصِلونَ به إلَى النفعِ العاجلِ، و مَن وَصَفَ اللّهَ تَعالى بإغراءِ خَلقِه بالمَعاصي و إباحتِهم الذنوبَ، فقد أعظَمَ الفِريَةَ‌</w:t>
      </w:r>
      <w:r>
        <w:rPr>
          <w:rStyle w:val="FootnoteAnchor"/>
          <w:rtl w:val="true"/>
        </w:rPr>
        <w:footnoteReference w:id="68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226136_1051229030"/>
      <w:bookmarkStart w:id="355" w:name="_Toc128"/>
      <w:bookmarkEnd w:id="354"/>
      <w:r>
        <w:rPr>
          <w:rtl w:val="true"/>
        </w:rPr>
        <w:t>جواب</w:t>
      </w:r>
      <w:r>
        <w:rPr>
          <w:rtl w:val="true"/>
        </w:rPr>
        <w:t>:</w:t>
      </w:r>
      <w:bookmarkEnd w:id="35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ظَنَنتُموه؛ و ذلكَ أنّ الدَّواعِيَ لهم إلَى المعاصي تَرتفِعُ إذ ذاكَ، و لا يحصُلُ لهم داعٍ إلى قبيحٍ على وجهٍ مِن الوُجوهِ، و لا سببٍ مِن الأسبابِ؛ لأنّهم يَكونونَ قد عَلِموا بما سَلَفَ لهم مِن العذابِ إلى وقتِ الرَّجعةِ على خِلافِ أئمّتِهم عليهم السلام، و يَعلَمونَ في الحالِ أنّهم مُعذَّبونَ على ما سَبَقَ لهم مِن العِصيانِ، و أنّهم إن راموا فِعلَ قبيحٍ تَزايَدَ عَلَيهم العِقابُ، و لا يكونُ لهم عندَ ذلكَ طَبعٌ يَدعوهم إلى ما يَتزايَدُ عليهم به العذابُ؛ بَل تَتوفَّرُ لهم دَواعي الطِّباعِ و الخَواطرِ كلُّها على إظهارِ الطاعةِ و الانتقالِ عن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لَزِمَنا هذا السؤالُ لَزِمَ جميعَ أهلِ الإسلامِ مِثلُه في أهلِ الآخِرةِ و حالِهم في إبطالِ تَوبتِهم و كونِ نَدَمِهم غيرَ مقبولٍ، فمَهما أجابَ الموحِّدون لمَن ألزَمَهم ذلكَ فهو جوابُنا بعَينِه</w:t>
      </w:r>
      <w:r>
        <w:rPr>
          <w:rFonts w:eastAsia="Amiri" w:cs="Amiri" w:ascii="Amiri" w:hAnsi="Amiri"/>
          <w:color w:val="111111"/>
          <w:sz w:val="28"/>
          <w:szCs w:val="28"/>
          <w:rtl w:val="true"/>
          <w:lang w:bidi="ar-SA"/>
        </w:rPr>
        <w:t xml:space="preserve">. </w:t>
      </w:r>
      <w:bookmarkStart w:id="356" w:name="pg7486_97412"/>
    </w:p>
    <w:p>
      <w:pPr>
        <w:pStyle w:val="Heading6"/>
        <w:numPr>
          <w:ilvl w:val="5"/>
          <w:numId w:val="1"/>
        </w:numPr>
        <w:rPr/>
      </w:pPr>
      <w:bookmarkStart w:id="357" w:name="__RefHeading___Toc2226138_1051229030"/>
      <w:bookmarkStart w:id="358" w:name="_Toc129"/>
      <w:bookmarkEnd w:id="356"/>
      <w:bookmarkEnd w:id="357"/>
      <w:r>
        <w:rPr>
          <w:rtl w:val="true"/>
        </w:rPr>
        <w:t>سؤالٌ آخَرُ</w:t>
      </w:r>
      <w:r>
        <w:rPr>
          <w:rtl w:val="true"/>
        </w:rPr>
        <w:t>:</w:t>
      </w:r>
      <w:bookmarkEnd w:id="358"/>
    </w:p>
    <w:p>
      <w:pPr>
        <w:pStyle w:val="BookText"/>
        <w:rPr/>
      </w:pPr>
      <w:r>
        <w:rPr>
          <w:rFonts w:ascii="Amiri" w:hAnsi="Amiri" w:eastAsia="Amiri" w:cs="Amiri"/>
          <w:color w:val="111111"/>
          <w:sz w:val="28"/>
          <w:sz w:val="28"/>
          <w:szCs w:val="28"/>
          <w:rtl w:val="true"/>
          <w:lang w:bidi="ar-SA"/>
        </w:rPr>
        <w:t>و إن سَألوا علَى المذهبِ الأوّلِ و الجوابِ المتقدِّمِ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يُتَوَهَّمُ مِن القومِ الإقامةُ علَى العِنادِ و الإصرارُ على الخِلافِ، و قد عايَنوا فيما تَزْعُمونَ عقابَ القبورِ، و حَلَّ بِهم عندَ الرَّجعةِ العذابُ على ما تَعلَمونَ ممّا زعمتُم أنّهم مُقيمونَ عَلَيه؟ و كيفَ يَصِحُّ أن تَدْعُوَهم الدَّواعي إلى ذلكَ، و تخطُرَ لهم في فِعلِه الخَواطِرُ؟ و ما أنكرتُم أن تَكونوا في هذه الدَّعوى مُكابِرينَ؟</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2226140_1051229030"/>
      <w:bookmarkStart w:id="360" w:name="_Toc130"/>
      <w:bookmarkEnd w:id="359"/>
      <w:r>
        <w:rPr>
          <w:rtl w:val="true"/>
        </w:rPr>
        <w:t>جوابٌ</w:t>
      </w:r>
      <w:r>
        <w:rPr>
          <w:rtl w:val="true"/>
        </w:rPr>
        <w:t>:</w:t>
      </w:r>
      <w:bookmarkEnd w:id="360"/>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على مذهبِ مَن أجابَ بما حَكيناه مِن أصحابِنا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عَدَدتُموه لا يَمنَعُ مِن دخولِ الشُّبهةِ عَلَيهم في استحسانِ الخِلافِ؛ لأنّ القومَ يَظُنّونَ أنّهم إنّما بُعِثوا بَعدَ الموتِ تكرمةً لهم، و لِيَلوا الدُّنيا كما كانوا، أوّلاً، و يَظُنّونَ أنّ ما اعتقَدوه في العذابِ السالفِ لهم كانَ غَلَطاً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 بهم العقابُ ثانيةً توَهَّموا قَبلَ مفارَقةِ أرواحِهم أجسادَهم أنَّ ذلكَ ليسَ مِن طريقِ الاستحقاقِ، و أنّه مِن اللّهِ تَعالى لكنّه كما تكونُ الدُّوَلُ و كما حَلَّ بالأنبياءِ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لأصحابِ هذا الجوابِ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ذَكرناه في هذا البابِ بأعجَبَ مِن كفرِ قومِ موسى و عبادتِهم العِجلَ، و قد شاهَدوا مِنه الآياتِ، و عايَنوا ما حَلَّ بفِرعَونَ و ملئه علَى الخِلافِ، و لا هو بأعجَبَ مِن إقامةِ أهلِ الشركِ على خِلافِ رسولِ اللّهِ صلّى اللّه عليه و آله و هم يَعلَمونَ عجزَهم عن مِثلِ ما أتى به القرآنُ، و يَشهَدونَ مُعجِزاتِه و آياتِه، و يَجِدونَ مُخبَراتِ أخبارِه على حقائقِها؛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 </w:t>
      </w:r>
      <w:bookmarkStart w:id="361" w:name="pg7486_97414"/>
    </w:p>
    <w:p>
      <w:pPr>
        <w:pStyle w:val="BookText"/>
        <w:rPr/>
      </w:pPr>
      <w:bookmarkEnd w:id="36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و ما حَلَّ بهم مِن العقابِ بسَيفِه صلّى اللّه عليه و آله و هلاكِ كلِّ مَن توعَّدَه بالهَلاكِ، هذا و فيمن أظهَرَ الإيمانَ به المنافقونَ يَنضافونَ في خِلافه إلى أهل الشركِ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السؤالَ لا يَسوغُ لأصحابِ المَعارفِ مِن المعتزلةِ؛ لأنّهم يَزعُمونَ أنّ أكثرَ المخالفينَ علَى الأنبياءِ كانوا مِن أهلِ العِنادِ، و أنَّ جُمهورَ المُظهِرينَ الجهلَ باللّهِ تَعالى يَعرفونَه علَى الحقيقةِ، و يَعرفونَ أنبياءَهُ و صِدقَهم؛ و لكنّهم في الخلافِ علَى اللَّجاجةِ و العِنادِ، فلا يَمتنعُ أن يكونَ الحكمُ في الرَّجعةِ و أهلِها على هذا الوصفِ الذي 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 لَوْ رُدُّوا لَعادُوا لِما نُهُوا عَنْهُ وَ إِنَّهُمْ لَكاذِبُونَ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فأخبَرَ سُبحانَه أنّ أهلَ العقابِ لَو رَدَّهم إلَى الدُّنيا لَعادوا إلَى الكفرِ و العِنادِ، مَعَ ما شاهَدوا في القبورِ و في المَحشَرِ مِنَ الأهوالِ، و ما ذاقوا مِن أليمِ العذابِ</w:t>
      </w:r>
      <w:r>
        <w:rPr>
          <w:rFonts w:eastAsia="Amiri" w:cs="Amiri" w:ascii="Amiri" w:hAnsi="Amiri"/>
          <w:color w:val="111111"/>
          <w:sz w:val="28"/>
          <w:szCs w:val="28"/>
          <w:rtl w:val="true"/>
          <w:lang w:bidi="ar-SA"/>
        </w:rPr>
        <w:t>.</w:t>
      </w:r>
      <w:r>
        <w:rPr>
          <w:rStyle w:val="FootnoteAnchor"/>
          <w:rtl w:val="true"/>
        </w:rPr>
        <w:footnoteReference w:id="688"/>
      </w:r>
    </w:p>
    <w:p>
      <w:pPr>
        <w:pStyle w:val="Heading4"/>
        <w:numPr>
          <w:ilvl w:val="3"/>
          <w:numId w:val="1"/>
        </w:numPr>
        <w:rPr/>
      </w:pPr>
      <w:bookmarkStart w:id="362" w:name="__RefHeading___Toc2226142_1051229030"/>
      <w:bookmarkStart w:id="363" w:name="_Toc131"/>
      <w:bookmarkEnd w:id="362"/>
      <w:r>
        <w:rPr>
          <w:rtl w:val="true"/>
        </w:rPr>
        <w:t>ج</w:t>
      </w:r>
      <w:r>
        <w:rPr>
          <w:rtl w:val="true"/>
        </w:rPr>
        <w:t xml:space="preserve">: </w:t>
      </w:r>
      <w:r>
        <w:rPr>
          <w:rtl w:val="true"/>
        </w:rPr>
        <w:t>حكايته عن المفيد افتراقَ الشيعة بعد الإمام أبي محمّد العسكري عليه السلام</w:t>
      </w:r>
      <w:r>
        <w:rPr>
          <w:rtl w:val="true"/>
        </w:rPr>
        <w:t>:</w:t>
      </w:r>
      <w:bookmarkEnd w:id="363"/>
    </w:p>
    <w:p>
      <w:pPr>
        <w:pStyle w:val="Heading5"/>
        <w:numPr>
          <w:ilvl w:val="4"/>
          <w:numId w:val="1"/>
        </w:numPr>
        <w:rPr/>
      </w:pPr>
      <w:bookmarkStart w:id="364" w:name="__RefHeading___Toc2226144_1051229030"/>
      <w:bookmarkStart w:id="365" w:name="_Toc132"/>
      <w:bookmarkEnd w:id="364"/>
      <w:r>
        <w:rPr>
          <w:rtl w:val="true"/>
        </w:rPr>
        <w:t>الفصلُ الرابعُ و التسعونَ في افتراقِ الشيعةِ بَعدَ وفاةِ الإمام الحسنِ العسكريِّ عليه السلام</w:t>
      </w:r>
      <w:bookmarkEnd w:id="36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تُوُفِّيَ أبو محمّدٍ الحسنُ بنُ عليِّ بنِ محمّدٍ عليهم السلام افترَق أصحابُه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أبو محمّدٍ الحسنُ بنُ موسَى النَّوبَختيُّ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فرقةً؛ فقالَ الجُمهورُ منهم بإمامةِ ابنِه القائمِ </w:t>
      </w:r>
    </w:p>
    <w:p>
      <w:pPr>
        <w:pStyle w:val="BookText"/>
        <w:rPr/>
      </w:pPr>
      <w:r>
        <w:rPr>
          <w:rFonts w:ascii="Amiri" w:hAnsi="Amiri" w:eastAsia="Amiri" w:cs="Amiri"/>
          <w:color w:val="111111"/>
          <w:sz w:val="28"/>
          <w:sz w:val="28"/>
          <w:szCs w:val="28"/>
          <w:rtl w:val="true"/>
          <w:lang w:bidi="ar-SA"/>
        </w:rPr>
        <w:t>المنتظَرِ عليه السلام، و أثبَتوا ولادتَه، و صَحَّحوا النصَّ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 رسولِ اللّهِ صلّى اللّه عليه و آله و مهديُّ الأنامِ، و اعتَقَدوا أنّ له غَيبَتَينِ؛ إحداهما أطوَلُ مِن الأُخرى، و الأُولى منهما هي القُصْرى، و له فيها الأبوابُ و السُّفَراءُ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جماعةٍ مِن شُيوخِهم و ثِقاتِهم أنّ أباه الحسنَ عليه السلام أظهَرَه لهم، و أراهم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سنِّه عندَ وفاةِ أبيه، فقالَ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سنُّه إذ ذاكَ خَمسَ سنينَ؛ لأنّ أباه تُوُفِّيَ سنةَ ستّينَ و مائتَينِ، و كانَ مَولِدُ القائمِ عليه السلام سنةَ خَمسٍ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مَولِدُه سنةَ اثنتينِ و خَمسينَ و مائتَينِ، و كانَ سنُّه عندَ وفاةِ أبيه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لَم يَمُتْ حتّى أكمَلَ اللّهُ عقلَه، و علَّمَه الحِكمةَ و فَصلَ الخِطابِ، و أبانَه مِن سائرِ الخَلقِ بهذه الصفةِ؛ إذ كانَ خاتَمَ الحُجَجِ و وصيَّ الأوصياءِ و قائمَ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في جَوازِ ذلكَ بدليلِ العقلِ؛ مِن حيثُ ارتفَعَت إحالتُه، و دخَل تَحتَ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تعالى في قِصّةِ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يُكَلِّمُ النّاسَ فِي الْمَهْدِ وَ كَهْلاً</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و في قِصّةِ يَحيى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الأمرِ عليه السلام حيٌّ لَم يَمُتْ و لا يَموتُ و لو بَقِيَ ألفَ عامٍ حتّى يَملأَ الأرضَ عَدلاً و قِسطاً كما مُلئَت ظُلماً و جَوراً، و إنّه يكونُ عندَ ظهورِه شابّاً قويّاً في صورةِ ابنِ نَيِّفٍ و ثلاثينَ سنةً، و أثبَتوا ذلكَ في مُعجزاتِه،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جَعَلوه في جُملةِ دلائلِه و آياتِه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ممّن دانَت بإمامةِ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لَم يَمُتْ، و إنّما غابَ، و هو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ماتَ و عاشَ بَعدَ موتِه، و هو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اعتَلّوا في ذلكَ بخبرٍ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إنّما سُمِّيَ بذلكَ لأنّه يَقومُ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قد تُوُفِّيَ لا مَحالةَ، و إنّ الإمامَ مِن بَعدِه أخوه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اعتَلّوا في ذلكَ بالروايةِ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هو الذي لا يوجَدُ منه مَلجأٌ إلّاإليه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نَرَ للحسنِ عليه السلام ولداً ظاهراً التَجأنا إلَى القولِ بإمامةِ جعفرٍ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فرقةٌ ممّن كانت تقولُ بإمامةِ الحسنِ عليه السلام عن إمامتِه عندَ وفاتِه،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إماماً، و كانَ مدّعياً مُبطَلاً، و أنكَروا إمامةَ أخيه محمّدٍ،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بنُ عليٍّ بنصِّ أبيه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بذلكَ؛ لأنّ محمّداً ماتَ في حياةِ أبيه، و الإمامُ لا يَموتُ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عليه السلام، فلَم يَكُنْ له عَقِبٌ، و الإمامُ لا يَخرُجُ مِن الدُّنيا حتّى يَكونَ له عَقِبٌ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محمّدُ بنُ عليٍّ أخو الحسنِ بن عليٍّ عليه السلام، و رَجَعوا عن إمامةِ الحسنِ عليه السلام، و ادَّعَوْا حياةَ محمّدٍ بَعدَ أن كانوا يُنكِرونَ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الحسنِ عليه السلام ابنُه المنتظَرُ، و إنّه عليُّ بنُ الحسنِ، و ليس كما تَقولُ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بَعدَ ذلكَ بمقالةِ القَطعيّةِ في الغَيبةِ و الانتظارِ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ابنَ الحسنِ عليه السلام وُلِدَ بَعدَ أبيه بثَمانيةِ أشهُرٍ، و هو المنتظَرُ، و أكذَبوا مَن زعَم أنّه وُلِدَ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ماتَ عن غيرِ ولدٍ ظاهرٍ؛ و لكن عن حَبَلٍ مِن بعضِ جَواريهِ، و القائمُ مِن بَعدِ الحسنِ محمولٌ به و ما ولدته أُمُّه بَعدُ، و إنّه يَجوزُ أنّها تَبقى مائةَ سَنةٍ حاملاً به، فإذا ولدَته ظهَرَت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قد بطَلَت بَعدَ الحسنِ عليه السلام، و ارتفَعَت الأئمّةُ، و ليس في الأرضِ حُجّةٌ مِن آلِ محمّدٍ عليهم السلام، و إنّما الحُجّةُ الأخبارُ الواردةُ عن الأئمّةِ المتقدِّمينَ عليهم السلام، و زعَموا أنّ ذلكَ سائغٌ إذا غَضِبَ اللّهُ علَى العبادِ، فجعَله عقوبةً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أخَا الحسنِ بنِ عليٍّ عليهما السلام كانَ الإمامَ في الحقيقةِ مع أبيه عليٍّ عليه السلام، و إنّه لما حضَرَته الوفاةُ وَصّى إلى غلامٍ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 و كانَ ثقةً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إليه الكُتبَ و السِّلاحَ، و وَصّاه أن يُسلِّمَه إلى أخيه جعفرٍ، فسَلَّمَه إليه، و كانت الإمامةُ في جعفرٍ بَعدَ محمّدٍ على هذا الترتيبِ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الحسنَ عليه السلام كانَ إماماً، فلمّا قُبِضَ التبَس الأمرُ علينا؛ فلا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جعفرٌ كانَ الإمامَ بَعدَه، أم غيرُه؟ و الذي يَجِبُ علينا </w:t>
      </w:r>
    </w:p>
    <w:p>
      <w:pPr>
        <w:pStyle w:val="BookText"/>
        <w:rPr/>
      </w:pPr>
      <w:r>
        <w:rPr>
          <w:rFonts w:ascii="Amiri" w:hAnsi="Amiri" w:eastAsia="Amiri" w:cs="Amiri"/>
          <w:color w:val="111111"/>
          <w:sz w:val="28"/>
          <w:sz w:val="28"/>
          <w:szCs w:val="28"/>
          <w:rtl w:val="true"/>
          <w:lang w:bidi="ar-SA"/>
        </w:rPr>
        <w:t>أن نَقطَعَ على أنّه لا بُدَّ مِن إمامٍ، و لا نُقدِمَ علَى القولِ بإمامةِ أحدٍ بعَينهِ حتّى يَتبيَّنَ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الحسنِ ابنُه محمّدٌ، و هو المنتظَرُ، غيرَ أنّه قد ماتَ، و سَيَحْيا و يَقومُ بالسيفِ، فيَملَأُ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الفرقةُ الرابعةَ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عليه السلام كانَ الإمامَ بَعدَ أبيه، و إنّه لمّا حضَرَته الوفاةُ نَصَّ على أخيه جعفرِ بنِ عليِّ بنِ محمّدِ بنِ عليٍّ، و كانَ الإمامَ مِن بَعدِه بالنصِّ عليه و الوراثةِ له، و زَعَموا أنّ الذي دَعاهم إلى ذلكَ ما يَجِبُ في العقولِ مِن وجوبِ الإمامةِ مع فَقدِهم لِوَلدِ الحسنِ عليه السلام و بُطلانِ دَعوى مَن ادَّعى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هؤلاءِ الفِرَقِ التي ذكرناها فرقةٌ موجودةٌ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سنةِ ثلاثٍ و سَبعينَ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إلّاالإماميّةُ الاثنا عشريّةُ القائلةُ بإمامةِ ابنِ الحسنِ المسمّى باسمِ رسولِ اللّهِ صلّى اللّه عليه و آله القاطعةُ على حياتِه و بقائه إلى وقتِ قيامِه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شرحناه فيما تقدَّمَ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أكثرُ فِرَقِ الشيعةِ عدداً و علماءُ و متكلّمونَ نُظّارٌ و صالحونَ عُبّادٌ متفقِّهةٌ و أصحابُ حديثٍ و أُدباءُ و شُعراءُ، و هُم وجهُ الإماميّةِ و رُؤَساءُ جماعتِهم و المعتمَدُ عليهم في الديانةِ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سِواهم مُنقرِضونَ، لا يُعلَمُ أحدٌ مِن جُملةِ الأربعَ عَشرَةَ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قدَّمْنا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بمقالةٍ، و لا موجوداً على هذا الوصفِ مِن ديانتِه، و إنّما الحاصلُ منهم حكايةٌ عمّن سَلَفَ و أراجيفُ بوجودِ قومٍ منهم لا تَثبُتُ</w:t>
      </w:r>
      <w:r>
        <w:rPr>
          <w:rFonts w:eastAsia="Amiri" w:cs="Amiri" w:ascii="Amiri" w:hAnsi="Amiri"/>
          <w:color w:val="111111"/>
          <w:sz w:val="28"/>
          <w:szCs w:val="28"/>
          <w:rtl w:val="true"/>
          <w:lang w:bidi="ar-SA"/>
        </w:rPr>
        <w:t xml:space="preserve">. </w:t>
      </w:r>
      <w:bookmarkStart w:id="366" w:name="pg7486_97424"/>
    </w:p>
    <w:p>
      <w:pPr>
        <w:pStyle w:val="Heading5"/>
        <w:numPr>
          <w:ilvl w:val="4"/>
          <w:numId w:val="1"/>
        </w:numPr>
        <w:rPr/>
      </w:pPr>
      <w:bookmarkStart w:id="367" w:name="__RefHeading___Toc2226146_1051229030"/>
      <w:bookmarkStart w:id="368" w:name="_Toc133"/>
      <w:bookmarkEnd w:id="366"/>
      <w:bookmarkEnd w:id="367"/>
      <w:r>
        <w:rPr>
          <w:rtl w:val="true"/>
        </w:rPr>
        <w:t>الفصل الخامسُ و التسعونَ في الردِّ علَى الفِرَقِ الضالّةِ عن طريقِ الهُدى‌</w:t>
      </w:r>
      <w:bookmarkEnd w:id="368"/>
    </w:p>
    <w:p>
      <w:pPr>
        <w:pStyle w:val="BookText"/>
        <w:rPr/>
      </w:pPr>
      <w:r>
        <w:rPr>
          <w:rFonts w:ascii="Amiri" w:hAnsi="Amiri" w:eastAsia="Amiri" w:cs="Amiri"/>
          <w:color w:val="111111"/>
          <w:sz w:val="28"/>
          <w:sz w:val="28"/>
          <w:szCs w:val="28"/>
          <w:rtl w:val="true"/>
          <w:lang w:bidi="ar-SA"/>
        </w:rPr>
        <w:t>و أمّا الفرقةُ القائلةُ بحياةِ أبي محمّدٍ عليه السلام، فإنّه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الفصلُ بَينَكم و بَينَ الواقفةِ و الناوُسيّةِ؟ فلا يَجِدونَ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زعَمَت أنّ أبا محمّدٍ عليه السلام عاشَ مِن بَعدِ موتِه و هو المنتظَرُ، فإنّه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تَخلُوَ الدُّنيا مِن إمامٍ حيٍّ يوماً، فلِمَ لا يَجوزُ أن تَخلوَ منه شهراً، و إذا جازَ أن تخلوَ منه شهراً فلِمَ لا يجوزُ أن تخلوَ منه سَنةً؟ و ما الفرقُ بَينَ ذلكَ و بَينَ أن تَخلو أبداً مِن إمامٍ؟ و هذا خروجٌ عن مذهبِ الإماميّةِ، و قولٌ بمذهبِ الخوارجِ و المعتزلةِ، و مَن صارَ إليه مِن الشيعةِ كُلِّمَ كلامَ الناصبةِ، و دُلَّ على وجوبِ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الحسنُ عليه السلام ميّتاً لا مَحالةَ و لَم يَعِشْ بَعدُ و سَيَعيشُ؟ و هذا نقضُ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اعتَلّوا به مِن أنّ القائمَ إنّما سُمِّيَ بذلكَ؛ لأنّه يَقومُ بَعدَ الموتِ، فإنّه يُحتملُ أن يَكونَ أُريدَ به بَعدَ موتِ ذِكرِه، دونَ أن يَكونَ المرادُ به موتَه في الحقيقةِ بعدمِ الحياةِ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لا يَجِدونَ بهذا الاعتلالِ بَينَهم و بَينَ الكَيسانيّةِ فَرقاً، مع أنّ الروايةَ قد جاءت بأنّ القائمَ إنّما سُمِّيَ بذلكَ؛ لأنّه يَقومُ بدِينٍ قد اندَرَسَ، و يَظهَرُ بحقٍّ كانَ مخفيّاً، و يَقومُ بالحقِّ مِن غيرِ تقيّةٍ تَعتَريهِ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يُسقِطُ ما ادَّعَوه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الفرقةُ التي زعَمَت أنّ جعفرَ بنَ عليٍّ هو الإمامُ بَعدَ أخيه الحسنِ عليه السلام، فإنّهم صاروا إلى ذلكَ مِن طريقِ الظنِّ و التوهُّمِ، و لَم يورِدوا خبراً و لا أثراً </w:t>
      </w:r>
    </w:p>
    <w:p>
      <w:pPr>
        <w:pStyle w:val="BookText"/>
        <w:rPr/>
      </w:pPr>
      <w:r>
        <w:rPr>
          <w:rFonts w:ascii="Amiri" w:hAnsi="Amiri" w:eastAsia="Amiri" w:cs="Amiri"/>
          <w:color w:val="111111"/>
          <w:sz w:val="28"/>
          <w:sz w:val="28"/>
          <w:szCs w:val="28"/>
          <w:rtl w:val="true"/>
          <w:lang w:bidi="ar-SA"/>
        </w:rPr>
        <w:t>يَجِبُ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فصلَ بَينَ هؤلاءِ القومِ و بَينَ مَن ادَّعَى الإمامةَ بَعدَ الحسنِ عليه السلام لبعضِ الطالبيّينَ، و اعتمَدَ علَى الدَّعوَى المُتعرِّيةِ مِن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اعتَلّوا به مِن الحديثِ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هو الّذي لا يوجَدُ منه مَلجأٌ إلّاإليهِ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فإنّه يُقالُ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زَعَمتم أنّه لا مَلجأَ إلّاإلى جعفرٍ؟ و ما أنكَرتم أن يَكونَ المَلجأُ هو ابنَ الحسنِ عليه السلام الذي نقَلَ جُمهورُ الإماميّةِ النصَّ عليه؟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نُثبِتَ وجودَ مَن لَم نُشاهِدْه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يَجِبُ ذلكَ إذا قامتِ الدَّلالةُ على وجودِه؟ مع أنّه لا يَجِبُ علينا أن نُثبِتَ الإمامةَ لِمَن لا نصَّ عليه و لا دليلَ على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العلّةَ يُمكنُ أن يَعتَلَّ بها كلُّ مَن ادَّعَى الإمامةَ لرجلٍ مِن آلِ أبي طالبٍ بَعدَ الحسنِ عليه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ذلكَ لأنَّني لَم أجِدْ مَلجأً إلّاإليه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الراجعةُ عن إمامةِ الحسنِ عليه السلام و المُنكِرةُ لإمامةِ أخيه محمّدٍ، فإنّها يُحتَجُّ عليها بدليلِ إمامةِ الحسنِ عليه السلام مِن النصِّ عليه و التَّواتُرِ عن أبيه به، و يُطالَبُ بالدَّلالةِ على إمامةِ عليِّ بنِ محمّدٍ عليهما السلام، فكلُّ شيءٍ اعتَمَدوه في ذلكَ فإنّه العُمدةُ عليهم فيما أبَوْه مِن إمامةِ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إنكارُهم لإمامةِ محمّدِ بنِ عليٍّ أخي الحسنِ عليه السلام، فقد أصابوا في ذلكَ، و نحنُ مُوافِقوهم على صحَّتِه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اعتِلالُهم لصَوابِهم في الرجوعِ عن إمامةِ الحسنِ عليه السلام و أنّه ممّن مَضى و لا عَقِبَ له، فهو اعتمادٌ علَى التوهُّمِ؛ لأنّ الحسنَ عليه السلام قد أعقَبَ‌ق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المنتظَرَ عليه السلام، و الأدلّةُ على إمامتِه أكثرُ مِن أن تُحصى، و ليس إذا لَم يُشاهَدِ الإمامُ بطَلَت إمامتُه، و لا إذا لَم يُدرَكْ وجودُه حِسّاً و اضطراراً أو لَم يَظهَرْ للخاصّةِ و العامّةِ كانَ ذلكَ دليلاً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الأُخرَى الراجعةُ عن إمامةِ الحسنِ عليه السلام إلى إمامةِ أخيه محمّدٍ، فهي كالتي قَبلَها، و الكلامُ عليها نحوُ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أشدُّ بَهْتاً و مُكابَرةً؛ لأنّهم أنكَروا إمامةَ مَن كانَ حيّاً بَعدَ أبيه، و ظهَرَت عنه مِن العلومِ ما يَدُلُّ على فضلِه علَى الكلِّ، و ادَّعَوْا إمامةَ رجلٍ ماتَ في حياةِ أبيه، و لَم يَظهَرْ منه عِلمٌ و لا مِن أبيهِ عليه السلام نصٌّ عليه، بَعدَ أن كانوا يَعتَرفونَ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سُقّاطٌ</w:t>
      </w:r>
      <w:r>
        <w:rPr>
          <w:rStyle w:val="FootnoteAnchor"/>
          <w:rtl w:val="true"/>
        </w:rPr>
        <w:footnoteReference w:id="693"/>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اعترَفَت بولدِ الحسنِ عليه السلام و أقرَّت بأنّه المنتظَرُ إلّاأنّها زعَمَت أنّه عليٌّ، و لبس بمحمّدٍ، فالخلافُ بَينَنا و بَينَ هؤلاءِ في الاسمِ دونَ المعنى، و الكلامُ لهم فيه خاصّةً، فيَجِبُ أن يُطالَبوا بالأثرِ في الاسمِ؛ فإنّهم لا يَجِدونَه، و الأخبارُ منتشرةٌ في أهلِ الإمامةِ و غيرِهم أنّ اسمَ القائمِ عليه السلام اسمُ رسولِ اللّهِ صلّى اللّه عليه و آله، و لَم يَكُنْ في أسماءِ رسولِ اللّهِ صلّى اللّه عليه و آله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أقربَ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كافٍ فيما يُحتَجُّ به على هؤلاءِ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الفرقةُ التي زعَمَت أنّ القائمَ ابنُ الحسنِ عليه السلام، و أنّه وُلِدَ بَعدَ أبيه بثَمانيةِ أشهُرٍ، و أنكَروا أن يَكونَ وُلِدَ في حياةِ أبيه، فإنّه يُحتَجُّ عليهم بوجوبِ الإمامةِ مِن جهةِ العُقولِ، و كلُّ شيءٍ يَلزَمُ المعتزلةَ و أصنافَ الناصبةِ يَلزَمُ هذهِ الفرقةَ فيما ذهبوا إليه مِن جوازِ خُلُوِّ العالَمِ مِن وجودِ إمامٍ حيٍّ كاملٍ ثَمانيةَ أشهُرٍ؛ لأنّه لا فَرقَ بَينَ الثَّمانيةِ و الثَّمانينَ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ذلكَ؟ أ بالعقلِ قُلتموه، أم بالسمعِ؟ فإنِ ادَّعَوُا العقلَ أحالوا في القَولِ؛ لأنّ العقلَ لا مَدخَلَ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ادَّعَوُا السمعَ طولِبوا بالأثرِ فيه، و لن يَجِدوه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صاروا إلى هذا القولِ مِن جهةِ الظنِّ و التَّرجيمِ بالغيبِ، و الظنُّ لا يُعتَمَدُ عليه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الأُخرَى التي زعَمَت أنّ الحسنَ عليه السلام تُوُفِّيَ عن حَمْلٍ بالقائمِ عليه السلام، و أنّه لَم يولَدْ بَعدُ، فهيَ مُشارِكةٌ للفرقةِ المتقدّمةِ لها في إنكار الوِلادةِ، و ما دَخَلَ على تلكَ داخلٌ على هذه، و يَلزَمُها مِن التجاهُلِ ما يَلزَمُ تلكَ؛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حَمْلاً يَكونُ مائةَ سَنةٍ، إذ كانَ هذا ممّا لَم تَجرِ بهِ عادةٌ، و لا جاءَ به أثرٌ في أحدٍ مِن سائرِ الأُمَمِ، و لَم يَكُنْ له نَظيرٌ، و هو و إن كانَ مقدوراً للّهِ تعالى فليس يَجوزُ أن يَثبُتَ إلّابَعدَ الدليلِ الموجِبِ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اعترَفَ به مِن حَيثُ الجوازِ فأَوجَبَه، يَلزَمُه إيجابُ وجودِ كلِّ مقدورٍ، حتّى لا يأْمَنَ لعلَّ المياهَ قد استَحالَت ذَهَباً و فضّةً، و كذلكَ الأشجارُ، و لعلَّ كلَّ كافرٍ في العالَمِ إذا نامَ مَسَخَهُ اللّهُ تَعالى قِرْداً أو كلباً أو خنزيراً مِن حَيثُ لا يُشعَرُ به، ثُمّ يُعيدُه إلَى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بالبلادِ القُصوى ممّا لا نَعرِفُ خَبَرَه نساءً يَحبَلنَ يوماً و يَضَعنَ من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جهلٌ و ضلالٌ فَتَحَه على نفسِه مَن اعترَفَ بخَرْقِ العادةِ مِن غيرِ حُجّةٍ، و اعتمَدَ على جَوازِ ذلكَ في القُدرةِ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الفرقةُ التي زعَمَت أنّ الإمامةَ قد بطَلَت بَعدَ الحسنِ عليه السلام، فإنّ وجوبَ الإمامةِ بالعقلِ يُفسِدُ قَولَها، 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لا تُخلي الأرضَ مِن حُجّةٍ لَكَ على خَلقِكَ؛ إمّا ظاهراً مشهوراً، أو خائفاً مغموراً؛ كيلا تَبطُلَ حُجَجُكَ وَ بَيِّناتُكَ</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قَولَ النّبيِّ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أُمَّتي عَدلٌ مِن أهلِ بَيتي؛ يَنفي عن هذَا الدِّينِ تَحريفَ الغالِينَ و انتِحالَ المُبطِلينَ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فأمّا تعلُّقُهم 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يُخلي الأرضَ مِن حُجّةٍ إلّاأن يَغضَبَ على أهلِ الدُّنيا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فالمعنى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يُخليها مِن حُجّةٍ ظاهرةٍ؛ بدلالةِ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زعَمَت أنّ محمّدَ بنَ عليٍّ عليهما السلام كانَ إماماً بَعدَ أبيه، و أنّه وَصّى إلى غلامٍ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أعطاه السلاحَ و الكُتبَ، و أمَره أن يَدفَعَه إلى جعفرٍ، فإنّ الذي قدَّمناه علَى الإسماعيليّةِ مِن الدليلِ على بُطلانِ إمامةِ إسماعيلَ بوفاتِه في حياةِ أبيه يَكسِرُ قولَ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نَزيدُه بياناً أنّ وصيَّ الإمامِ لا يَكونُ إلّا إماماً،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محمّدٍ لَم يَكُن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إمامةَ جعفرٍ عدمُ الدَّلالةِ على إمامةِ محمّدٍ، و دليلُ بُطلانِ إمامتِه أيضاً ما ذكرناه مِن وفاتِه في حياةِ أبيه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الفرقةُ التي أقَرَّت بإمامةِ الحسنِ عليه السلام و وقَفَت بَعدَه و اعتقَدَت أنّه لا بُدَّ مِن إمامٍ، و لَم يُعَيِّنوا على أحَدٍ، فالحُجّةُ عليهِم النقلُ الصادقُ بإمامةِ المنتظَرِ عليه السلام، و النصُّ مِن أبيه عليه، و ليس هذا مَوضِعَه فنذكرَه علَى 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الفرقةُ التي أقَرَّت بالمنتظَرِ و أنّه ابنُ الحسنِ عليه السلام و زعَمَت أنّه قد ماتَ و سَيَحْيا و يَقومُ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الحُجّةَ عليها ما يَجِبُ مِن وجودِ الإمامِ و حياتِه و كمالِه و كَونِه بحيثُ يَسمَعُ الاختلافَ و يَحفَظُ الشرعَ، و بدَلالةِ أنّه لا فرقَ بَينَ موتِه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اعترَفَت بأنّ أبا محمّدٍ الحسنَ بنَ عليٍّ عليهما السلام كان الإمامَ بَعدَ أبيه، و ادَّعَت أنّه لمّا حضَرَته الوفاةُ نَصَّ على أخيه جعفرِ بنِ عليٍّ، و اعتَلّوا في ذلك بأن زعَموا أنّ دَعوى مَن ادَّعَى النصَّ علَى ابنِ الحسنِ عليه السلام باطِلةٌ، و العقلَ يوجِبُ الإمامةَ، فلذلكَ اضطُرّوا إلَى القولِ بإمامةِ جعفرٍ، 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 نقلَ الإماميّةِ النصَّ مِن الحسنِ عليه السلام علَى ابنِه باطلٌ؟ و ما أنكَرتم أن يَكونَ حقّاً؟ لقيامِ الدَّلالةِ على وجوبِ الإمامةِ، و ثِقَةِ الناقلينَ، و علامةِ صِدقِهم بصفاتِ الغَيبةِ، و الخبرِ فيها عمّا يَكونُ قَبلَ كَونِه، و تكونُ النَّقَلةُ لذلكَ خاصّةً أصحابُ الحسنِ عليه السلام و السفراءُ بَينَه و بَينَ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لفَسادِ إمامةِ جعفرٍ؛ لِما كانَ عليه في الظاهرِ مِمّا يُضادُّ صفاتِ الإمامةِ؛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نُقصانِ العِلمِ، و قلّةِ المعرفةِ، و ارتكابِ القَبائحِ، و الاستخفافِ بحُقوقِ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مُخلَّفي أخيه، مع عدمِ النصِّ عليه؛ لفَقْدِ أحدٍ مِن الخَلقِ يَروي ذلكَ، أو يأثُرُه عن أحدٍ مِن آبائه، أو مِن أخيه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على ما ذكرناه فقد سقَط ما تعلَّقَ به هذا الفريقُ أيضاً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فَصلَ بَينَ هؤلاءِ القومِ و بَينَ مَن ادَّعى إمامةَ بعضِ الطالبيّينَ و اعتَلَّ بعلَّتِهم في وجوبِ الإمامةِ و فَسادِ قولِ الإماميّةِ و زَعمِهِم فيما يَدَّعونَه مِن النصِّ علَى ابنِ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لا فَصلَ بَينَ القَولَينِ، و أحدُهما باطلٌ بلا خِلافٍ، فالآخَرُ في البُطلانِ و الفَسادِ مِثلُه</w:t>
      </w:r>
      <w:r>
        <w:rPr>
          <w:rFonts w:eastAsia="Amiri" w:cs="Amiri" w:ascii="Amiri" w:hAnsi="Amiri"/>
          <w:color w:val="111111"/>
          <w:sz w:val="28"/>
          <w:szCs w:val="28"/>
          <w:rtl w:val="true"/>
          <w:lang w:bidi="ar-SA"/>
        </w:rPr>
        <w:t xml:space="preserve">. </w:t>
      </w:r>
      <w:bookmarkStart w:id="369" w:name="pg7486_97438"/>
    </w:p>
    <w:p>
      <w:pPr>
        <w:pStyle w:val="BookText"/>
        <w:rPr/>
      </w:pPr>
      <w:bookmarkEnd w:id="369"/>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كافيةٌ فيما قَصَدناه، و نحنُ نَشرَحُ هذه الأبوابَ و القَولَ فيها علَى الاستقصاءِ و البيانِ في كتابٍ نُفرِدُه بَعدُ، و اللّهُ وليُّ التوفيقِ، و إيّاه نَستَهدي إلى سَبيلِ الرَّشادِ</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226148_1051229030"/>
      <w:bookmarkStart w:id="371" w:name="_Toc134"/>
      <w:bookmarkEnd w:id="370"/>
      <w:r>
        <w:rPr>
          <w:rtl w:val="true"/>
        </w:rPr>
        <w:t>د</w:t>
      </w:r>
      <w:r>
        <w:rPr>
          <w:rtl w:val="true"/>
        </w:rPr>
        <w:t xml:space="preserve">. </w:t>
      </w:r>
      <w:r>
        <w:rPr>
          <w:rtl w:val="true"/>
        </w:rPr>
        <w:t>فلسفة الغيبة</w:t>
      </w:r>
      <w:r>
        <w:rPr>
          <w:rtl w:val="true"/>
        </w:rPr>
        <w:t>:</w:t>
      </w:r>
      <w:bookmarkEnd w:id="371"/>
    </w:p>
    <w:p>
      <w:pPr>
        <w:pStyle w:val="Heading5"/>
        <w:numPr>
          <w:ilvl w:val="4"/>
          <w:numId w:val="1"/>
        </w:numPr>
        <w:rPr/>
      </w:pPr>
      <w:bookmarkStart w:id="372" w:name="__RefHeading___Toc2226150_1051229030"/>
      <w:bookmarkStart w:id="373" w:name="_Toc135"/>
      <w:bookmarkEnd w:id="372"/>
      <w:r>
        <w:rPr>
          <w:rtl w:val="true"/>
        </w:rPr>
        <w:t>الفصلُ السادسُ و التسعونَ في الغَيبةِ‌</w:t>
      </w:r>
      <w:bookmarkEnd w:id="373"/>
    </w:p>
    <w:p>
      <w:pPr>
        <w:pStyle w:val="BookText"/>
        <w:rPr/>
      </w:pPr>
      <w:r>
        <w:rPr>
          <w:rFonts w:ascii="Amiri" w:hAnsi="Amiri" w:eastAsia="Amiri" w:cs="Amiri"/>
          <w:color w:val="111111"/>
          <w:sz w:val="28"/>
          <w:sz w:val="28"/>
          <w:szCs w:val="28"/>
          <w:rtl w:val="true"/>
          <w:lang w:bidi="ar-SA"/>
        </w:rPr>
        <w:t xml:space="preserve">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رسولُ اللّهِ صلّى اللّه عليه و آله قد ظهَر قَبلَ استتارِه، و دَعا إلى نَفْسِه قَبلَ هِجرتِه؟ و كانت وِلادتُه معروفةً، و نسبُه مشهوراً، و دارُه معلومةً؟ هذا مع الخبرِ عنه في الكُتبِ الأُولى و البشارةِ به في صُحُفِ إبراهيمَ و موسى و إدراكِ قريشٍ و أهلِ الكتابِ علاماتِه و مشاهدتِهم لدلائلِ نبوّتِه و أعلامِ عواقبِه، فكيفَ لَم يَخَفْ مع ذلكَ على نفْسِه، و لا أمَرَ اللّهُ أباه بسَترِ وِلادتِه، و فرَض عليه إخفاءَ أمرِه؟ كما زعَمتم أنّه فرَض ذلكَ على أبي الإمامِ، لمّا كانَ المنتظَرَ عندَكم مِن بَينِ الأئمّةِ و المشارَ إليه بالقيامِ بالسيفِ دونَ آبائِه، فأَوجَبَ ذلكَ على مَا ادَّعَيتموه و اعتَلَلتم به في الفَرقِ بَينَ آبائه و بَينَه في الظهورِ على خبرِه و كَتْمِ وِلادتِه و السَّترِ عن الأنامِ شَخصَه؟</w:t>
      </w:r>
    </w:p>
    <w:p>
      <w:pPr>
        <w:pStyle w:val="BookText"/>
        <w:rPr/>
      </w:pPr>
      <w:r>
        <w:rPr>
          <w:rFonts w:ascii="Amiri" w:hAnsi="Amiri" w:eastAsia="Amiri" w:cs="Amiri"/>
          <w:color w:val="111111"/>
          <w:sz w:val="28"/>
          <w:sz w:val="28"/>
          <w:szCs w:val="28"/>
          <w:rtl w:val="true"/>
          <w:lang w:bidi="ar-SA"/>
        </w:rPr>
        <w:t>و هل قولُكم في الغَيبةِ مع ما وَصَفناه مِن حالِ النبيِّ صلّى اللّه عليه و آله إلّا فاسدٌ متناقِضٌ؟</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لا تُدرَكُ مِن جهةِ القياسِ، و لا تُعرَفُ أيضاً بالتوهُّمِ، و لا يُتوصَّلُ إليها بالنَّظائِر و الأمثالِ، و إنّما تُعلَمُ مِن جهةِ علّامِ الغُيوبِ المُطَّلِع علَى الضمائرِ العالِمِ بالعواقبِ الذي لا تَخفى عليه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يُنكَرُ أن يَكونَ </w:t>
      </w:r>
    </w:p>
    <w:p>
      <w:pPr>
        <w:pStyle w:val="BookText"/>
        <w:rPr/>
      </w:pPr>
      <w:r>
        <w:rPr>
          <w:rFonts w:ascii="Amiri" w:hAnsi="Amiri" w:eastAsia="Amiri" w:cs="Amiri"/>
          <w:color w:val="111111"/>
          <w:sz w:val="28"/>
          <w:sz w:val="28"/>
          <w:szCs w:val="28"/>
          <w:rtl w:val="true"/>
          <w:lang w:bidi="ar-SA"/>
        </w:rPr>
        <w:t>سُبحانَه قد عَلِمَ مِن حالِ رسولِه صلّى اللّه عليه و آله مع جميعِ ما شَرَحتم أنّه لا يُقدِمُ عليه أحدٌ و لا يؤثَرُ ذلكَ منه؛ إمّا لخوفٍ مِن الإقدامِ على ذلكَ، أو لشَكٍّ فيما قد سَمِعوه مِن وصفِه، أو لشُبهةٍ عرَضَت لهم في الرأيِ فيه، فدَبَّرَه اللّهُ سبحانَه في الظهورِ على خلافِ تدبيرِ الإمامِ المنتظَرِ؛ لاختلافِ الحالَينِ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يوضِحُ عمّا ذَكرناه أنّه لَم يَتعرَّضْ أحدٌ مِن عبدةِ الأَوثانِ و لا أهلِ الكتابِ و لا أحدٌ مِن مُلوكِ العربِ و الفُرسِ مع ما قد اتَّصل بهم مِن البِشارةِ بالنبيِّ صلّى اللّه عليه و آله لأحدٍ مِن آباءِ رسولِ اللّهِ صلّى اللّه عليه و آله بالإخافةِ، و لا لاستبراءِ واحدةٍ مِن امَّهاتِه لمعرفةِ الحملِ به، و لا قَصَدوا الإضرارَ به في حالِ الوِلادةِ، و لا طولَ زمانِه إلى أن صَدَعَ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أنّ المُلوكَ مِن وُلْدِ العبّاسِ لَم يَزالوا علَى الإخافةِ لآباءِ الإمامِ، و خاصّةً ما جَرى مِن أبي جعفرٍ مع الصادقِ عليه السلام، و ما صنَعه هارونُ بأبي الحسنِ موسَى بنِ جعفرٍ الكاظمِ عليه السلام حتّى هلَك في حَبْسِه ببَغدادَ، و ما قصَد به المتوكِّلُ أبا الحسنِ العسكريَّ عليه السلام جَدَّ الإمامِ حتّى أشخَصَه مِن الحجازِ، فحبَسه عندَه بسُرَّ مَن رأى، و كذلكَ جَرى أمرُ أبي محمّدٍ الحسنِ عليه السلام بَعدَ أبيه إلى أن قبَضه اللّهُ عزَّ و جلَّ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مِن أمرِ المعتمِدِ بَعدَ وفاةِ أبي محمّدٍ عليه السلام ما لَم يَخْفَ على أحدٍ؛ مِن حَبْسِه لجَواريهِ، و المُساءَلةِ عن حالِهنّ في الحَمْلِ، و استبراءِ أمْرِهنّ؛ عندَ ما اتَّفَقَت كلمةُ الإماميّةِ على أنّ القائمَ هو ابنُ الحسنِ عليه السلام، فظنَّ المعتمِدُ أنّه يَظفَرُ به فيَقتلُه، و يُزيلُ طمعَهم في ذلكَ، فلَم يَتمكَّنْ مِن مرادِه، و بَقِيَ بعضُ جَواري أبي محمّدٍ عليه السلام في الحبسِ أشهُراً كثيرةً، فدلَّ بذلكَ علَى الفَرقِ </w:t>
      </w:r>
    </w:p>
    <w:p>
      <w:pPr>
        <w:pStyle w:val="BookText"/>
        <w:rPr/>
      </w:pPr>
      <w:r>
        <w:rPr>
          <w:rFonts w:ascii="Amiri" w:hAnsi="Amiri" w:eastAsia="Amiri" w:cs="Amiri"/>
          <w:color w:val="111111"/>
          <w:sz w:val="28"/>
          <w:sz w:val="28"/>
          <w:szCs w:val="28"/>
          <w:rtl w:val="true"/>
          <w:lang w:bidi="ar-SA"/>
        </w:rPr>
        <w:t>بَينَ حالِ النبيِّ صلّى اللّه عليه و آله في مَولدِه و بَينَ الإمامِ عليه السلام على ما قدَّمناه بما ذكرناه و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قد كانَ مأموناً على رسولِ اللّهِ صلّى اللّه عليه و آله مِن بَني هاشمٍ و بَني عبدِ المُطَّلِبِ و جميعِ أهلِ بَيتِه و أقارِبِه؛ لأنّ الشرفَ المتوقَّعَ له بالنبوّةِ كانَ شرفَهم، و المنزلةَ التي تَحصُلُ له بذلكَ فهي تَختَصُّ بهم، و عِلمَهم بهذه الحالِ يَبعَثُهم على صيانتِه و حفظِه و كَلاءَتِه ليَبلُغَ الرتبةَ التي يَرجونَها له، فيَنالونَ بها أعلَى المَنازلِ، و يَملِكونَ بها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البُعَداءُ منهم في النَّسَبِ، فيَعجِزونَ عن إيقاعِ الضررِ به؛ لموضعِ أهلِ بيتِه، و مَنعِهم منه، و عِلمِهم بحالِهم، و أنّهم أمنَعُ العربِ جانباً، و أشدُّهم بأساً، و أعَزُّهم عشيرةً، فيَصُدُّهم ذلكَ عن التعرُّضِ له، و يَمنَعُ مِن خُطورِه ببالِهم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فَصلٌ بَينَ حالِ النبيِّ صلّى اللّه عليه و آله فيما يوجِبُ ظهورَه مع انتشارِ ذِكرِه و البِشارةِ به و بيَنَ الإمامِ عليه السلام فيما يُجوِّزُ استتارَه و كَتْمَ وِلادتِه، و هذا بَيِّنٌ لِمَن تدبَّرَه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شيءٌ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مُلوكَ العَجَمِ في زمانِ مولدِ النبيِّ صلّى اللّه عليه و آله لَم يَكونوا يَكرَهونَ مَجيءَ نبيٍّ يَدعو إلى شرعٍ مستأنَفٍ، و لا يَخافونَ بمَجيئه على أنفُسِهم، و لا على مُلكِهم؛ لأنّهم كانوا يَنوونَ الإيمانَ به و الاتّباعَ له، و قد كانَتِ اليَهودُ تَستفتِحُ به علَى العربِ، و تَرجو ظهورَه،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و إنّما حصَل للقومِ الخِلافُ عليه و الإباءُ له بنيّةٍ تَجدّدَت لهم عندَ مَبعثِه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يَجرِ أمرُ الإمامِ المنتظَرِ عليه السلام هذا المَجرى؛ بلِ المعلومُ مِن حالِ جَميعِ مُلوكِ زمانِ مولدِه و مولِد آبائه خِلافُ ذلكَ، مِن اعتقادِهم فيمن ظهَر منهم يَدعو إلى إمامةِ نفسِه أو يَدعو إليه داعٍ سَفْكَ دَمِه و استئصالَ أهلِه 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مَكَثَ ثلاثَ عَشْرةَ سَنةً يَدعو بمكّةَ إلى دينِه و الاعترافِ بالوحدانيّةِ و بنُبوّتِه، و يُسَفِّهُ جميعَ مَن خالَفَه، و يُضَلِّلُهم، و يَسُبُّ آلهَتَهم، فلَم يُقدِمْ أحدٌ منهم على قتلِه، و لا رامَ ذلكَ، و لا استَقامَ لهم نفيُه عن بلادِهم و لا حبسُه و لا منعُهُ مِن دَعوَتِه، و نحنُ نَعلَمُ عِلماً يقيناً لا يَتَخالَجُنا فيه الشكُّ بأنّه لَو ظنَّ أحدٌ منِ مُلوكِ هذه الأزمانِ ببعضِ آلِ أبي طالبٍ أنّه يُحدِّثُ نفسَه بادِّعاءِ الإمامةِ بَعدَ مدّةٍ طويلةٍ لَسفَك دمَه دونَ أن يَعلَمُ ذلكَ و يَتحقَّقَه، فضلاً عن أن يَراه و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أهلُ العِلمِ كافّةً أنّ أكثرَ مَن حُبِسَ في السُّجونِ مِن وُلْدِ رسولِ اللّهِ صلّى اللّه عليه و آله و قُتِلَ بالغِيلةِ‌</w:t>
      </w:r>
      <w:r>
        <w:rPr>
          <w:rStyle w:val="FootnoteAnchor"/>
          <w:rtl w:val="true"/>
        </w:rPr>
        <w:footnoteReference w:id="700"/>
      </w:r>
      <w:r>
        <w:rPr>
          <w:rFonts w:ascii="Amiri" w:hAnsi="Amiri" w:eastAsia="Amiri" w:cs="Amiri"/>
          <w:color w:val="111111"/>
          <w:sz w:val="28"/>
          <w:sz w:val="28"/>
          <w:szCs w:val="28"/>
          <w:rtl w:val="true"/>
          <w:lang w:bidi="ar-SA"/>
        </w:rPr>
        <w:t>إنّما فُعِلَ به ذلكَ علَى الظِّنّةِ و التُّهَمةِ دونَ اليقينِ و الحقيقةِ، و لو لَم يَكُنْ أحدٌ منهم حَلَّ به ذلكَ إلّاموسَى بنُ جعفرٍ عليه السلام لَكانَ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هذه الأُمورَ و عرَفَها، و فكَّر فيما ذكرناه و تبيَّنَه، انكشَفَ له الفرقُ بَينَ النبيِّ و بَينَ الإمامِ فيما سألَ عنه هؤلاءِ القومُ، و لَمْ يَتَخالَجْه فيه ارتيابٌ، و اللّهُ المُوفِّقُ للصوابِ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النحوِ يَجِبُ أن يُجابَ مَن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الرسولُ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ظهَر في أوّلِ أمرِه، و عرَفَتِ العامّةُ و الخاصّةُ وجودَه، ثُمّ استتَر بَعدَ ذلكَ عندَ الخوفِ على نَفْسِه؟ فقد كانَ يَجِبُ أن يَكونَ تدبيرُ الإمامِ في ظُهورِه و استتارِه كذلكَ، معَ أنّ الاتّفاقاتِ ليس عليها قياسٌ، و الألطافُ و المصالحُ تَختلفُ في أنفُسِها، و لا تُدرَكُ حقائقُها إلّابسمعٍ يَرِدُ عن عالِمِ الخفيّاتِ جلَّت عظَمتُه، فلا يَجِبُ أن يُسْلَكَ في معرفتِها طريقَ الاعتبارِ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يَستِترُ هذا البابُ إلّاعلى مَن قَلَّ عِلمُه بالنظَرِ، و بَعُدَ عنِ الصوابِ، و اللّهَ نَستَهدي إلى سَبيلِ الرَّشادِ</w:t>
      </w:r>
      <w:r>
        <w:rPr>
          <w:rFonts w:eastAsia="Amiri" w:cs="Amiri" w:ascii="Amiri" w:hAnsi="Amiri"/>
          <w:color w:val="111111"/>
          <w:sz w:val="28"/>
          <w:szCs w:val="28"/>
          <w:rtl w:val="true"/>
          <w:lang w:bidi="ar-SA"/>
        </w:rPr>
        <w:t>.</w:t>
      </w:r>
      <w:r>
        <w:rPr>
          <w:rStyle w:val="FootnoteAnchor"/>
        </w:rPr>
        <w:footnoteReference w:id="70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74" w:name="pg7486_97453"/>
    </w:p>
    <w:p>
      <w:pPr>
        <w:pStyle w:val="Heading3"/>
        <w:numPr>
          <w:ilvl w:val="2"/>
          <w:numId w:val="1"/>
        </w:numPr>
        <w:rPr/>
      </w:pPr>
      <w:bookmarkStart w:id="375" w:name="__RefHeading___Toc2226152_1051229030"/>
      <w:bookmarkStart w:id="376" w:name="_Toc136"/>
      <w:bookmarkEnd w:id="374"/>
      <w:bookmarkEnd w:id="375"/>
      <w:r>
        <w:rPr/>
        <w:t>6</w:t>
      </w:r>
      <w:r>
        <w:rPr>
          <w:rtl w:val="true"/>
        </w:rPr>
        <w:t xml:space="preserve"> - </w:t>
      </w:r>
      <w:r>
        <w:rPr>
          <w:rtl w:val="true"/>
        </w:rPr>
        <w:t xml:space="preserve">ما ذكره في كتاب </w:t>
      </w:r>
      <w:r>
        <w:rPr>
          <w:rtl w:val="true"/>
        </w:rPr>
        <w:t>«</w:t>
      </w:r>
      <w:r>
        <w:rPr>
          <w:rtl w:val="true"/>
        </w:rPr>
        <w:t>الأمالي</w:t>
      </w:r>
      <w:r>
        <w:rPr>
          <w:rtl w:val="true"/>
        </w:rPr>
        <w:t>»</w:t>
      </w:r>
      <w:bookmarkEnd w:id="376"/>
    </w:p>
    <w:p>
      <w:pPr>
        <w:pStyle w:val="BookText"/>
        <w:rPr/>
      </w:pPr>
      <w:r>
        <w:rPr>
          <w:rFonts w:ascii="Amiri" w:hAnsi="Amiri" w:eastAsia="Amiri" w:cs="Amiri"/>
          <w:color w:val="111111"/>
          <w:sz w:val="28"/>
          <w:sz w:val="28"/>
          <w:szCs w:val="28"/>
          <w:rtl w:val="true"/>
          <w:lang w:bidi="ar-SA"/>
        </w:rPr>
        <w:t>قد ذكر الشريف المرتضى هناك كلاماً في الإجماع، و الكلام طويل اقتصرنا منه على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 و سَلَّمَ تَسليماً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أنَّهُ لا طَريقَ مِن جِهَةِ العَقلِ إلَى القَطعِ بِفَضلِ مُكَلَّفٍ على آخَرَ؛ لأنَّ الفَضلَ المُراعى في هذَا البابِ هُوَ زيادَةُ استِحقاقِ الثَّوابِ، و لا سَبيلَ إلى مَعرِفَةِ مَقاديرِ الثَّوابِ مِن ظَواهِرِ فِعلِ الطاعاتِ؛ لأنَّ الطاعَتَينِ قَد تَتساوى في ظاهِرِ الأمرِ حالُهُما، و إن زادَ ثَوابُ واحِدَةٍ عَلَى الأُخرى زيادَةً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لِلعَقلِ في ذلِكَ مَجالٌ فَالمَرجِعُ فيهِ إلَى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سَمعٌ مَقطوعٌ بِهِ مِن ذلِكَ على شَيءٍ عُوِّلَ عَلَيهِ، و إلّاكانَ الواجِبُ التَّوَقُّفَ عَنهُ و الشَّكَّ 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القُرآنِ و لا في سَمعٍ مَقطوعٍ على صِحَّتِهِ ما يَدُلُّ على فَضلِ نَبيٍّ على مَلَكٍ، و لا مَلَكٍ على نَبيٍّ، و سَنُبَيِّنُ أنَّ آيَةً واحِدَةً مِمّا يُتَعَلَّقُ بِهِ في تَفضيلِ الأنبياءِ عَلَى المَلائكَةِ عليهم السلام يُمكِنُ أن يُستَدَلَّ بِها على ضَربٍ مِنَ التَّرتيبِ نَذكُرُهُ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المُعتَمَدُ في القَطعِ على أنَّ الأنبياءَ أفضَلُ مِنَ المَلائكَةِ عليهم السلام إجماعُ الشيعَةِ الإماميَّةِ على ذلِكَ؛ لأَنَّهُم لا يَختَلِفونَ في هذا، بَل يَزيدونَ عَلَيهِ، و يَذهَبونَ إلى أنَّ الأئمَّةَ أفضَلُ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أجمَعينَ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إجماعُهُم حُجَّةٌ؛ لأنَّ المَعصومَ في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مَواضِعَ مِن كُتُبِنا كَيفيَّةَ الاستِدلالِ بِهذِهِ الطَّريقَةِ، و رَتَّبناهُ، و أجَبنا عَن كُلِّ سُؤالٍ يُسألُ عَنهُ فيها، و بَيَّنّا كَيفَ الطَّريقُ مَعَ غَيبَةِ الإمامِ إلَى العِلمِ بِمَذاهِبِهِ و أقوالِهِ، و شَرَحنا ذلِكَ، فَلا مَعنى لِلتَّشاغُلِ بِهِ هاهُنا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 على ذلِكَ بِأمرِهِ تَعالى لِلمَلائكَةِ بِالسُّجودِ لآدَمَ عليه السلام، و أنَّهُ يَقتَضي تَعظيمَه عَلَيهِم، و تَقديمَهُ و إكرامَهُ، و إذا كانَ المَفضولُ لا يَجوزُ تَعظيمُهُ و تَقديمُهُ عَلَى الفاضِلِ عَلِمنا أنَّ آدَمَ عليه السلام أفضَلُ مِنَ المَلائكَةِ، و كُلُّ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عليه السلام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جَميعَ الأنبياءِ عليهم السلام أفضَلُ مِن جَميعِ المَلائكَةِ، و لا أحَدَ مِنَ الأُمَّةِ فَصَلَ بَينَ الأمرَينِ</w:t>
      </w:r>
      <w:r>
        <w:rPr>
          <w:rFonts w:eastAsia="Amiri" w:cs="Amiri" w:ascii="Amiri" w:hAnsi="Amiri"/>
          <w:color w:val="111111"/>
          <w:sz w:val="28"/>
          <w:szCs w:val="28"/>
          <w:rtl w:val="true"/>
          <w:lang w:bidi="ar-SA"/>
        </w:rPr>
        <w:t>.</w:t>
      </w:r>
      <w:r>
        <w:rPr>
          <w:rStyle w:val="FootnoteAnchor"/>
        </w:rPr>
        <w:footnoteReference w:id="70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77" w:name="pg7486_97458"/>
    </w:p>
    <w:p>
      <w:pPr>
        <w:pStyle w:val="Heading3"/>
        <w:numPr>
          <w:ilvl w:val="2"/>
          <w:numId w:val="1"/>
        </w:numPr>
        <w:rPr/>
      </w:pPr>
      <w:bookmarkStart w:id="378" w:name="__RefHeading___Toc2226154_1051229030"/>
      <w:bookmarkStart w:id="379" w:name="_Toc137"/>
      <w:bookmarkEnd w:id="377"/>
      <w:bookmarkEnd w:id="378"/>
      <w:r>
        <w:rPr/>
        <w:t>7</w:t>
      </w:r>
      <w:r>
        <w:rPr>
          <w:rtl w:val="true"/>
        </w:rPr>
        <w:t xml:space="preserve"> - </w:t>
      </w:r>
      <w:r>
        <w:rPr>
          <w:rtl w:val="true"/>
        </w:rPr>
        <w:t>رسالةٌ في غَيبةِ الحُجّةِ‌</w:t>
      </w:r>
      <w:bookmarkEnd w:id="379"/>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 مُرتَبِطٍ للنِّعَمِ، مُستَدفِعٍ للنِّقَمِ، و صَلَّى اللّهُ على خَيرِ العَرَبِ و العَجَمِ، المبعوثِ إلى سائرِ الأُمَمِ، محمّدٍ، و على آلِه الطاهري النَّسَمِ، الظاهري الفَضلِ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المُخالِفينَ لنا في الاِعتقادِ يَتوهَّمونَ صُعوبةَ الكلامِ علينا في الغَيبةِ و سُهولتَه عليهم، و لَيسَ بأوّلِ اعتقادِ جَهلٍ اعتَقَدوه، و عندَ التأمُّلِ يَبينُ عَكسُ ما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فَرعٌ لأُصولٍ إن صَحَّت، فالكلامُ في الغَيبةِ أسهَلُ شَيءٍ و أوضَحُه؛ إذ هي مَبنيّةٌ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 صحيحةٍ، فالكلامُ في الغَيبةِ لَعَمري صَعبٌ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يَقتَضي بوُجوبِ الرئاسةِ في كُلِّ زمانٍ و أنّ الرئيسَ لا بُدَّ مِن كَونِه معصوماً مأموناً منه كُلُّ فِعلٍ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هذانِ الأصلانِ لَم تَبقَ إلّاإمامةُ مَن نُشيرُ إلى إمامتِه؛ لأنّ الصفةَ التي اقتَضاها العقلُ و دَلَّ على وجوبِها لا توجَدُ إلّافيه، و تَنساقُ الغَيبةُ بهذا سَوقاً ضَروريّاً لا يَقرُبُ منه شُبههٌ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فيُحتاجُ أن نَدُلَّ على صحّةِ الأصلَينِ المذكورَينِ،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يَدُلُّ على </w:t>
      </w:r>
    </w:p>
    <w:p>
      <w:pPr>
        <w:pStyle w:val="BookText"/>
        <w:rPr/>
      </w:pPr>
      <w:r>
        <w:rPr>
          <w:rFonts w:ascii="Amiri" w:hAnsi="Amiri" w:eastAsia="Amiri" w:cs="Amiri"/>
          <w:color w:val="111111"/>
          <w:sz w:val="28"/>
          <w:sz w:val="28"/>
          <w:szCs w:val="28"/>
          <w:rtl w:val="true"/>
          <w:lang w:bidi="ar-SA"/>
        </w:rPr>
        <w:t>وجوبِ الإمامةِ في كُلِّ زمانٍ، فهو أنّا نَعلَمُ عِلماً لا طَريقَ للشكِّ عليه أنّ وجودِ الرئيسِ المُطاعِ المَهيبِ المُنبَسِطِ اليدِ أدعى إلى فِعلِ الحَسَنِ و أردَعُ عن فِعلِ القَبيحِ، و أنّ التظالُمَ بَينَ الناسِ إمّا أن يَرتَفِعَ عندَ وجودِ مَن وَصَفناه، أو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الناسَ عند الإهمالِ و فَقدِ الرؤساءِ يُتابِعونَ في القَبيحِ، و تَفسُدُ أحوالُهم، و يَختَلُّ نِظامُهم، و الأمرُ في ذلكَ أظهَرُ مِن أن يَحتاجَ إلى دليلٍ، و الإشارةُ إليه كافيةٌ، و استقصاؤه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يَدُلُّ على وجوبِ عِصمةِ الرئيسِ المذكورِ، فهو أنّ عِلّةَ الحاجةِ هي أن تَكونَ لُطفاً للرعيّةِ في الاِمتناعِ مِن فِعلِ القَبيحِ و في اعتمادِ فِعلِ الحَسَنِ؛ فإن كانَت علّةُ الحاجةِ إليه موجودةً فيه، وَجَبَ أن يَحتاجَ إلى رئيسٍ و إمامٍ كما احتيجَ إليه، و الكلامُ في الإمامةِ كالكلامِ فيه، و هذا يَقتَضي إمّا القولَ بأئمّةٍ لا نِهايةَ لهم، و هو مُحالٌ؛ أو القولَ بوجودِ إمامٍ تَرتَفِعُ عنه عِلّةُ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لَم يَبقَ إلّاالقولُ بإمامٍ معصومٍ لا يَجوزُ عليه القَبيحُ، و هو الذي قَصَدناه، و شَرحٌ ذلكَ و بَسطُه مذكورٌ في أماكنِه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هذانِ الأصلانِ، فلا بُدَّ مِن القولِ بأنّه صاحبُ الزمانِ بعَينِه، ثُمَّ لا بُدَّ مع فَقدِ تَصرُّفِه و ظُهورِه مِن القَولِ بغَيبتِه؛ لأنّه إذا بَطَلَت إمامةُ مَن أُثبِتَت له الإمامةُ بالاِختيارِ، لفَقدِ الصفةِ التي دَلَّ العقلُ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بَطَلَ قولُ مَن خالَفَ مِن شُذّاذِ الشيعةِ بما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كالكَيسانيّةِ، و الناووسيّةِ، و الواقفيّةِ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لانقراضِهم و شُذوذِهم، و لِعَودِ الضرورةِ إلى فَسادِ قولِهم، و لا مَندوحةَ عن مَذهَبِنا، فلا بُدَّ مِن صحّتِه، و إلّاخَرَجَ الحَقُّ عن الاُمّةِ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عَلِمنا بالسياقةِ التي ساقَ الأصلانِ إليها أنّ الإمامَ هو ابنُ الحَسَنِ عليه السلام دونَ غيرِه، و رأيناه غائباً عن الأبصارِ، عَلِمنا أنّه لَم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عِصمتِه و </w:t>
      </w:r>
    </w:p>
    <w:p>
      <w:pPr>
        <w:pStyle w:val="BookText"/>
        <w:rPr/>
      </w:pPr>
      <w:r>
        <w:rPr>
          <w:rFonts w:ascii="Amiri" w:hAnsi="Amiri" w:eastAsia="Amiri" w:cs="Amiri"/>
          <w:color w:val="111111"/>
          <w:sz w:val="28"/>
          <w:sz w:val="28"/>
          <w:szCs w:val="28"/>
          <w:rtl w:val="true"/>
          <w:lang w:bidi="ar-SA"/>
        </w:rPr>
        <w:t xml:space="preserve">تَعيُّنِ فَرضِ الإمامةِ فيه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إلّالسببٍ اقتَضى ذلكَ، و مَصلَحةٍ استَدعَته، و حالٍ أوجَبَته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نَعلَمْ وجهَ ذلكَ مُفصَّلاً؛ لأنّ ذلكَ ممّا لا يَلزَمُ عِلمُه، و إن تَكلَّفناه و تَبرَّعنا بذِكرِه كان تَفضُّلًا، كما إذا تَبرَّعنا بذِكرِ وُجوهِ المُتَشابِهِ مِن الآيِ بَعدَ العِلمِ بحِكمةِ اللّهِ تَعالى سُبحانَه كانَ ذلكَ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الغَيبةِ هو إخافةُ الظالِمينَ له، و مَنعُهم يَدَه مِن التصرُّفِ فيما جُعِلَ إليه التصرُّفُ فيه؛ لأنّ الإمامَ إنّما يُنتَفَعُ به النفعَ الكُلّيَّ إذا كانَ مُتمكِّناً مُطاعاً، مُخَلًّى بَينَه و بَينَ أغراضِه؛ ليُقوِّمَ الجُناةَ، و يُحارِبَ البُغاةَ، و يُقيمَ الحدوَد، و يَسُدَّ الثُّغورَ، و يُنصِفَ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يَتِمُّ إلّامع التمَكُّنِ، فإذا حيلَ بَينَه و بَينَ أغراضِه مِن ذلكَ سَقَطَ عنه فَرضُ القيامِ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خافَ على نفسِه وَجَبَت غَيبتُه، و التحَرُّزُ مِن المَضارِّ واجبٌ عقلاً و سَمعاً، و قد استَتَرَ النبيُّ صلّى اللّه عليه و آله في الشِّعبِ، و أُخرى في الغارِ، و لا وجهَ لذلكَ إلّاالخَوفُ و التحرُّزُ مِن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ما استَتَرَ عن قومِه، إلّابَعدَ أداءِ ما وَجَبَ عليه أداؤه، و قولُكم في الإمامِ يُخالِفُ ذلكَ؛ و لأنّ استتارَه عليه السلام لَم يَتَطاوَلْ و لَم يَتَمادَ، و استتارُ إمامِكم قد مَضَت عليه الدهورُ، و انقَرَضَت دونَه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ذَكرتم؛ لأنّ استتارَ النبيِّ صلّى اللّه عليه و آله كانَ قَبلَ الهِجرةِ، و لَم يَكُن عليه السلام أدّى جميعَ الشريعةِ؛ فإنّ مُعظَمَ الأحكامِ و أكثَرَها نَزَلَ بالمَدينةِ، فكَيفَ ادَّعَيتم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كانَ الأمرُ على ما ادَّعَيتم مِن الأداءِ الكاملِ قَبلَ الاِستتارِ، لَما كانَ ذلكَ </w:t>
      </w:r>
    </w:p>
    <w:p>
      <w:pPr>
        <w:pStyle w:val="BookText"/>
        <w:rPr/>
      </w:pPr>
      <w:r>
        <w:rPr>
          <w:rFonts w:ascii="Amiri" w:hAnsi="Amiri" w:eastAsia="Amiri" w:cs="Amiri"/>
          <w:color w:val="111111"/>
          <w:sz w:val="28"/>
          <w:sz w:val="28"/>
          <w:szCs w:val="28"/>
          <w:rtl w:val="true"/>
          <w:lang w:bidi="ar-SA"/>
        </w:rPr>
        <w:t>رافعاً للحاجةِ إلى تدبيرِه و سياستِه و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غيرُ مُحتاجٍ إليه بَعدَ أداءِ الشرعِ؟ و إذا جازَ استتارُ النبيِّ صلّى اللّه عليه و آله مع تَعلُّقِ الحاجةِ به لخَوفِ الضرَرِ، و كانَت التَّبِعةُ في ذلكَ لازمةً لِمَن أخافَه و أحوَجَه إلَى الاِستتارِ و ساقطةً عنه، فكذلكَ القولُ في استتارِ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التفرقةُ بطولِ الغَيبةِ و قِصرَها ففاسدةٌ؛ لأنّه لا فَرقَ بَينَ القَصيرِ و المُمتَدِّ، و ذلكَ موقوفٌ على عِلّتِه و سببِه، فتَطولُ بِطولِ السببِ، و تَقصُرُ بقِصَرِه، و تَزولُ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آبائه عليهم السلام ظاهرٌ؛ لأنّه يَظهَرُ بالسَّيفِ، و يَدعو إلى نفسِه، و يُجاهِدُ مَن خالَفَه، و يُزيلُ الدُّوَلَ؛ فأيُّ نسبةٍ بَينَ خَوفِه مِن الأعداءِ و خَوفِ آبائه عليهم السلام لَولا قِلّةُ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وُجودِه غائباً لا يَصِلُ إليه أحَدٌ و لا يَنتَفِعُ به بَشَرٌ، و بَينَ عدمِه؟ و ألا جازَ إعدامُه إلى حينِ عِلمِ اللّه سُبحانَه بتَمكينِ الرعيّةِ له، كما جازَ أن يُبيحَه الاِستتارَ حتّى يَعلَمَ منهم التمكينَ له فَيظهَرَ؟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نُجوِّزُ أن يَصِلَ إليه كَثيرٌ مِن أوليائه و القائلينَ بإمامتِه فيَنتَفِعونَ به، و مَن لا يَصِلُ إليه منهم و لا يَلقاه مِن شيعتِه و مُعتَقِدي إمامتِه فهُم يَنتَفِعونَ به في حالِ الغَيبةِ النفعَ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 التكليفِ منه؛ لأنّهم مع عِلمِهم بوُجودِه بَينَهم و قَطعِهم على وجوبِ طاعتِه عليهم و لُزومِها لهم لا بُدّ مِن أن يَخافوه و يَهابوه في ارتكابِ القَبائحِ، و يَخشَوا تأديبَه و مؤاخَذَتَه، فيَقِلَّ منهم فِعلُ القَبيحِ و يَكثُرَ فِعلُ الحَسَنِ، أو يَكونَ ذلكَ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جهةُ العقليّةِ إلَى الإمامِ، فهو و إن لَم يَظهَرْ لأعدائه؛ لخَوفِه منهم، و سَدِّهم على أنفُسِهم طُرُقَ الانتفاعِ به، فقَد بيّنّا في هذا الكلامِ الانتفاعَ به لأوليائه علَى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وجودِ الإمامِ غائباً مِن أجلِ الخَوفِ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يَتوقَّعُ في هذه الحالةِ أن يُمكِّنوه فيَظهَرَ و يَقومَ بما فُوِّضَ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عدمِه جَليٌّ واضحٌ؛ لأنّه إذا كانَ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يَفوتُ العبادَ مِن مَصالِحِهم و يُعدَمونَه مِن مَراشِدِهم و يُحرَمونَه مِن لُطفِهم منسوباً إلَى اللّهِ سُبحانَه، لا حُجّةَ فيه علَى العبادِ و لا 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موجوداً مُستَتِراً بإخافتِهم إيّاه كانَ ما يَفوتُهم مِن المَصالحِ و يَرتَفِعُ عنهم مِن المَنافعِ منسوباً إليهم، و هُم المَلومونَ عليه المؤاخَذونَ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يَنعَكِسُ عليهم في استتارِ النبيِّ صلّى اللّه عليه و آله؛ فأيُّ شَيءٍ قالوه فيه أجَبناهم بمِثلِه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الحدودِ في حالِ الغَيبةِ ظاهرٌ، و هو أنّها في جُنوبِ فاعِليها و جُناتِها؛ فإن ظَهَرَ الإمامُ و المُستَحِقُّ للحدودِ باقٍ، و هي ثابتةٌ عليه بالبيِّنةِ أو الإقرارِ، استَوفاها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فاتَ ذلكَ بمَوتِه، كانَ الإثمُ على مَن أخافَ الإمامَ و ألجَأَه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بنَسخِ الشريعةِ في إقامةِ الحدود؛ لأنّه إنّما يَكونُ نَسخاً لَو سَقَطَ فَرضُ إقامتِها مع التمكينِ و زَوالِ الأسبابِ المانعةِ مِن إقامتِها، فأمّا و الحالُ ما ذَكرناه فلا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جُملةٌ مُقنِعةٌ في الكلامِ في هذه المسألةِ، و اللّهُ المُستَعانُ، و به التوفيقُ</w:t>
      </w:r>
      <w:r>
        <w:rPr>
          <w:rFonts w:eastAsia="Amiri" w:cs="Amiri" w:ascii="Amiri" w:hAnsi="Amiri"/>
          <w:color w:val="111111"/>
          <w:sz w:val="28"/>
          <w:szCs w:val="28"/>
          <w:rtl w:val="true"/>
          <w:lang w:bidi="ar-SA"/>
        </w:rPr>
        <w:t>.</w:t>
      </w:r>
      <w:r>
        <w:rPr>
          <w:rStyle w:val="FootnoteAnchor"/>
        </w:rPr>
        <w:footnoteReference w:id="70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7486_97477"/>
      <w:bookmarkStart w:id="381" w:name="pg7486_97477"/>
      <w:bookmarkEnd w:id="381"/>
    </w:p>
    <w:p>
      <w:pPr>
        <w:pStyle w:val="Heading3"/>
        <w:numPr>
          <w:ilvl w:val="2"/>
          <w:numId w:val="1"/>
        </w:numPr>
        <w:rPr/>
      </w:pPr>
      <w:bookmarkStart w:id="382" w:name="pg7486_97477"/>
      <w:bookmarkStart w:id="383" w:name="__RefHeading___Toc2226156_1051229030"/>
      <w:bookmarkStart w:id="384" w:name="_Toc138"/>
      <w:bookmarkEnd w:id="382"/>
      <w:bookmarkEnd w:id="383"/>
      <w:r>
        <w:rPr/>
        <w:t>8</w:t>
      </w:r>
      <w:r>
        <w:rPr>
          <w:rtl w:val="true"/>
        </w:rPr>
        <w:t xml:space="preserve"> - </w:t>
      </w:r>
      <w:r>
        <w:rPr>
          <w:rtl w:val="true"/>
        </w:rPr>
        <w:t xml:space="preserve">ما ذكره في كتاب </w:t>
      </w:r>
      <w:r>
        <w:rPr>
          <w:rtl w:val="true"/>
        </w:rPr>
        <w:t>«</w:t>
      </w:r>
      <w:r>
        <w:rPr>
          <w:rtl w:val="true"/>
        </w:rPr>
        <w:t>الذخيرة في علم الكلام</w:t>
      </w:r>
      <w:r>
        <w:rPr>
          <w:rtl w:val="true"/>
        </w:rPr>
        <w:t>»</w:t>
      </w:r>
      <w:bookmarkEnd w:id="384"/>
    </w:p>
    <w:p>
      <w:pPr>
        <w:pStyle w:val="Heading4"/>
        <w:numPr>
          <w:ilvl w:val="3"/>
          <w:numId w:val="1"/>
        </w:numPr>
        <w:rPr/>
      </w:pPr>
      <w:bookmarkStart w:id="385" w:name="__RefHeading___Toc2226158_1051229030"/>
      <w:bookmarkStart w:id="386" w:name="_Toc139"/>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قد ذكر الشريف المرتضى في هذا الكتاب كلامين في الغيبة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226160_1051229030"/>
      <w:bookmarkStart w:id="388" w:name="_Toc140"/>
      <w:bookmarkEnd w:id="387"/>
      <w:r>
        <w:rPr>
          <w:rtl w:val="true"/>
        </w:rPr>
        <w:t>ألف</w:t>
      </w:r>
      <w:r>
        <w:rPr>
          <w:rtl w:val="true"/>
        </w:rPr>
        <w:t xml:space="preserve">: </w:t>
      </w:r>
      <w:r>
        <w:rPr>
          <w:rtl w:val="true"/>
        </w:rPr>
        <w:t xml:space="preserve">نقل الغيبة عن الأئمّة الماضين </w:t>
      </w:r>
      <w:r>
        <w:rPr>
          <w:rtl w:val="true"/>
        </w:rPr>
        <w:t>(</w:t>
      </w:r>
      <w:r>
        <w:rPr>
          <w:rtl w:val="true"/>
        </w:rPr>
        <w:t>عليهم السلام</w:t>
      </w:r>
      <w:r>
        <w:rPr>
          <w:rtl w:val="true"/>
        </w:rPr>
        <w:t>):</w:t>
      </w:r>
      <w:bookmarkEnd w:id="388"/>
    </w:p>
    <w:p>
      <w:pPr>
        <w:pStyle w:val="Heading5"/>
        <w:numPr>
          <w:ilvl w:val="4"/>
          <w:numId w:val="1"/>
        </w:numPr>
        <w:rPr/>
      </w:pPr>
      <w:bookmarkStart w:id="389" w:name="__RefHeading___Toc2226162_1051229030"/>
      <w:bookmarkStart w:id="390" w:name="_Toc141"/>
      <w:bookmarkEnd w:id="389"/>
      <w:r>
        <w:rPr>
          <w:rtl w:val="true"/>
        </w:rPr>
        <w:t>فَصلٌ في الدَّلالةِ على صِحّةِ إمامةِ باقي الأئمّةِ الاثنَي عَشَرَ صَلَواتُ اللّهِ عَلَيهم</w:t>
      </w:r>
      <w:bookmarkEnd w:id="390"/>
    </w:p>
    <w:p>
      <w:pPr>
        <w:pStyle w:val="BookText"/>
        <w:rPr/>
      </w:pPr>
      <w:r>
        <w:rPr>
          <w:rFonts w:ascii="Amiri" w:hAnsi="Amiri" w:eastAsia="Amiri" w:cs="Amiri"/>
          <w:color w:val="111111"/>
          <w:sz w:val="28"/>
          <w:sz w:val="28"/>
          <w:szCs w:val="28"/>
          <w:rtl w:val="true"/>
          <w:lang w:bidi="ar-SA"/>
        </w:rPr>
        <w:t>الذي يَدُلُّ على إمامةِ الأئمّةِ عليهم السلامُ مِن لَدُن حَسَنِ بنِ عَليِّ بنِ أبي طالِبٍ إلَى الحُجّةِ بنِ الحَسَنِ المُنتَظَرِ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شُروطُ 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عَلَيهم بالإمامةِ، و أنّ كُلَّ إمامٍ منهم لَم يَمضِ حَتّى يَنُصَّ على مَن يَليهِ بِاسمِه و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يَنقُلونَ عن النَّبِيِّ صَلَّى اللّهُ عليه و آله نُصوصاً في إمامةِ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يَنقُلونَ زَمانَ غَيبةِ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صِفةَ هذه الغَيبةِ عن كُلِّ مَن تَقدَّمَ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دَلَّلنا به على صِحّةِ نَقلِهم لِما انفَرَدوا به مِن النَّصِّ الجَليِّ على أميرِ المؤمِنينَ عليه السلامُ يَدُلُّ على صِحّةِ نَقلِهم لهذه النُّصوصِ؛ فالطَّريقةُ واحِدةٌ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قَويِّ ما يُعتَمَدُ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عِصمةَ الإمامِ واجِبةٌ في شَهادةِ العُقولِ، كما أنّ ثُبوتَ الإمامةِ في كُلِّ عَصرٍ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اعتَبَرنا زَمانَ كُلِّ واحِدٍ مِن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كُلَّ مَن تُدَّعَى الإمامةُ له غَيرَه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غَيرَ مَقطوعٍ به على عِصمتِه، فلا يَكونُ إماماً؛ لفَقدِ الشَّرطِ الذي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تُدَّعَى الإمامةُ لِمَيِّتٍ ادُّعِيَت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الكَيسانيّةِ‌</w:t>
      </w:r>
      <w:r>
        <w:rPr>
          <w:rStyle w:val="FootnoteAnchor"/>
          <w:rtl w:val="true"/>
        </w:rPr>
        <w:footnoteReference w:id="705"/>
      </w:r>
      <w:r>
        <w:rPr>
          <w:rFonts w:ascii="Amiri" w:hAnsi="Amiri" w:eastAsia="Amiri" w:cs="Amiri"/>
          <w:color w:val="111111"/>
          <w:sz w:val="28"/>
          <w:sz w:val="28"/>
          <w:szCs w:val="28"/>
          <w:rtl w:val="true"/>
          <w:lang w:bidi="ar-SA"/>
        </w:rPr>
        <w:t>في مُحَمّدِ بنِ الحَنَفيّةِ، و الناووسِيّةِ‌</w:t>
      </w:r>
      <w:r>
        <w:rPr>
          <w:rStyle w:val="FootnoteAnchor"/>
          <w:rtl w:val="true"/>
        </w:rPr>
        <w:footnoteReference w:id="706"/>
      </w:r>
      <w:r>
        <w:rPr>
          <w:rFonts w:ascii="Amiri" w:hAnsi="Amiri" w:eastAsia="Amiri" w:cs="Amiri"/>
          <w:color w:val="111111"/>
          <w:sz w:val="28"/>
          <w:sz w:val="28"/>
          <w:szCs w:val="28"/>
          <w:rtl w:val="true"/>
          <w:lang w:bidi="ar-SA"/>
        </w:rPr>
        <w:t>في الصادِقِ عليه السلامُ، و الذاهِبينَ إلى إمامةِ إسماعيلَ بنِ جَعفرٍ عليه السّلامُ و ابنِه مُحمّدِ بنِ إسماعيلَ،</w:t>
      </w:r>
      <w:r>
        <w:rPr>
          <w:rStyle w:val="FootnoteAnchor"/>
          <w:rtl w:val="true"/>
        </w:rPr>
        <w:footnoteReference w:id="707"/>
      </w:r>
      <w:r>
        <w:rPr>
          <w:rFonts w:ascii="Amiri" w:hAnsi="Amiri" w:eastAsia="Amiri" w:cs="Amiri"/>
          <w:color w:val="111111"/>
          <w:sz w:val="28"/>
          <w:sz w:val="28"/>
          <w:szCs w:val="28"/>
          <w:rtl w:val="true"/>
          <w:lang w:bidi="ar-SA"/>
        </w:rPr>
        <w:t xml:space="preserve">و الواقِفةِ على موسى </w:t>
      </w:r>
    </w:p>
    <w:p>
      <w:pPr>
        <w:pStyle w:val="BookText"/>
        <w:rPr/>
      </w:pPr>
      <w:r>
        <w:rPr>
          <w:rFonts w:ascii="Amiri" w:hAnsi="Amiri" w:eastAsia="Amiri" w:cs="Amiri"/>
          <w:color w:val="111111"/>
          <w:sz w:val="28"/>
          <w:sz w:val="28"/>
          <w:szCs w:val="28"/>
          <w:rtl w:val="true"/>
          <w:lang w:bidi="ar-SA"/>
        </w:rPr>
        <w:t>عليه السلامُ‌</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فيَقودُ الضَّرورةُ و الاِنقِيادُ للأدلّةِ إلى إمامةِ مَن عيَّنّاه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خالَفَنا في أعيانِ الأئمّةِ ممّن يُوافِقُنا علَى الأُصولِ المُقدَّمِ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 كُلِّ فِرقةٍ منهم و انقِراضُها، و خُلُوُّ الزمانِ مِن قائلٍ بذلك المَذهَبِ؛ و إن وُجِدَ ذاهبٌ إليه فشاذٌّ جاهِلٌ لا يَجوزُ في مِثلِه أن يَكونَ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الرَّدُّ علَى الزَّيديّةِ‌</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قام من ولد الحسن عليه السلام أو ولد الحسين عليه السلام دون سائر الناس فهوإمام حقّ، و جائز له أن يخرج و يقوم و يدعو إلى نفسه و يدّعي الإمامة؛ فأوّل من قام بهذا القول زيد بن عليّ بن الحسين بن عليّ عليهم السلام و به سُمّيت هذه الفرقة 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تفترق على فِرق؛ فمعظمها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الجاروديّة، و 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الجَريريّة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الفِرق الثلاث يجمعها القول بإمامة زيد بن عليّ بن الحسين بن عليّ بن أبي طالب عليهم السلام في أيّام خروجه، و كان ذلك في زمان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للمغربيّ،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الفَرق بين الفِرق،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جُملةِ كلامِنا؛ لفَقدِ القَطعِ على</w:t>
      </w:r>
      <w:bookmarkStart w:id="391" w:name="pg7486_97486"/>
    </w:p>
    <w:p>
      <w:pPr>
        <w:pStyle w:val="BookText"/>
        <w:rPr/>
      </w:pPr>
      <w:bookmarkEnd w:id="391"/>
      <w:r>
        <w:rPr>
          <w:rFonts w:ascii="Amiri" w:hAnsi="Amiri" w:eastAsia="Amiri" w:cs="Amiri"/>
          <w:color w:val="111111"/>
          <w:sz w:val="28"/>
          <w:sz w:val="28"/>
          <w:szCs w:val="28"/>
          <w:rtl w:val="true"/>
          <w:lang w:bidi="ar-SA"/>
        </w:rPr>
        <w:t>عِصمةِ صاحِبِهم، و هي الصِّفةُ التي لابُدَّ منها في كُلِّ إمامٍ؛ فلا مَعنى لِاختِصاصِهم بكلامٍ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بَطَلَت الأُصولُ، بَطَلَ ما يُبنى عَلَيها مِن الفُروعِ</w:t>
      </w:r>
      <w:r>
        <w:rPr>
          <w:rFonts w:eastAsia="Amiri" w:cs="Amiri" w:ascii="Amiri" w:hAnsi="Amiri"/>
          <w:color w:val="111111"/>
          <w:sz w:val="28"/>
          <w:szCs w:val="28"/>
          <w:rtl w:val="true"/>
          <w:lang w:bidi="ar-SA"/>
        </w:rPr>
        <w:t>.</w:t>
      </w:r>
      <w:r>
        <w:rPr>
          <w:rStyle w:val="FootnoteAnchor"/>
          <w:rtl w:val="true"/>
        </w:rPr>
        <w:footnoteReference w:id="710"/>
      </w:r>
    </w:p>
    <w:p>
      <w:pPr>
        <w:pStyle w:val="Heading4"/>
        <w:numPr>
          <w:ilvl w:val="3"/>
          <w:numId w:val="1"/>
        </w:numPr>
        <w:rPr/>
      </w:pPr>
      <w:bookmarkStart w:id="392" w:name="__RefHeading___Toc2226164_1051229030"/>
      <w:bookmarkStart w:id="393" w:name="_Toc142"/>
      <w:bookmarkEnd w:id="392"/>
      <w:r>
        <w:rPr>
          <w:rtl w:val="true"/>
        </w:rPr>
        <w:t>ب</w:t>
      </w:r>
      <w:r>
        <w:rPr>
          <w:rtl w:val="true"/>
        </w:rPr>
        <w:t xml:space="preserve">: </w:t>
      </w:r>
      <w:r>
        <w:rPr>
          <w:rtl w:val="true"/>
        </w:rPr>
        <w:t>فلسفة الغيبة و فائدة وجوده عليه السلام</w:t>
      </w:r>
      <w:r>
        <w:rPr>
          <w:rtl w:val="true"/>
        </w:rPr>
        <w:t>:</w:t>
      </w:r>
      <w:bookmarkEnd w:id="393"/>
    </w:p>
    <w:p>
      <w:pPr>
        <w:pStyle w:val="BookText"/>
        <w:rPr/>
      </w:pPr>
      <w:r>
        <w:rPr>
          <w:rFonts w:ascii="Amiri" w:hAnsi="Amiri" w:eastAsia="Amiri" w:cs="Amiri"/>
          <w:color w:val="111111"/>
          <w:sz w:val="28"/>
          <w:sz w:val="28"/>
          <w:szCs w:val="28"/>
          <w:rtl w:val="true"/>
          <w:lang w:bidi="ar-SA"/>
        </w:rPr>
        <w:t>قد ذكر الشريف المرتضى في نفس الكتاب باباً في الإمامة، فذكر فيه فصلاً في الدلالة على وجوب الرئاسة في كلّ زمان، ثمّ ذكر كلاماً في ادّعاء كفاية الأُمراء عن الإمام عليه السلام و في أنّ وجود الرئيس في كلّ زمان لطف</w:t>
      </w:r>
      <w:r>
        <w:rPr>
          <w:rStyle w:val="FootnoteAnchor"/>
          <w:rtl w:val="true"/>
        </w:rPr>
        <w:footnoteReference w:id="71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إنّما يُمكِنُ كَونُها لُطفاً و رافِعاً للقَبيحِ فيمَن يَجوزُ مِنه فِعلُ القَبيحِ و يُشَكُّ في وُقوعِه مِنه، فأمّا مَن قَطَعنا بالدليلِ على أنّ القَبِيحَ لا يَقَعُ البَتّةَ مِنه فلا يُمكِنُ رَفعُ ما هو مُرتَفِعٌ، فجَرَت الإمامةُ في هذا الوَجهِ مَجرَى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الجَوابَ عن هذا السؤالِ و عن أكثَرِ ما أَورَدناه هاهُنا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 استَقصَيناهُ بحَسَبِ اقتِضاءِ ذلك المَوضِعِ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اقتَصَرنا عليه هاهُنا كفايةٌ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يوجِبُ أن يَكونَ الإمامُ في كُلِّ حالٍ ظاهِراً مُتَصرِّفاً حَتّى يَقَعَ </w:t>
      </w:r>
    </w:p>
    <w:p>
      <w:pPr>
        <w:pStyle w:val="BookText"/>
        <w:rPr/>
      </w:pPr>
      <w:r>
        <w:rPr>
          <w:rFonts w:ascii="Amiri" w:hAnsi="Amiri" w:eastAsia="Amiri" w:cs="Amiri"/>
          <w:color w:val="111111"/>
          <w:sz w:val="28"/>
          <w:sz w:val="28"/>
          <w:szCs w:val="28"/>
          <w:rtl w:val="true"/>
          <w:lang w:bidi="ar-SA"/>
        </w:rPr>
        <w:t>الاِنزِجارُ عن القَبائِحِ به؛ فإنّ الزاجِرَ هو تَدبيرُه و تَصرُّفُه، لا وُجودُ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الناسُ في حالِ الغَيبةِ غيرَ مُزاحِي العِلّةِ‌</w:t>
      </w:r>
      <w:r>
        <w:rPr>
          <w:rStyle w:val="FootnoteAnchor"/>
          <w:rtl w:val="true"/>
        </w:rPr>
        <w:footnoteReference w:id="713"/>
      </w:r>
      <w:r>
        <w:rPr>
          <w:rFonts w:ascii="Amiri" w:hAnsi="Amiri" w:eastAsia="Amiri" w:cs="Amiri"/>
          <w:color w:val="111111"/>
          <w:sz w:val="28"/>
          <w:sz w:val="28"/>
          <w:szCs w:val="28"/>
          <w:rtl w:val="true"/>
          <w:lang w:bidi="ar-SA"/>
        </w:rPr>
        <w:t>في 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تَصرُّفَ الإمامِ في الأُمّةِ هو اللُّطفُ، و فيه المَصلَحةُ لهُم في الدِّينِ، و إن كانَ ذلكَ لا يَتِمُّ إلا بإيجادِ الإمامِ و النَّصِّ على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يَتِمُّ به لُطفُنا في الإمامةِ و تَتَعلَّقُ به مَصلَحَتُنا هو مَجموعُ أُمورٍ، بَعضُها يَتَعلَّقُ باللّهِ سُبحانَه و يَختَصُّ به، فعَلَيه تَعالى إزاحةُ العِلّةِ فيه، و بَعضٌ آخَرُ يَتَعلَّقُ بنا، و لا يَتِمُّ إلّابفِعلِنا، فعَلَيه عَزَّو جَلَّ أن يوجِبَه علَينا، و علَينا أن نُطيعَ فيه، فإذا عَصَينا و فَرَّطنا كانَت الحُجّةُ علَينا، و بَرِئَ عَزَّو جَلَّ مِن عُهدةِ إزاحةِ عِلّتِنا؛ ألا تَرى أنّ المَعرِفةَ التي 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المُحصِّلينَ مِن مُخالِفينا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جِهةَ وُجوبِها اللُّطفُ، لا يَتِمُّ الغَرَضُ فيها إلّابأُمورٍ مِن فِعلِ اللّهِ تَعالى و أُمورٍ مِن فِعلِنا؟ و الذي يَتَعلَّقُ باللّهِ عَزَّو جَلَّ أن يُعلِمَنا وُجوبَها، و يُقدِرَنا علَى السَّبَبِ المُوَلِّدِ لها، و يُخَوِّفَنا مِن التَّفريطِ في فِعلِها، و الَّذي يَتَعلَّقُ بنا أن نَفعَلَها بأن نَفعَلَ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فَعَلَ اللّهُ تَعالى كُلَّ ما يَتَعلَّقُ به في هذا البابِ، و لَيسَ عليه أن لا يَفعَلَ المُكلَّفُ ما يَتَعلَّقُ به، و لا يُخرِجُه مِن أن يَكونَ مُزيحاً لِعِلّتِه في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خَلَقَ اللّهُ سُبحانَه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بِالإمامةِ على عَينِه، و دَلَّ علَى اسمِه و نَسَبِه بالأدِلّةِ القاطِعةِ، و حَثَّ على طاعَتِه، و تَوَعَّدَ</w:t>
      </w:r>
      <w:r>
        <w:rPr>
          <w:rStyle w:val="FootnoteAnchor"/>
          <w:rtl w:val="true"/>
        </w:rPr>
        <w:footnoteReference w:id="714"/>
      </w:r>
      <w:r>
        <w:rPr>
          <w:rFonts w:ascii="Amiri" w:hAnsi="Amiri" w:eastAsia="Amiri" w:cs="Amiri"/>
          <w:color w:val="111111"/>
          <w:sz w:val="28"/>
          <w:sz w:val="28"/>
          <w:szCs w:val="28"/>
          <w:rtl w:val="true"/>
          <w:lang w:bidi="ar-SA"/>
        </w:rPr>
        <w:t>على مَعصيَتِه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الأُمورُ التي لا تَتِمُّ مَصلَحَتُنا بالإمامِ إلّابها و هي راجعةٌ إلى أفعالِنا، فهي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تَمكينُ الإمامِ و التَّخليةُ بَينَه و بَينَ وِلايتِه، و العُدولُ عن تَخويفِه و إرهابِه، ثُمّ طاعتُه و امتِثالُ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يَقَعْ مِنّا تَمكينُ الإمامِ و أخَفناهُ فأَحوَجْناهُ‌</w:t>
      </w:r>
      <w:r>
        <w:rPr>
          <w:rStyle w:val="FootnoteAnchor"/>
          <w:rtl w:val="true"/>
        </w:rPr>
        <w:footnoteReference w:id="715"/>
      </w:r>
      <w:r>
        <w:rPr>
          <w:rFonts w:ascii="Amiri" w:hAnsi="Amiri" w:eastAsia="Amiri" w:cs="Amiri"/>
          <w:color w:val="111111"/>
          <w:sz w:val="28"/>
          <w:sz w:val="28"/>
          <w:szCs w:val="28"/>
          <w:rtl w:val="true"/>
          <w:lang w:bidi="ar-SA"/>
        </w:rPr>
        <w:t>إلَى الاستِتارِ تَحرُّزاً مِن المَضَرّةِ، لَم نَخرُجْ مِن أن نَكونَ مُزاحِي العِلّةِ في تَكليفِنا، و كانَ فَقدُ انتِفاعِنا بهذا الإمامِ مَنسوباً إلَينا، و وِزرُه عائداً علَينا؛ لأنّا لَو شِئنا لَمَكّنّاه و آمَنّاه، فتَصرَّفُ فينا التَّصَرُّفَ الذي يَعودُ بالنَّفعِ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إذا لَم نُمَكِّنْه و حُلْنا بَينَه و بَينَ التَّصَرُّفِ أن يَسقُطَ عنّا التَّكليفُ الذي الإمامةُ لُطفٌ فيه، و أن يَجرِيَ ذلك مَجرى مَن قَطَعَ رِجلَ نَفسِه؛ فإنّ التَّكليف المُتَعلِّقَ بها يَسقُطُ عنه، و لا فَرقَ بَينَ أن يَكونَ هو القاطِعَ لها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أنّا في أحوالِ غَيبةِ الإمامِ عنّا مُتَمكِّنونَ مِن إزالةِ خَوفِه و أن نؤمِنَه لِيَظهَرَ و يَتَصرَّفَ، فلَم يَخرُجْ عن أيدِينا التَّمكُّنُ مِن الانتِفاعِ بهذا الإمامِ، و لا كانَ ما فَعَلْنا مِن إخافَتِه يَجري مَجرى قَطعِ الرِّجلِ؛ لأنّ قَطعَها لا يَبقى معه تَمكُّنٌ مِن الأفعالِ التي لا تَتِمُّ إلّابالرِّجلِ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فِعلُنا لِما أَحوَجَ الإمامَ إلَى الغَيبةِ مَجرى شَدِّ أحَدِنا رِجلَ نَفسِه، في أنّه لا يَسقُطُ عنه تَكليفُ القِيامِ؛ لقُدرتِه على إزالةِ هذا الشَّدِّ، و جَرى قَطعُ الرِّجلِ مَجرى قَتلِ الإمامِ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يَغيبَ إمامُ الزَّمانِ بحَيثُ لا نَصِلُ إليه فيه و لا نُميِّزُه مِن غَيرِه حَتّى إذا أمِنَ مِنَ الخَوفِ ظَهَرَ، فأيُّ فَرقٍ بَينَ ذلك و بَينَ أن يُعدِمَه اللّهُ تَعالى أو يُميتَه، حتّى إذا أمِنَ علَيه أوجَدَه أو أَحياه إن كانَ مَيِّتاً؟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نَقدِرُ علَى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إذا كان مَعدوماً أو مَيِّتاً، و نَحنُ نَقدِرُ علَى الانتِفاعِ به إذا كانَ مَوجوداً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نَقدِرُ علَى الانتِفاعِ به و هو غَيرُ مُتَميِّزِ الشَّخصِ، و لا مَعروفِ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أَيدينا و تَحتَ مَقدورِنا ما إذا فَعَلناه مِن إيمانِه و إزالةِ خَوفِه تَعرَّفَ إلينا و تَميَّزَ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أَيدينا أيضاً ما إذا فَعَلناه أوجَدَه اللّهُ سُبحانَه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كِلا الوَجهَينِ لَيسَ انتِفاعُنا به ممّا يَتِمُّ بمَقدورِنا خالِصاً دونَ أن يَنضَمَّ إليه فِعلٌ واقعٌ باختيارِ مُختارٍ؛ فأيُّ فَرقٍ بَينَ أن يَغيبَ عنّا حَتّى إذا أَزَلنا خَوفَه مِن جِهَتِنا و اعتَقَدنا فيه الجَميلَ ظَهَرَ لنا و تَعرَّفَ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تَعرُّفُه و ظُهورُه مِن فِعلِه و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أن يُعدِمَه اللّهُ تَعالى، فإذا اعتَقَدنا الجَميلَ له و فيه و أزَلنا أسبابَ خَوفِه مِنّا أَوجَدَه؟ و هَل إيجادُه أو إحياؤه إن كانَ مَيِّتاً في تَعلُّقِه باختيارِ مُختارٍ هو غَيرُنا، إلّاكظُهورِه إلينا و إعلامِنا أنّه الإمامُ في أنّه مُتَعلِّقٌ باختيارِ مُختارٍ هو غَيرُنا؟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انتِفاعَنا و إمكانَ طاعتِنا للإمامِ على كِلا الوَجهَينِ مُتَعلِّقٌ بفِعلِ اللّهِ تَعالى لابُدَّ منه؛ لأنّه إذا أمِنَ مِنّا و أرادَ الظُّهورَ، فلا بُدّ مِن أن يَدَّعِيَ أنّه الإمامُ، و لابُدَّ مِن أن يُصَدِّقَه اللّهُ سُبحانَه في هذه الدَّعوَى التي لا نَعلَمُ صِحّتَها بمُجَرَّدِها إلّابمُعجِزٍ يُظهِرُه على يَدِه، فقَد بانَ أنّ انتِفاعَنا بالإمامِ لا يَتِمُّ إلّابفِعلٍ يَختارُه اللّهُ تَعالى على كِلا الوَجهَينِ؛ فأيُّ فَرقٍ بَينَ أن يَكونَ ذلك الفِعلُ المُعجِزَ الذي يُظهِرُه على يَدِه، و بَينَ أن يَكونَ إيجادَه نفسَه؟ق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أَعدَمَه لَكانَ فَوتُ انتفاعِنا بالإمامِ مَنسوباً إليه سُبحانَه، و لَيسَ كذلك إذا كان مَوجوداً مُستَخفِياً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مَنسوباً إلى مَن أَخافَ الإمامَ و لَم يؤمِنْه على نَفسِه فيَظهَرَ و يُنتَفَعَ به؛ لأنّه إذا أُخيفَ فلَيسَ غَيِرُ الامتناعِ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حينَئذٍ لا فَرقَ إذا لَم يَتَمكَّنْ مِن الظُّهورِ بَينَ أن يُعدَمَ إلى أن يُمكِنَ إيجادُه، أو يَستَتِرَ إلى أن يُمكِنَ إظهارُه؛ فأيُّ الأمرَينِ وَقَعَ فالعِلّةُ مِنَ اللّهِ تَعالى مُزاحةٌ، و اللَّومُ على مَن أَخافَ الإمامَ و لَم يُمَكِّنْه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لُحُوقِ الذَّمِّ لَنا بَينَ أن نُفَوِّتَ أنفُسَنا مَنافِعَ تَجِبُ عن أسبابٍ نَفعَلُها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العِلمِ عندَ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أن نُفوِّتَها مَنافِعَ لا تَجِبُ عن أسبابٍ، بَل مَعلومٌ حُصولُها بالعادةِ أو ما جَرى مَجراها عندَ غَيرِها مِن أفعالِنا، كنَحوِ الشِّبَعِ عِندَ الأكلِ، و الرَّيِّ عِندَ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قاطِعينَ عَلى أنّ اللّهَ سُبحانَه يوجِدُ الإمامَ و يُظهِرُه لا مَحالةَ إذا أَزَلنا أسبابَ خَوفِه، فقَد صِرنا مُتَمكِّنينَ و قادِرينَ على ما يَقتَضي ظُهورَه، فإذا لَم نَفعَلْ فنَحنُ المَلومونَ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حَقَّقنا هذا السؤالَ في شَيءٍ مِن كلامِنا في الغَيبةِ هذا التَّحقيقَ، و لا انتَهَينا فيه إلى هذه الغايةِ، و هو مِن أشَدِّ ما نُسأَلُ عنه اشتِباهاً و إشكالاً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المَقصَدَ بهذا السؤالِ إلزامُنا تَجويزَ كَونِ إمامِ زَمانِنا هذا عليه السلامُ مَعدوماً بَدَلاً مِن كَونِه غائباً، و هذا غَيرُ لازِمٍ؛ لأنّه يَنتَفِعُ به في حالِ غَيبَتِه جَميعُ شيعَتِه و القائلِينَ بإمامَتِه، و يَنزَجِرونَ بمَكانِه و هَيبَتِه عن القَبائِحِ؛ فهو لُطفٌ لهم في حالِ الغَيبَة كَما يَكونُ لُطفاً في حالِ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سَنُبَيِّنُ ذلك أَفضَلَ </w:t>
      </w:r>
    </w:p>
    <w:p>
      <w:pPr>
        <w:pStyle w:val="BookText"/>
        <w:rPr/>
      </w:pPr>
      <w:r>
        <w:rPr>
          <w:rFonts w:ascii="Amiri" w:hAnsi="Amiri" w:eastAsia="Amiri" w:cs="Amiri"/>
          <w:color w:val="111111"/>
          <w:sz w:val="28"/>
          <w:sz w:val="28"/>
          <w:szCs w:val="28"/>
          <w:rtl w:val="true"/>
          <w:lang w:bidi="ar-SA"/>
        </w:rPr>
        <w:t>بَيانٍ عِندَ الكَلامِ في عِلّةِ غَيبَتِه</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هُم أيضاً مُنتَفِعونَ به مِن وَجهٍ آخَرَ؛ لأنّه يَحفَظُ عليهم الشرعَ، و بمَكانِه يَثِقونَ بأنّه لَم يُكتَمْ مِن الشرعِ ما لَم يَصِلْ إليهم، و إذا كانَ مَعدوماً فإن هذا كُلَّه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تُسقِطُ مَقصودَ المُخالِفينَ في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نُجيبُ عنه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 علَى التقديرِ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في زَمانٍ غَيرِ هذا الزَّمانِ أن يُعدَمَ الإمامُ إذا لَم يَكُن مُتَمكِّناً مِن الظُّهورِ و التدبيرِ، و نَفرِضُ أنّ أحَداً لَم يُقِرَّ بإمامتِه فيَنتَفِعَ به و إن كانَ غَيرَ ظاهرِ الشخصِ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الأُمّةِ بالإمامِ لا يَتِمُّ إلّابأُمورٍ مِن فِعلِه تَعالى فعَلَيه عَزَّ و جَلَّ أن يَفعَلَها، و أُمورٍ مِن جِهةِ الإمامِ عليه السلامُ فلابُدَّ أيضاً مِن حُصولِها، و أُمورٍ مِن جِهَتِنا فيَجِبُ علَى اللّهِ تَعالى أن يُكَلِّفَنا فِعلَها و تَجِبُ علينا الطاعةُ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مِن فِعلِه تَعالى هو إيجادُه للإمام، و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 و الآلاتِ و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بما فُوِّضَ إليه، و النَّصُّ على عَينِه، و إلزامُه القيامَ بأَمرِ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يَرجِعُ إلَى الإمامِ هو قَبولُ هذا التكليفِ، و تَوطينُه نَفسَه علَى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يَرجِعُ إلَى الأُمّةِ هو تَمكينُ الإمامِ مِن تَدبيرِهم، و رَفعُ الحَوائلِ و المَوانعِ عن ذلك بطاعتِه و الاِنقيادِ له و التصرُّفِ على تَدبيرِه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يَرجِعُ إلَى اللّهِ تَعالى هو الأصلُ و القاعدةُ فلابُدَّ مِن تَقدُّمِه و تَمهُّدِه، و يَتلوه ما يَرجِعُ إلَى الإمامِ، و يَتلو الأمرَينِ ما يَرجِعُ إلَى الأُمّةِ؛ فمَتى لَم يَتَقدَّمِ الأصلانِ الراجِعانِ إليه عَزَّو جَلَّ و إلَى الإمامِ نَفسِه، لَم يَجِبْ علَى الأُمّةِ ما قُلنا أنّه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ممّا هو فَرعٌ للأصلَينِ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يُخرِجُ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 في هذا البابِ، و واجبٌ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أصلاً و مِن وجوبِ التقديمِ إخلالُ الأُمّةِ بما يَجِبُ عليها، و العِلمُ بأنّها تُطيعُ أو تَعصي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كُلِّ حالٍ أن يَكونَ الإمامُ مَوجوداً مُزاحَ العِلّةِ في القُدَرِ و العُلومِ و ما جَرى مَجراها، مُوَطِّناً نَفسَه على تَدبيرِ الأُمّةِ إذا أَمِنَ و زالَ خَوفُه؛ و لَم يَجُز أن يَقومَ العَدَمُ في هذا البابِ مَقامَ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الإمامَ بهذا الفَرضِ الذي فَرَضوه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المَوجودِ؛ لأنّه تَعالى إذا أعلَمَ الأُمّةَ و دَلَّها على أنّه يوجِدُ الإمامَ لا مَحالةَ مَتى مَكَّنوه و أزالوا خَوفَه، و إن كانوا مُكلَّفينَ لِشَريعتِة ثُمّ انطَوى عَنهُم منها شَيءٌ أَوجَدَه في الحالِ لِيُتَرجِمَ عنه، فالإمامُ كالمَوجودِ؛ بَل مع هذه العِنايةِ مِنه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المفروضِ الإمامُ هو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نوجِبُ وجودَ حُجّةٍ في كُلِّ زَمانٍ إذا كُنّا على ما نَحنُ الآنَ عليه، و مع الفَرضِ الذي ذَكَروه قد تَغيَّرَتِ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رَفعِ الإمامِ إلَى السَّماءِ حَتّى يأمَنَ فيَهبِطَ منها، و بَينَ الغَيبةِ في الأرضِ؛ مِن حَيثُ لا نَقِفُ على مَكانِه؟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فَرَضنا أنّه في السماءِ يَعرِفُ أخبارَ رَعيّتِه في طاعةٍ و معصيةٍ و لا يَخفى عليه مِن أحوالِهم ما يَجِبُ معه الظُّهورُ و استِمرارُ الغَيبةِ، فالسماءُ كالأرضِ في المَعنَى المَقصودِ، و القُربُ كالبُعدِ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السَّبَبُ المانِعُ مِن ظُهورِه، و المُقتَضي لغَيبَتِه، علَى التحقيقِ؟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السَّبَبُ في ذلك هو الخَوفَ علَى المُهجةِ؛ فإنّ الآلامَ </w:t>
      </w:r>
    </w:p>
    <w:p>
      <w:pPr>
        <w:pStyle w:val="BookText"/>
        <w:rPr/>
      </w:pPr>
      <w:r>
        <w:rPr>
          <w:rFonts w:ascii="Amiri" w:hAnsi="Amiri" w:eastAsia="Amiri" w:cs="Amiri"/>
          <w:color w:val="111111"/>
          <w:sz w:val="28"/>
          <w:sz w:val="28"/>
          <w:szCs w:val="28"/>
          <w:rtl w:val="true"/>
          <w:lang w:bidi="ar-SA"/>
        </w:rPr>
        <w:t>و ما دونَ القَتلِ يَتَحمَّلُه الإمامُ و لا يَترُكُ الظُّهورهَ له، و إنّما عَلَت مَنزِلةُ الأنبياءِ عليهم السلامُ و الأئمّةُ عليهم السلامُ لأنّهم يَتَحمَّلونَ كُلَّ مَشَقّةٍ عَظيمةٍ في القيامِ بما فُوِّضَ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يأمَنُ القَتلَ؟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أنّ الإمامَ في هذا الزمانِ قد عَرَفَ مِن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بتَوقيفِ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الغَيبةِ، و الفَرقَ بَينَ الزمانِ الذي يَجِبُ أن يَكونَ الإمامُ عليه السلامُ فيه غائباً للخَوفِ، و بَينَ الزمانِ الذي يَجِبُ فيه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لا تَتَطرَّقُ فيه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خَوفُه و أمنُه مَوقوفَينِ علَى الظُّنونِ و الأماراتِ؛ فإذا ظَنّ العَطَبَ‌</w:t>
      </w:r>
      <w:r>
        <w:rPr>
          <w:rStyle w:val="FootnoteAnchor"/>
          <w:rtl w:val="true"/>
        </w:rPr>
        <w:footnoteReference w:id="718"/>
      </w:r>
      <w:r>
        <w:rPr>
          <w:rFonts w:ascii="Amiri" w:hAnsi="Amiri" w:eastAsia="Amiri" w:cs="Amiri"/>
          <w:color w:val="111111"/>
          <w:sz w:val="28"/>
          <w:sz w:val="28"/>
          <w:szCs w:val="28"/>
          <w:rtl w:val="true"/>
          <w:lang w:bidi="ar-SA"/>
        </w:rPr>
        <w:t>استَتَرَ، و إذا ظَنَّ السَّلامةَ ظَهَرَ؛ و للسَّلامةِ و ضِدِّها أماراتٌ 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يَعمَلُ الإمامُ عليه السلامُ علَى الأماراتِ و الظُّنونِفي ظُهورِه، و قد يَجوزُ أن يَكذِبَ‌</w:t>
      </w:r>
      <w:r>
        <w:rPr>
          <w:rStyle w:val="FootnoteAnchor"/>
          <w:rtl w:val="true"/>
        </w:rPr>
        <w:footnoteReference w:id="719"/>
      </w:r>
      <w:r>
        <w:rPr>
          <w:rFonts w:ascii="Amiri" w:hAnsi="Amiri" w:eastAsia="Amiri" w:cs="Amiri"/>
          <w:color w:val="111111"/>
          <w:sz w:val="28"/>
          <w:sz w:val="28"/>
          <w:szCs w:val="28"/>
          <w:rtl w:val="true"/>
          <w:lang w:bidi="ar-SA"/>
        </w:rPr>
        <w:t>الظَّنُّ و يَقَعَ خِلافُ المَظنونِ؟ أوَ لَيسَ يَجِبُ على هذا أن يَكونَ مُجوِّزاً لأِنْ يُقتَلَ و إن ظَنَّ السَّلامةَ؟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 غَيرُ مُمتَنِعٍ أن يَكونَ اللّهُ تَعالى تَعبَّدَ الإمامَ بأن يَظهَرَ عندَ قُوّةِ ظَنِّه بالسَّلامةِ، و عِلمُه بإيجابِ الظُّهورِ عليه مُؤمِنٌ له مِن القَتلِ؛ فَصارَ الظَّنُّ طَريقاً إلَى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في إقامةِ الرَّئيسِ الاِنزِجارَ عن القَبيحِ، فقَد يَكونُ ذلكَ عندَ رِياسَةِ كافِرٍ؛ فهَل تُجيزونَ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رِياسةُ الكافِرِ فيها وَجهٌ مِن وُجوهِ القُبحِ؛ و هو الأمرُ بتَعظيمِ الكافِرِ و تَقديمِه، و هذا وَجهُ قُبحٍ، و إن كانَ الصلاحُ المَقصودُ قد يَتِمُّ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تَعالى أنّ الأُمّةَ لا تَنزَجِرُ عن القَبائحِ إلّابرِياسةِ كافِرٍ، أو برِياسةِ مَن لَيسَت له الصِّفاتُ التي توجِبونَها في الأئمّةِ؟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لُطفُ المُكلَّفِ في فِعلِ قَبيحٍ، فالأصَحُّ مِن المَذهَبَينِ أن لا يُكلَّفَ ما ذلك القَبيحُ لُطفٌ فيه، و لا يَجري مَجرى مَن لا لُطفَ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قَدَّرنا أنّ اللّهَ تَعالى يَعلَمُ أنّ أحَداً مِن الأُمّةِ كُلِّها لا يَتَقبَّلُ تكليفَ الإمامةِ و لا يَتَكفَّلُ برِياسةِ الأُمّةِ، أو يَعلَمُ أنّه لا يَتَقبَّلُ ذلك إلّامَن لا تَتَكامَلُ فيه الشرائطُ التي نوجِبُها في الإمامِ؛ فإنّا نَقولُ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كانَ يُسقِطُ عن الأُمّةِ تَكليفَ ما الرِّئاسةُ لُطفٌ فيه، و يَجري ذلك مَجرى ما نَقولُه كُلُّنا فيمَن كانَ لُطفُه في فِعلِ غَيرِه مِن المُكلَّفينَ، و عَلِمَ اللّهُ عَزَّو جَلَّ أنّ ذلك الغَيرَ لا يَختارُ ذلك الفِعلَ الذي فيه لُطفُه؛ فإنّا مُجمِعونَ علَى القَولِ بأنّ التكليفَ الذي ذلك الفِعلُ لُطفٌ فيه يَسقُطُ عنه، و لا يَجري مَجرى مَن لا لُطفَ لَه في حُسنِ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ألّاحَرَسَ اللّهُ تَعالَى الإمامَ مِن الأعداءِ و أظهَرَه لتَدبيرِ أمرِهم؟ و هَل تَضيقُ قُدرتُه تَعالى عن حِفظِه منهم حَتّى لا يَنالوهُ بسُوءٍ؟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على كُلِّ شَيءٍ، و ما لَيسَ بَمقدورٍ في نَفسِه لا يوصَفُ بالقُدرةِ عليه، و قد مَنَعَ اللّهُ تَعالى إمامَ الزمانِ عليه السلامُ و حَفِظَه مِن الأعداءِ بكُلِّ ما لا يُنافي التكليفَ؛ مِن النَّهيِ و الأمرِ، و الوَعظِ 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يُنافي التكليفَ </w:t>
      </w:r>
    </w:p>
    <w:p>
      <w:pPr>
        <w:pStyle w:val="BookText"/>
        <w:rPr/>
      </w:pPr>
      <w:r>
        <w:rPr>
          <w:rFonts w:ascii="Amiri" w:hAnsi="Amiri" w:eastAsia="Amiri" w:cs="Amiri"/>
          <w:color w:val="111111"/>
          <w:sz w:val="28"/>
          <w:sz w:val="28"/>
          <w:szCs w:val="28"/>
          <w:rtl w:val="true"/>
          <w:lang w:bidi="ar-SA"/>
        </w:rPr>
        <w:t>و يوجِبُ الإلجاءَ فلا يَجوزُ أن يَفعَلَه و الحالُ حالُ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غَيبةِ إمامِ الزمانِ عليه السلامُ مِن أعدائه مَعروفةٌ؛ فما العِلّةُ في غَيبَتِه عن أوليائِه و شيعَتِه؟ و كَيفَ فاتَ هؤلاءِ الانتفاعُ به لِما جَناه غَيرُهم؟ و هَل يَسوغُ في التكليفِ مِثلُ هذا؟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الكلامَ في هذا الفَصلِ مُستَقصىً، و المُختارُ مِن الوُجوهِ المَذكورةِ أَنّا إنَّما نُطالَبُ بعِلّةِ استِتارِه مِن شيعَتِه إذا كانوا غَيرَ مُنتَفِعينَ به في حالِ الغَيبةِ الانتفاعَ الذي لا يَزيدُ عليه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 أنّ شيعتَه مُنزَجِرونَ به عن القَبائحِ و هو غائبٌ عن أعيُنِهم بِهَيبتِهِ و رَهبَتِه، خائفونَ مِن انتِقامِه و سَطوَتِه و تأديبِه و عُقوبَتِه كَما لَو كانَ ظاهِراً؛ لأنّهم قاطِعونَ على وُجودِه بَينَهم،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يَتَعَرَّفُ</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أخبارَهُم، و يَعرِفُ حالَ المُخطِئِ و المُصيبِ و الطائعِ و العاصي؛ فَهُم يَترُكونَ المَعاصِيَ أو يَكونونَ أقرَبَ إلى مَن تَرَكَها حَياءً مِنه، و مُحاباةً له، و إشفاقاً مِن مُعالَجَتِه بالحَدِّ و العُقوبةِ؛ و فيهم مَن</w:t>
      </w:r>
      <w:r>
        <w:rPr>
          <w:rStyle w:val="FootnoteAnchor"/>
          <w:rtl w:val="true"/>
        </w:rPr>
        <w:footnoteReference w:id="722"/>
      </w:r>
      <w:r>
        <w:rPr>
          <w:rFonts w:ascii="Amiri" w:hAnsi="Amiri" w:eastAsia="Amiri" w:cs="Amiri"/>
          <w:color w:val="111111"/>
          <w:sz w:val="28"/>
          <w:sz w:val="28"/>
          <w:szCs w:val="28"/>
          <w:rtl w:val="true"/>
          <w:lang w:bidi="ar-SA"/>
        </w:rPr>
        <w:t>لَو ظَهَرَ له الإمامُ، و أرادَ أن يُقيمَ عليه الحَدَّ، أو يُعاقِبَه بجِنايَتِه، ما امتَنَعَ عليه؛ فالانتِفاعُ الدِّينيُّ بالأئمّةِ حاصلٌ به عليه السلامُ لِشيعَتِه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يَنتَفِعونَ به في حالِ الظُّهورِ في انتِقامِه لهُم مِن أعدائِهِم و أخذِ حُقوقِهم مِنهُم، و هذه مَنافِعُ دُنيَويّةٌ يَجوزُ تأخيرُها و فَوتُها، و لا يَجري ذلك مَجرى تِلك المَنافِعِ الدِّينيّةِ التي يَقتَضيها التكليفُ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بيّنّا أيضاً</w:t>
      </w:r>
      <w:r>
        <w:rPr>
          <w:rStyle w:val="FootnoteAnchor"/>
          <w:rtl w:val="true"/>
        </w:rPr>
        <w:footnoteReference w:id="723"/>
      </w:r>
      <w:r>
        <w:rPr>
          <w:rFonts w:ascii="Amiri" w:hAnsi="Amiri" w:eastAsia="Amiri" w:cs="Amiri"/>
          <w:color w:val="111111"/>
          <w:sz w:val="28"/>
          <w:sz w:val="28"/>
          <w:szCs w:val="28"/>
          <w:rtl w:val="true"/>
          <w:lang w:bidi="ar-SA"/>
        </w:rPr>
        <w:t>أنّا غَيرُ قاطِعينَ على أنّ أحَداً مِن شيعَتهِ لا يَلقاهُ في حالِ غَيبَتِه كَما نَقطَعُ على ذلكَ في أعدائِه، و أنّا نُجَوِّزُ أن يَلقاهُ الكَثيرُ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بيّنّا هُناكَ أيضاً</w:t>
      </w:r>
      <w:r>
        <w:rPr>
          <w:rStyle w:val="FootnoteAnchor"/>
          <w:rtl w:val="true"/>
        </w:rPr>
        <w:footnoteReference w:id="724"/>
      </w:r>
      <w:r>
        <w:rPr>
          <w:rFonts w:ascii="Amiri" w:hAnsi="Amiri" w:eastAsia="Amiri" w:cs="Amiri"/>
          <w:color w:val="111111"/>
          <w:sz w:val="28"/>
          <w:sz w:val="28"/>
          <w:szCs w:val="28"/>
          <w:rtl w:val="true"/>
          <w:lang w:bidi="ar-SA"/>
        </w:rPr>
        <w:t>أنّه لا وَجهَ لِاستِبعادِ مَعرِفةِ إمامِ الزمانِ عليه السلامُ بجِناياتِ شيعَتِه مع الغَيبةِ، و أنّ مَعرِفتَه بذلك و هو غائبٌ كمَعرِفَتِه به و هو ظاهِرٌ؛ لأنّ المَعرِفةَ بذلك في حالِ الظُّهورِ إنّما تَكونُ بِالمُشاهَدةِ، أو بالبَيِّنةِ، أو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المُشاهَدةُ مُمكِنةٌ في حالِ الغَيبةِ، و الخَوفُ منها و هو غائبٌ أقوى‌</w:t>
      </w:r>
      <w:r>
        <w:rPr>
          <w:rStyle w:val="FootnoteAnchor"/>
          <w:rtl w:val="true"/>
        </w:rPr>
        <w:footnoteReference w:id="725"/>
      </w:r>
      <w:r>
        <w:rPr>
          <w:rFonts w:ascii="Amiri" w:hAnsi="Amiri" w:eastAsia="Amiri" w:cs="Amiri"/>
          <w:color w:val="111111"/>
          <w:sz w:val="28"/>
          <w:sz w:val="28"/>
          <w:szCs w:val="28"/>
          <w:rtl w:val="true"/>
          <w:lang w:bidi="ar-SA"/>
        </w:rPr>
        <w:t>مِنه مع ظُهورِه؛ لأنّ التحَرُّزَ مِن مُشاهَدَتِه للجِناياتِ و هو غائبٌ أشَدُّ و أضيَقُ تَعَذُّراً منه و هو ظاهِرٌ مُتَميِّزُ الشَّخصِ؛ لأنّه إذا كانَ معروفَ العَينِ أُمِنَ مع بُعدِه مِن المُشاهَدةِ لِجِنايةٍ تَجري مِن بَعضِ شيعَتِه، و إذا لَم يَتَميَّزْ شَخصُه لَم يؤمَنْ في كُلِّ حالٍ مِن مُشاهَدَتِه، و جُوِّزَ في كُلِّ من يُرى و لا يُعرَفُ أنّه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البَيِّنةُ فيَجوزُ أن تَقومَ عندَه و هو غائبٌ؛ بأن يَتَّفِقَ كَونُ مَن شاهَدَ تِلك الفاحِشةَ مِمَّن يَلقَى الإمامَ فيَشهَدُ بها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التجويزُ في هذا البابِ كافٍ، و لا يُحتاجُ في الخَوفِ و حُصولِه إلَى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الإقرارُ مُمكِنٌ في الغَيبةِ على هذا الوَجهِ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سَلَكنا هذه الطريقةَ رَبِحنا الجَوابَ عن كُلِّ شُبهةٍ تورَدُ في عِلّةِ استِتارِ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أوليائه فهِيَ كثيرةٌ، و يَكفينا</w:t>
      </w:r>
      <w:r>
        <w:rPr>
          <w:rStyle w:val="FootnoteAnchor"/>
          <w:rtl w:val="true"/>
        </w:rPr>
        <w:footnoteReference w:id="726"/>
      </w:r>
      <w:r>
        <w:rPr>
          <w:rFonts w:ascii="Amiri" w:hAnsi="Amiri" w:eastAsia="Amiri" w:cs="Amiri"/>
          <w:color w:val="111111"/>
          <w:sz w:val="28"/>
          <w:sz w:val="28"/>
          <w:szCs w:val="28"/>
          <w:rtl w:val="true"/>
          <w:lang w:bidi="ar-SA"/>
        </w:rPr>
        <w:t>مَؤُونةَ ما تَعَسَّفَه</w:t>
      </w:r>
      <w:r>
        <w:rPr>
          <w:rStyle w:val="FootnoteAnchor"/>
          <w:rtl w:val="true"/>
        </w:rPr>
        <w:footnoteReference w:id="727"/>
      </w:r>
      <w:r>
        <w:rPr>
          <w:rFonts w:ascii="Amiri" w:hAnsi="Amiri" w:eastAsia="Amiri" w:cs="Amiri"/>
          <w:color w:val="111111"/>
          <w:sz w:val="28"/>
          <w:sz w:val="28"/>
          <w:szCs w:val="28"/>
          <w:rtl w:val="true"/>
          <w:lang w:bidi="ar-SA"/>
        </w:rPr>
        <w:t>قَومٌ مِن أصحابِنا في جَوابِ ذلك مِن طُرُقٍ ضَعيفةٍ لا تُثمِرُ فائدةً</w:t>
      </w:r>
      <w:r>
        <w:rPr>
          <w:rFonts w:eastAsia="Amiri" w:cs="Amiri" w:ascii="Amiri" w:hAnsi="Amiri"/>
          <w:color w:val="111111"/>
          <w:sz w:val="28"/>
          <w:szCs w:val="28"/>
          <w:rtl w:val="true"/>
          <w:lang w:bidi="ar-SA"/>
        </w:rPr>
        <w:t>.</w:t>
      </w:r>
      <w:r>
        <w:rPr>
          <w:rStyle w:val="FootnoteAnchor"/>
        </w:rPr>
        <w:footnoteReference w:id="72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94" w:name="pg7486_97522"/>
    </w:p>
    <w:p>
      <w:pPr>
        <w:pStyle w:val="Heading3"/>
        <w:numPr>
          <w:ilvl w:val="2"/>
          <w:numId w:val="1"/>
        </w:numPr>
        <w:rPr/>
      </w:pPr>
      <w:bookmarkStart w:id="395" w:name="__RefHeading___Toc2226166_1051229030"/>
      <w:bookmarkStart w:id="396" w:name="_Toc143"/>
      <w:bookmarkEnd w:id="394"/>
      <w:bookmarkEnd w:id="395"/>
      <w:r>
        <w:rPr/>
        <w:t>9</w:t>
      </w:r>
      <w:r>
        <w:rPr>
          <w:rtl w:val="true"/>
        </w:rPr>
        <w:t xml:space="preserve"> - </w:t>
      </w:r>
      <w:r>
        <w:rPr>
          <w:rtl w:val="true"/>
        </w:rPr>
        <w:t xml:space="preserve">ما ذكره في كتاب </w:t>
      </w:r>
      <w:r>
        <w:rPr>
          <w:rtl w:val="true"/>
        </w:rPr>
        <w:t>«</w:t>
      </w:r>
      <w:r>
        <w:rPr>
          <w:rtl w:val="true"/>
        </w:rPr>
        <w:t>جمل العلم و العمل</w:t>
      </w:r>
      <w:r>
        <w:rPr>
          <w:rtl w:val="true"/>
        </w:rPr>
        <w:t xml:space="preserve">» </w:t>
      </w:r>
      <w:r>
        <w:rPr>
          <w:rtl w:val="true"/>
        </w:rPr>
        <w:t>و شرحه</w:t>
      </w:r>
      <w:bookmarkEnd w:id="396"/>
    </w:p>
    <w:p>
      <w:pPr>
        <w:pStyle w:val="Heading4"/>
        <w:numPr>
          <w:ilvl w:val="3"/>
          <w:numId w:val="1"/>
        </w:numPr>
        <w:rPr/>
      </w:pPr>
      <w:bookmarkStart w:id="397" w:name="__RefHeading___Toc2226168_1051229030"/>
      <w:bookmarkStart w:id="398" w:name="_Toc144"/>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قد ذكر الشريف المرتضى في كتابه الجمل كلاماً في إمامة الأئمّة الاثني عشر، ثمّ تعرّض لغيبة الإمام المهدى عليه السلام و ما يتعلّق بها و شَرَحَها في الشرح، و نحن مقتصرون على بعض ما ذكره في الشرح، و هو مشتمل على كلامه في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الإمامةُ مُنساقةٌ في أبنائه عليه و عليهم السلامُ مِن الحَسَنِ ابنِه إلى مُحمّدِ بنِ الحَسَنِ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الواضحُ في ذلكَ اعتبارُ العِصمةِ، التي لَم تَثبُتْ فيمَن ادُّعيَت له الإمامةُ طولَ هذه الأزمانِ إلّافيمَن ذَكَرناهم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اتَّفَقَ ادّعاءُ العصمةِ له ممّن تُنفى إمامتُه بَينَ معلومِ الموتِ و قد ادُّعيَت حياتُه، و بَينَ مَن انقَرَضَ القولُ بإمامتِه و انعَقَدَ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ذَكَرناها مِن اعتبارِ القَطعِ على عِصمةِ الإمامِ، يُمكِنُ اعتبارُها في إمامةِ إمامٍ إمامٍ إلى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ترتيبُها أن نَجيءَ إلى أهلِ كُلِّ عَصرٍ، فنَعتَبِرَ أقوالَهم، فنَجِدَها بَينَ نافٍ للإمامةِ، و بَينَ موجِبٍ لها و نافٍ للعِصمةِ، وبَينَ قائلٍ بها و مُدّعٍ لإمامةِ مَن قد عُلِمَ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بَطَلَت هذه الأقاويلُ ثَبَتَت إمامةُ مَن نَذهَبُ إلى إمامتِه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أنّا لمّا اعتَبَرنا في إمامةِ أميرِ المؤمنينَ عليه السلامُ الأقوالَ الثلاثةَ </w:t>
      </w:r>
      <w:bookmarkStart w:id="399" w:name="pg7486_97525"/>
    </w:p>
    <w:p>
      <w:pPr>
        <w:pStyle w:val="BookText"/>
        <w:rPr/>
      </w:pPr>
      <w:bookmarkEnd w:id="399"/>
      <w:r>
        <w:rPr>
          <w:rFonts w:ascii="Amiri" w:hAnsi="Amiri" w:eastAsia="Amiri" w:cs="Amiri"/>
          <w:color w:val="111111"/>
          <w:sz w:val="28"/>
          <w:sz w:val="28"/>
          <w:szCs w:val="28"/>
          <w:rtl w:val="true"/>
          <w:lang w:bidi="ar-SA"/>
        </w:rPr>
        <w:t>و أبطَلنا قولَينِ منها، ثَبَتَ لنا الثالثُ، و هو القولُ بإمامتِه؟</w:t>
      </w:r>
    </w:p>
    <w:p>
      <w:pPr>
        <w:pStyle w:val="BookText"/>
        <w:rPr/>
      </w:pPr>
      <w:r>
        <w:rPr>
          <w:rFonts w:ascii="Amiri" w:hAnsi="Amiri" w:eastAsia="Amiri" w:cs="Amiri"/>
          <w:color w:val="111111"/>
          <w:sz w:val="28"/>
          <w:sz w:val="28"/>
          <w:szCs w:val="28"/>
          <w:rtl w:val="true"/>
          <w:lang w:bidi="ar-SA"/>
        </w:rPr>
        <w:t>و وَجَدنا الأُمّةَ بَعدَ أميرِ المؤمِنينَ عليه السلامُ بَينَ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السياقةِ التي سُقناها ثَبَتَت إمامةُ الباقينَ، و هُم مُحمّدُ بنُ عليٍّ، و عليُّ بنُ مُحمّدٍ،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يَحدُثْ قولٌ زائدٌ علَى الأقوالِ التي أبطَلناها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القولُ في سببِ غَيبتِه عليه السلامُ فسيَجيءُ فيما بَعدُ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226170_1051229030"/>
      <w:bookmarkStart w:id="401" w:name="_Toc145"/>
      <w:bookmarkEnd w:id="400"/>
      <w:r>
        <w:rPr>
          <w:rtl w:val="true"/>
        </w:rPr>
        <w:t>سببُ غَيبةِ الإمامِ الثاني عَشَرَ</w:t>
      </w:r>
      <w:bookmarkEnd w:id="4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غَيبةُ ابنِ الحَسَنِ عليهما السلامُ سببُها الخَوفُ علَى النفسِ، المُبيحُ للغَيبةِ و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ضاعَ مِن حَدٍّ و تأخَّرَ مِن حُكمٍ، يَبوءُ بإثمِه مَن هو سبَّبَ الغَيبةَ و أحوَجَ إليها</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سببَ للغَيبةِ يَجوزُ لأجلِه الاستتارُ إلّاخَوفُه عليه السلامُ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خَوفُه على مالِه و علَى الأذى في نفسِه، فإنّه يَجِبُ أن يَتحمَّلَ ذلكَ كُلَّه؛ لتَنزاحَ عِلّةُ المُكلَّفينَ في تكليفِهم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مَن خالَفَنا في النبيِّ صَلَّى اللّهُ عليه و آلِه في أنّه يَجِبُ عليه أن يَتحمَّلَ كُلَّ أذىً في نفسِه دونَ القَتلِ، حَتّى يَصِحَّ منه الأداءُ إلَى الخَلقِ ما هو لُطفٌ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أوجَبتم الظهورَ و إن أدّى إلى قَتلِه، كَما أظهَرَ اللّهُ تَعالى كَثيراً مِن الأنبياءِ و الأوصياءِ، و إن قَتَلوهُم؟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ذلكَ في الأنبياءِ و الأوصياءِ لمّا كانَ مِن معلومِ اللّهِ تَعالى أنّ هُناكَ </w:t>
      </w:r>
    </w:p>
    <w:p>
      <w:pPr>
        <w:pStyle w:val="BookText"/>
        <w:rPr/>
      </w:pPr>
      <w:r>
        <w:rPr>
          <w:rFonts w:ascii="Amiri" w:hAnsi="Amiri" w:eastAsia="Amiri" w:cs="Amiri"/>
          <w:color w:val="111111"/>
          <w:sz w:val="28"/>
          <w:sz w:val="28"/>
          <w:szCs w:val="28"/>
          <w:rtl w:val="true"/>
          <w:lang w:bidi="ar-SA"/>
        </w:rPr>
        <w:t>مَن يَقومُ مَقامَ المقتولِ في تَحمُّلِ أعباءِ النبوّةِ، أو يَعلَمُ تَغيُّرَ المَصالحِ التي كانَ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عَلِمَ تَعالى أنّه لَيسَ هُناك مَن يَقومُ مَقامَه و لا تَتغيَّرُ المَصلَحةُ، فلا يَجوزُ ظهورُه إذا أدّى إلى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حالةُ الإمامِ المُنتَظَرِ عليه السلامُ؛ فإنّه تَعالى قد عَلِمَ أنّه لَيسَ بَعدَه مَن يَقومُ مَقامَه في بابِ الإمامةِ، و الشريعةُ على ما كانَت عليه، و اللطفُ بمَكانِه لَم يَتغيَّرْ و لا يَصِحُّ تَغيُّرُه، فلا يَجوزُ ظهورُه إذا أدّى إلى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فقَد صَحَّ السببُ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مَنَعَ اللّهُ تَعالى مِن قَتلِه، و ظَهَرَ فلا يُتمكَّنُ مِن قَتلِه؟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مَنعٍ لا يؤَدّي إلى زوالِ التكليفِ و الإلجاءِ، فإنّ اللّهَ تَعالى قد فَعَلَ به، مِن الأمرِ بطاعتِه و إيجابِ نُصرتِه و امتثالِ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يَمنَعُ مِن التكليفِ مِن الحَيلولةِ بَينَه و بَينَهم و ما يَجري مَجراه فإنّ ذلكَ يَمنَعُ التكليفَ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ظَهَرَ عليه السلامُ لأوليائه، إن كانَت العِلّةُ في استتارِه خَوفَه على نفسِه؟ فإنّا نَعلَمُ أنّه لا يَخافُ مِن أوليائه، كما يَخافُ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أجوبةٌ مِن أصحابِنا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ثَبَتَت إمامتُه و عِصمتُه، ثُمّ عَلِمنا غَيبتَه و استتارَه، عَلِمنا أنّه لَم يَستَتِرْ إلّالوجهٍ لا يُنافي عِصمتَه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 يوجَدُ في الوَليِّ و العَدوِّ، و إن لَم نَعلَمْه على سَبيلِ التفصيلِ، كالنبيِّ عليه السلامُ استَتَرَ في الغارِ مِن الوَليِّ 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أنّا إذا عَلِمنا حِكمةَ القَديمِ تَعالى، عَلِمنا أنّ ما أمَرَ به مِن الشرائعِ و ما يَفعَلُه مِن آلامِ الأطفالِ و خَلقِ المؤذياتِ له وجهٌ لا يُنافي حِكمتَه تَعالى، و إن لَم نَعلَمْه على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في الجوابِ عن عِلّةِ استتارِ الإمامِ</w:t>
      </w:r>
      <w:r>
        <w:rPr>
          <w:rFonts w:eastAsia="Amiri" w:cs="Amiri" w:ascii="Amiri" w:hAnsi="Amiri"/>
          <w:color w:val="111111"/>
          <w:sz w:val="28"/>
          <w:szCs w:val="28"/>
          <w:rtl w:val="true"/>
          <w:lang w:bidi="ar-SA"/>
        </w:rPr>
        <w:t xml:space="preserve">. </w:t>
      </w:r>
      <w:bookmarkStart w:id="402" w:name="pg7486_97531"/>
    </w:p>
    <w:p>
      <w:pPr>
        <w:pStyle w:val="BookText"/>
        <w:rPr/>
      </w:pPr>
      <w:bookmarkEnd w:id="402"/>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استتارِه عن أوليائه عِلّةُ استتارِه عن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استتارِه عن أعدائه خَوفُه منهم، و عِلّةُ استتارِه عن أوليائه هو أنّه إذا ظَهَرَ لا يُمكِنُ مَعرِفتُه بعَينِه إلّابالمُعجِزِ، و يَجوزُ على مَن شاهَدَ ذلكَ المُعجِزَ أن تَدخُلَ عليه شُبهةٌ، فيَعتَقِدَ فيه أنّه مُدَّعٍ لِما لَيسَ له، و يَعتَقِدَ أنّه مُبطِلٌ، و يُشيعَ خبرَه، فيؤدّيَ إلى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نَقطَعُ على أنّ جميعَ أوليائه لا يَرَونَه، و إنّما يَعلَمُ كلُّ إنسانٍ حالَ نفسِه، غَيرَ أنّا إذا جَوَّزنا استتارَه عن بعضِهم أمكَنَ أن تَكونَ العِلّةُ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يَضيعُ مِن الحُدودِ و الأحكامِ في حالِ غَيبةِ الإمامِ فإنّه باقٍ في جَنبِ مُستَحِقّيه، و الذنبُ في ذلكَ على مَن أوجَبَ غَيبةَ الإمامِ، و كانَ سبباً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ذلكَ مَجرى ما يَقولُ أصحابُ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مُنِعَ أهلُ الحَلِّ و العَقدِ مِن اختيارِ مَن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الحُدودَ التي تَفوتُ في ذلكَ الوقتِ تَكونُ باقيةً في جَنبِ مَن يَستَحِقُّها، و يَكونُ الذنبُ على مَن حالَ بَينَهم و بَينَ الاختيارِ، و لا يَلزَمُهم أن تَكونَ الحدودُ قد سَقَطَت، فيؤَدّيَ ذلكَ إلى نَسخِ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قولُنا في حالِ غَيبةِ إمامِنا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هذا الفَصلِ بيّنّاه مُستَوفىً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Style w:val="FootnoteAnchor"/>
          <w:rtl w:val="true"/>
        </w:rPr>
        <w:footnoteReference w:id="730"/>
      </w:r>
    </w:p>
    <w:p>
      <w:pPr>
        <w:pStyle w:val="Heading4"/>
        <w:numPr>
          <w:ilvl w:val="3"/>
          <w:numId w:val="1"/>
        </w:numPr>
        <w:rPr/>
      </w:pPr>
      <w:bookmarkStart w:id="403" w:name="__RefHeading___Toc2226172_1051229030"/>
      <w:bookmarkStart w:id="404" w:name="_Toc146"/>
      <w:bookmarkEnd w:id="403"/>
      <w:r>
        <w:rPr>
          <w:rtl w:val="true"/>
        </w:rPr>
        <w:t>عَدَمُ ضَياع الشرعِ مع الغَيبةِ‌</w:t>
      </w:r>
      <w:bookmarkEnd w:id="40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الشرعُ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لأنّه لَو جَرى فيه ما لا يُمكِنُ العِلمُ به لِفَقدِ أدِلّتِه و انسدادِ الطريقِ إليه لَوَجَبَ </w:t>
      </w:r>
    </w:p>
    <w:p>
      <w:pPr>
        <w:pStyle w:val="BookText"/>
        <w:rPr/>
      </w:pPr>
      <w:r>
        <w:rPr>
          <w:rFonts w:ascii="Amiri" w:hAnsi="Amiri" w:eastAsia="Amiri" w:cs="Amiri"/>
          <w:color w:val="111111"/>
          <w:sz w:val="28"/>
          <w:sz w:val="28"/>
          <w:szCs w:val="28"/>
          <w:rtl w:val="true"/>
          <w:lang w:bidi="ar-SA"/>
        </w:rPr>
        <w:t>ظهورُ الإمامِ لبَيانِه و استدراكِه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غائباً لا يوصَلُ إليه، و عندَكم أنّ أحَدَ ما يُحتاجُ إليه فيه أن يَحفَظَ الشريعةَ، فما الذي يؤمِنُكم أن يَكونَ شَيءٌ مِن الشريعةِ لَم يَصِلْ إليكم و لَم يُنقَلْ؟ و هذا يؤَدّي إلَى الشكِّ في فَوتِ كَثيرٍ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الشريعةِ لَم يَصِلْ إلينا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نَتمكَّنُ نَحنُ مِن الوصولِ إليه؛ لأنّا إذا عَلِمنا أنّ شَريعةَ النبيِّ صَلَّى اللّهُ عليه و آلِه لازمةٌ لنا إلى يَومِ القيامةِ، و عَلِمنا أنّ التكليفَ لَم يَسقُطْ عنّا في حالٍ مِن الأحوالِ، عَلِمنا أنّ ما فَرَضوه مِن ضَياعِ بعضِ الشريعةِ و تَركِ نَقلِه و إن كانَ مُمكِناً لَم يَتَّفِقْ؛ لأنّه لَو اتَّفَقَ ذلكَ لَكانَ إمّا أن يَسقُطَ مِن التكليفِ عنّا ما ذلكَ الشيءُ لُطفٌ فيه، و قد عَلِمنا أنّ شَيئاً مِن التكليفِ لَم يَسقُطْ؛ أو كانَ يَجِبُ أن يَظهَرَ الإمامُ و يؤيِّدَه اللّهُ تَعالى بالمَلائكةِ، فيؤَدّيَ إلينا ما ضاعَ مِنّا و 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يَسقُطِ التكليفُ 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عَلِمنا أنّ ذلكَ لَم يَتَّفِقْ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الذي جَوَّزناه أخيراً، إن جَوَّزنا أن يَكونَ بعضُ الشريعةِ لَم يَصِلْ إلينا و يَكونَ عندَه عليه السلامُ، فلا يَجِبُ إسقاطُ التكليفِ عنّا، مِن حَيثُ أُتينا مِن قِبَلِ نُفوسِنا؛ لفِعلِنا ما أَوجَبَ استتارَه و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ذلكَ مَجرى ما يَفوتُنا مِن تَصرُّفِه و تأديبِه و الانتفاعِ بمكانِه، في أنّ ذلكَ لا يوجِبُ إسقاطَ التكليفِ عنّا، مِن حَيثُ كُنّا السببَ في استتارِه و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السؤالِ لا جوابَ علينا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05" w:name="pg7486_97538"/>
    </w:p>
    <w:p>
      <w:pPr>
        <w:pStyle w:val="Heading4"/>
        <w:numPr>
          <w:ilvl w:val="3"/>
          <w:numId w:val="1"/>
        </w:numPr>
        <w:rPr/>
      </w:pPr>
      <w:bookmarkStart w:id="406" w:name="__RefHeading___Toc2226174_1051229030"/>
      <w:bookmarkStart w:id="407" w:name="_Toc147"/>
      <w:bookmarkEnd w:id="405"/>
      <w:bookmarkEnd w:id="406"/>
      <w:r>
        <w:rPr>
          <w:rtl w:val="true"/>
        </w:rPr>
        <w:t>طولُ غَيبتِه عليه السلامُ و زيادةُ عُمرِه</w:t>
      </w:r>
      <w:bookmarkEnd w:id="4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طولُ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كقِصَرِها</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لأنّها مُتعلِّقةٌ بزَوالِ الخَوفِ الذي رُبَّما تَقدَّمَ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عُمُرِ الغائبِ علَى المُعتادِ لا قَدحَ به؛ لأنّ العادةَ قد تَنخَرِقُ للأئمّةِ، بَل للصالحينَ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في استتارِه و غَيبتِه ما بيّنّاه مِن خَوفِه على نفسِه، جازَ أن يَطولَ زمانُ غَيبتِه؛ لاستمرارِ أسبابِها التي أَوجَبَتها؛ لأنّها 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ظهورُه مع ثُبوتِ السببِ الموجِبِ للغَيبةِ؛ لأنّه يؤَدّي ذلكَ إلى تغريرهِ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يُستَبعَدَ استمرارُ أسبابِ الغَيبةِ؛ لأنّ ذلكَ مُمكِنٌ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طولُ الغَيبةِ و خروجُه عن العادةِ فلا اعتراضَ به أيضاً؛ لأمرَينِ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ذلكَ خارِقٌ للعادةِ؛ لأنّ مَن قَرأَ الأخبارَ، و نَظَرَ في أحوالِ مَن تَقدَّمَ، و وَقَفَ على ما سُطِرَ في الكُتُبِ مِن ذِكرِ المُعمَّرينَ، عَلِمَ أنّ ذلكَ قد جَرَت العادةُ بمِثلهِ، و قد نَطَقَ القُرآنُ ببعضِ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إخباراً عن نوحٍ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بمُقامِه بَينَ أظهُرِهم هذه المُدّةَ، و هو أضعافُ ما وَجَدنا مِن عُمرِ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أخبارِ المُعمَّرينَ مِن العَرَبِ و العَجَمِ قد صُنِّفَت فيه الكُتُبُ‌</w:t>
      </w:r>
      <w:r>
        <w:rPr>
          <w:rStyle w:val="FootnoteAnchor"/>
          <w:rtl w:val="true"/>
        </w:rPr>
        <w:footnoteReference w:id="735"/>
      </w:r>
      <w:r>
        <w:rPr>
          <w:rFonts w:ascii="IRNazanin" w:hAnsi="IRNazanin" w:eastAsia="IRNazanin"/>
          <w:color w:val="111111"/>
          <w:sz w:val="28"/>
          <w:sz w:val="28"/>
          <w:szCs w:val="28"/>
          <w:rtl w:val="true"/>
          <w:lang w:bidi="fa-IR"/>
        </w:rPr>
        <w:t xml:space="preserve">، و قد </w:t>
      </w:r>
    </w:p>
    <w:p>
      <w:pPr>
        <w:pStyle w:val="BookText"/>
        <w:rPr/>
      </w:pPr>
      <w:r>
        <w:rPr>
          <w:rFonts w:ascii="Amiri" w:hAnsi="Amiri" w:eastAsia="Amiri" w:cs="Amiri"/>
          <w:color w:val="111111"/>
          <w:sz w:val="28"/>
          <w:sz w:val="28"/>
          <w:szCs w:val="28"/>
          <w:rtl w:val="true"/>
          <w:lang w:bidi="ar-SA"/>
        </w:rPr>
        <w:t xml:space="preserve">أوردَنا طَرَفاً منه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لا يَتحمَّلُ هذا المَوضِعُ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 ذلكَ خارِقٌ للعاداتِ كُلِّها، عادتِنا و غيرِها، كانَ أيضاً جائزاً عندَنا؛ لأنّ أكثَرَ ما في ذلكَ أن يَكونَ مُعجِزاً، و إظهارُ المُعجِزاتِ عندَنا يَجوزُ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بنَبيٍّ مِن إمامٍ أو صالحٍ، و هو مَذهبُ أكثَرِ الأُمّةِ غيرَ المُعتَزِلةِ و الزيديّةِ 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سَمّى بعضُهم ذلكَ كَراماتٍ، لا مُعجِزاتٍ، و لا اعتبارَ بالأسماءِ، بَل المُرادُ خَرقُ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دَلَّلنا على هذا المَذهبِ في كَثيرٍ مِن المَواضعِ،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و لَيسَ هذا مَوضِعَ ذِكرِه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مُقنِعةٌ في هذا البابِ إن شاءَ اللّهُ تَعالى</w:t>
      </w:r>
      <w:r>
        <w:rPr>
          <w:rFonts w:eastAsia="Amiri" w:cs="Amiri" w:ascii="Amiri" w:hAnsi="Amiri"/>
          <w:color w:val="111111"/>
          <w:sz w:val="28"/>
          <w:szCs w:val="28"/>
          <w:rtl w:val="true"/>
          <w:lang w:bidi="ar-SA"/>
        </w:rPr>
        <w:t>.</w:t>
      </w:r>
      <w:r>
        <w:rPr>
          <w:rStyle w:val="FootnoteAnchor"/>
        </w:rPr>
        <w:footnoteReference w:id="73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7486_97547"/>
      <w:bookmarkStart w:id="409" w:name="pg7486_97547"/>
      <w:bookmarkEnd w:id="409"/>
    </w:p>
    <w:p>
      <w:pPr>
        <w:pStyle w:val="Heading3"/>
        <w:numPr>
          <w:ilvl w:val="2"/>
          <w:numId w:val="1"/>
        </w:numPr>
        <w:rPr/>
      </w:pPr>
      <w:bookmarkStart w:id="410" w:name="pg7486_97547"/>
      <w:bookmarkStart w:id="411" w:name="__RefHeading___Toc2226176_1051229030"/>
      <w:bookmarkStart w:id="412" w:name="_Toc148"/>
      <w:bookmarkEnd w:id="410"/>
      <w:bookmarkEnd w:id="411"/>
      <w:r>
        <w:rPr/>
        <w:t>10</w:t>
      </w:r>
      <w:r>
        <w:rPr>
          <w:rtl w:val="true"/>
        </w:rPr>
        <w:t xml:space="preserve"> - </w:t>
      </w:r>
      <w:r>
        <w:rPr>
          <w:rtl w:val="true"/>
        </w:rPr>
        <w:t xml:space="preserve">ما ذكره في </w:t>
      </w:r>
      <w:r>
        <w:rPr>
          <w:rtl w:val="true"/>
        </w:rPr>
        <w:t>«</w:t>
      </w:r>
      <w:r>
        <w:rPr>
          <w:rtl w:val="true"/>
        </w:rPr>
        <w:t>أجوبة مسائل متفرّقة من الحديث و غيره</w:t>
      </w:r>
      <w:r>
        <w:rPr>
          <w:rtl w:val="true"/>
        </w:rPr>
        <w:t>»</w:t>
      </w:r>
      <w:bookmarkEnd w:id="412"/>
    </w:p>
    <w:p>
      <w:pPr>
        <w:pStyle w:val="Heading4"/>
        <w:numPr>
          <w:ilvl w:val="3"/>
          <w:numId w:val="1"/>
        </w:numPr>
        <w:rPr/>
      </w:pPr>
      <w:bookmarkStart w:id="413" w:name="__RefHeading___Toc2226178_1051229030"/>
      <w:bookmarkStart w:id="414" w:name="_Toc149"/>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قد ذَكَرَ الشريف المرتضى هناك كلماتٍ متفرّفةً، و في ثنتَيْن منها علاقةٌ بما استدركناه هنا، فنذكرهما بحسب تقديمه رحمه اللّه و تأخيره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226180_1051229030"/>
      <w:bookmarkStart w:id="416" w:name="_Toc150"/>
      <w:bookmarkEnd w:id="415"/>
      <w:r>
        <w:rPr>
          <w:rtl w:val="true"/>
        </w:rPr>
        <w:t>ألف</w:t>
      </w:r>
      <w:r>
        <w:rPr>
          <w:rtl w:val="true"/>
        </w:rPr>
        <w:t xml:space="preserve">: </w:t>
      </w:r>
      <w:r>
        <w:rPr>
          <w:rtl w:val="true"/>
        </w:rPr>
        <w:t>كلامه في الرجعة</w:t>
      </w:r>
      <w:r>
        <w:rPr>
          <w:rtl w:val="true"/>
        </w:rPr>
        <w:t>:</w:t>
      </w:r>
      <w:bookmarkEnd w:id="416"/>
    </w:p>
    <w:p>
      <w:pPr>
        <w:pStyle w:val="Heading5"/>
        <w:numPr>
          <w:ilvl w:val="4"/>
          <w:numId w:val="1"/>
        </w:numPr>
        <w:rPr/>
      </w:pPr>
      <w:bookmarkStart w:id="417" w:name="__RefHeading___Toc2226182_1051229030"/>
      <w:bookmarkStart w:id="418" w:name="_Toc151"/>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اعلَمْ أنّ الذي تَقولُه الإماميّةُ مِن الرَّجعةِ، لا خِلافَ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و أنّه مقدورٌ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بَينَهم في أنّه سيوجَدُ لا مَحالةَ، أو لَيسَ كذلكَ؟</w:t>
      </w:r>
    </w:p>
    <w:p>
      <w:pPr>
        <w:pStyle w:val="BookText"/>
        <w:rPr/>
      </w:pPr>
      <w:r>
        <w:rPr>
          <w:rFonts w:ascii="Amiri" w:hAnsi="Amiri" w:eastAsia="Amiri" w:cs="Amiri"/>
          <w:color w:val="111111"/>
          <w:sz w:val="28"/>
          <w:sz w:val="28"/>
          <w:szCs w:val="28"/>
          <w:rtl w:val="true"/>
          <w:lang w:bidi="ar-SA"/>
        </w:rPr>
        <w:t xml:space="preserve">و لا يُخالِفُ في صِحّةِ رَجعةِ الأمواتِ إلّامُلحِدٌ و خارجٌ عن أقوالِ أهلِ التوحيدِ؛ لأنّ اللّهَ تَعالى قادرٌ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بَعدَ 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عليها قادرًا، جازَ أن يوجِدَها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الأعراضُ التي بها يَكون أحَدُنا حَيّاً مخصوصاً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إعادتَه بعَينِه غيرُ واجبةٍ؛ كالكَونِ، و الاعتمادِ، و ما يَجري مَجرى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وجوبِ إعادتِه بعَينِه، و هو الحياةُ و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أنّ إعادتَهما بعَينِهما غيرُ واجبةٍ، إن ثَبَتَ أنّ الحياةَ </w:t>
      </w:r>
    </w:p>
    <w:p>
      <w:pPr>
        <w:pStyle w:val="BookText"/>
        <w:rPr/>
      </w:pPr>
      <w:r>
        <w:rPr>
          <w:rFonts w:ascii="Amiri" w:hAnsi="Amiri" w:eastAsia="Amiri" w:cs="Amiri"/>
          <w:color w:val="111111"/>
          <w:sz w:val="28"/>
          <w:sz w:val="28"/>
          <w:szCs w:val="28"/>
          <w:rtl w:val="true"/>
          <w:lang w:bidi="ar-SA"/>
        </w:rPr>
        <w:t>و التأليفَ مِن الأجناسِ الباقيةِ؛ ففي ذلك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فالإعادةُ جائزةٌ صَحيحةٌ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اجتَمَعَت الإماميّةُ على أنّ اللّهَ تَعالى عندَ ظُهورِ القائمِ صاحبِ الزمانِ عليه السلامُ يُعيدُ قوماً مِن أوليائه لنُصرتِه و الابتهاجِ بدَولتِه، و قوماً مِن أعدائه ليَفعلَ بِهم بعضَ ما يَستَحِقّونَه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هذه الطائفةِ قد بيّنّا في غيرِ مَوضِعٍ مِن كُتُبِنا أنّه حُجّةٌ؛ لأنّ المعصومَ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القَطعُ على ثُبوتِ الرَّجعةِ، مُضافاً إلى جَوازِها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الرَّجعةُ ممّا يُنافي التكليفَ و يُحيلُ الإجماعَ معه؛</w:t>
      </w:r>
      <w:r>
        <w:rPr>
          <w:rStyle w:val="FootnoteAnchor"/>
          <w:rtl w:val="true"/>
        </w:rPr>
        <w:footnoteReference w:id="740"/>
      </w:r>
      <w:r>
        <w:rPr>
          <w:rFonts w:ascii="Amiri" w:hAnsi="Amiri" w:eastAsia="Amiri" w:cs="Amiri"/>
          <w:color w:val="111111"/>
          <w:sz w:val="28"/>
          <w:sz w:val="28"/>
          <w:szCs w:val="28"/>
          <w:rtl w:val="true"/>
          <w:lang w:bidi="ar-SA"/>
        </w:rPr>
        <w:t xml:space="preserve">و ذلكَ أنّ الدواعيَ مع الرَّجعةِ مُتردِّدةٌ، و العِلمَ باللّهِ تَعالى في تلكَ الحالِ لا يَكونُ إلاّ مُكتَسَباً غيرَ ضَروريٍّ؛ كَما أنّ العِلمَ 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مُكتَسَباً غيرَ ضَروريٍّ، و الدواعيَ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مع تَواتُرِ المُعجِزاتِ و تَرادُفِ باهِرِ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هَرَبَ مِن أصحابِنا مِن القولِ بثَباتِ التكليفِ على أهلِ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لِاعتقادِه أنّ التكليفَ في تلكَ الحالِ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بالرَّجعةِ إنّما هي على طَريقِ الثوابِ و إدخالِ المَسَرّةِ علَى المؤمنينَ ممّا يُشاهَدُ مِن ظُهورِ كلمةِ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مُصيبٍ؛ لأنّه لا خِلافَ بَينَ أصحابِنا في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مَن سَبَقَت وفاتُه مِن المؤمنينَ ليَنصُروا الإمامَ و ليُشارِكوا إخوانَهم مِن ناصِريه و مُحارِبي أعدائه، و أنّهم بالرجعةِ أدرَكوا مِن نُصرتِه و مَعونَتِه ما كان يَقوتُهم لَولاها؛ و مَن أُعيدَ للثوابِ المَحضِ، لا يَجِبُ عليه نُصرةُ الإمامِ عليه السلامُ و القِتالُ عنه و الدفاعُ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أغنَى اللّهُ تَعالى عن القولِ بما لَيسَ بصَحيحٍ هَرَباً ممّا هو غيرُ لازمٍ و لا 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19" w:name="pg7486_97553"/>
    </w:p>
    <w:p>
      <w:pPr>
        <w:pStyle w:val="BookText"/>
        <w:rPr/>
      </w:pPr>
      <w:bookmarkEnd w:id="419"/>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التكليفُ ثابتاً على أهلِ الرجعةِ، فجَوِّزوا ثُبوتَ تكليفِ الكُفّارِ الذينَ أعيدوا لنُزولِ استحقاقِ العِقابِ</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226184_1051229030"/>
      <w:bookmarkStart w:id="421" w:name="_Toc152"/>
      <w:bookmarkEnd w:id="420"/>
      <w:r>
        <w:rPr>
          <w:rtl w:val="true"/>
        </w:rPr>
        <w:t>قُلنا</w:t>
      </w:r>
      <w:r>
        <w:rPr>
          <w:rtl w:val="true"/>
        </w:rPr>
        <w:t xml:space="preserve">: </w:t>
      </w:r>
      <w:r>
        <w:rPr>
          <w:rtl w:val="true"/>
        </w:rPr>
        <w:t>عن هذا جَوابانِ</w:t>
      </w:r>
      <w:r>
        <w:rPr>
          <w:rtl w:val="true"/>
        </w:rPr>
        <w:t>:</w:t>
      </w:r>
      <w:bookmarkEnd w:id="42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أُعيدَ مِن الأعداءِ للنَّكالِ و العِقابِ، لا 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باقٍ علَى الأولياءِ؛ لأجلِ النُّصرةِ و الدفاعِ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و إن كانَ ثابتاً عليهم، فيَجوزُ أن يَعلَمَ اللّهُ تَعالى أنّهم لا يَختارونَ التوبةَ؛ لأنّا قد بيّنّا أنّ الرجعةَ غيرُ مُلجِئةٍ إلى تَركِ‌</w:t>
      </w:r>
      <w:r>
        <w:rPr>
          <w:rStyle w:val="FootnoteAnchor"/>
          <w:rtl w:val="true"/>
        </w:rPr>
        <w:footnoteReference w:id="741"/>
      </w:r>
      <w:r>
        <w:rPr>
          <w:rFonts w:ascii="Amiri" w:hAnsi="Amiri" w:eastAsia="Amiri" w:cs="Amiri"/>
          <w:color w:val="111111"/>
          <w:sz w:val="28"/>
          <w:sz w:val="28"/>
          <w:szCs w:val="28"/>
          <w:rtl w:val="true"/>
          <w:lang w:bidi="ar-SA"/>
        </w:rPr>
        <w:t>القَبيحِ و فعلِ الواجبِ، و أنّ الدواعيَ مُتردِّدةٌ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وجهُ القَطعِ على أنّهم لا يَختارونَ ذلكَ‌</w:t>
      </w:r>
      <w:r>
        <w:rPr>
          <w:rStyle w:val="FootnoteAnchor"/>
          <w:rtl w:val="true"/>
        </w:rPr>
        <w:footnoteReference w:id="742"/>
      </w:r>
      <w:r>
        <w:rPr>
          <w:rFonts w:ascii="Amiri" w:hAnsi="Amiri" w:eastAsia="Amiri" w:cs="Amiri"/>
          <w:color w:val="111111"/>
          <w:sz w:val="28"/>
          <w:sz w:val="28"/>
          <w:szCs w:val="28"/>
          <w:rtl w:val="true"/>
          <w:lang w:bidi="ar-SA"/>
        </w:rPr>
        <w:t>ما عَلِمنا و قَطَعنا عليه مِن أنّهم مُخَلَّدونَ لا مَحالةَ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نُجيبُ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في بعضِ هؤلاءِ الأعداءِ أو كُلِّهم أن يَكونِ قَبلَ مَوتِه بساعةٍ تابَ، فأَسقَطَت التوبةُ عِقابَه، و لا 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التجويزِ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لا مَحالةَ مُخلَّدونَ في النارِ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عندَكم فيما تَستَدِلُّ به الإماميّةُ على ثُبوتِ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يَقتَضي الاستقبالَ، فلا يَجوزُ أن يُحمَلَ على أنّ المُرادَ به موسى عليه السلامُ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حَمَلنا فِرعَونَ و هامانَ على </w:t>
      </w:r>
    </w:p>
    <w:p>
      <w:pPr>
        <w:pStyle w:val="BookText"/>
        <w:rPr/>
      </w:pPr>
      <w:r>
        <w:rPr>
          <w:rFonts w:ascii="Amiri" w:hAnsi="Amiri" w:eastAsia="Amiri" w:cs="Amiri"/>
          <w:color w:val="111111"/>
          <w:sz w:val="28"/>
          <w:sz w:val="28"/>
          <w:szCs w:val="28"/>
          <w:rtl w:val="true"/>
          <w:lang w:bidi="ar-SA"/>
        </w:rPr>
        <w:t xml:space="preserve">أنّهما الرجّلانِ المعروفانِ اللذانِ كانا في عَهدِ موسى عليه السلامُ و شيعتِه، فيَجِبُ أن يُعادا لِيَرَيا ما مَنَّ اللّهُ تَعالى به على مَن ذَكرَه مِن المُستَضعَفين؛ و هذا يوجِبُ الرجعةَ إلى ما بيّنّاه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الاستدلالُ بذلكَ مَرضيّاً، و لا دليلَ يَقتَضي ثُبوتَ الرجعةِ إلّاما بيّنّاه مِن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قُلنا أنّ ذلكَ لَيسَ بصَحيحٍ؛ إذ لفظُ الاستقبالِ في الآيةِ لا يَدُلُّ على أنّ ذلكَ ما وَقَعَ؛ لأنّ اللّهَ تَعالى تَكلَّمَ بالقُرآنِ عندَ جَميعِ المُسلِمينَ قَبلَ خلَقِ آدمَ عليه السلامُ فَضلًا عن موسى عليه السلامُ، و الألفاظُ التي تَقتَضي المُضيَّ في القُرآنِ هي التي نَحتاجُ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نَتأوَّلَها إذا كانَ إيجادُه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سَلَّمنا أنّ ذلكَ ما وَقَعَ إلَى الآنَ و أنّه مُنتَظَرٌ مِن أينَ‌</w:t>
      </w:r>
      <w:r>
        <w:rPr>
          <w:rStyle w:val="FootnoteAnchor"/>
          <w:rtl w:val="true"/>
        </w:rPr>
        <w:footnoteReference w:id="744"/>
      </w:r>
      <w:r>
        <w:rPr>
          <w:rFonts w:ascii="Amiri" w:hAnsi="Amiri" w:eastAsia="Amiri" w:cs="Amiri"/>
          <w:color w:val="111111"/>
          <w:sz w:val="28"/>
          <w:sz w:val="28"/>
          <w:szCs w:val="28"/>
          <w:rtl w:val="true"/>
          <w:lang w:bidi="ar-SA"/>
        </w:rPr>
        <w:t>اقتضاؤه للرجعةِ في الدنيا؟ و لَعلَّ ذلكَ خبرٌ عمّا يَكونُ في الآخِرةِ و عندَ دخولِ الجَنّةِ و النارِ؛ فإنّ اللّهَ تَعالى لا مَحالةَ يَمُنُّ على مُستَضعَفي أوليائه المؤمنينَ في الدنيا، بأن يورِثَهم الثوابَ في الجَنّةِ، و يُمكِّنَ لهُم في أرضِها، و يَجعَلَهم أئمّةً و أعلاماً بما يوصِلُه إليهم مِن صُنوفِ التعظيماتِ و فُنونِ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فِرعونَ و هامانَ و جُنودَهما في النارِ ذلكَ مِن حالِهم؛ ليَزدادوا حَسرةً و غَمّاً و أسَفاً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لا يَنبو عن التأويلِ الذي ذَكرناه؛ لأنّ فِرعَونَ و هامانَ و شيعتَهما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يَحذَرونَ و يَكرَهونَ وصولَ الثوابِ و المَسارِّ و التعظيمِ و التبجيلِ إلى أعدائهما مِن موسى و أنصارِه و شيعتِه، و مُشاهَدتُهم لذلكَ أو عِلمُهم به زائدٌ في عِقابِهم و مُقوٍّ لعَذابِهم و مُضاعِفٌ لإيلامِهم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يَخفى صِحّتُه و اطّرادُه على مُتأمِّلٍ</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22" w:name="pg7486_97560"/>
    </w:p>
    <w:p>
      <w:pPr>
        <w:pStyle w:val="Heading4"/>
        <w:numPr>
          <w:ilvl w:val="3"/>
          <w:numId w:val="1"/>
        </w:numPr>
        <w:rPr/>
      </w:pPr>
      <w:bookmarkStart w:id="423" w:name="__RefHeading___Toc2226186_1051229030"/>
      <w:bookmarkStart w:id="424" w:name="_Toc153"/>
      <w:bookmarkEnd w:id="422"/>
      <w:bookmarkEnd w:id="423"/>
      <w:r>
        <w:rPr>
          <w:rtl w:val="true"/>
        </w:rPr>
        <w:t>ب</w:t>
      </w:r>
      <w:r>
        <w:rPr>
          <w:rtl w:val="true"/>
        </w:rPr>
        <w:t xml:space="preserve">: </w:t>
      </w:r>
      <w:r>
        <w:rPr>
          <w:rtl w:val="true"/>
        </w:rPr>
        <w:t>كلامه في الغيبة</w:t>
      </w:r>
      <w:r>
        <w:rPr>
          <w:rtl w:val="true"/>
        </w:rPr>
        <w:t>:</w:t>
      </w:r>
      <w:bookmarkEnd w:id="424"/>
    </w:p>
    <w:p>
      <w:pPr>
        <w:pStyle w:val="BookText"/>
        <w:rPr/>
      </w:pPr>
      <w:r>
        <w:rPr>
          <w:rFonts w:ascii="Amiri" w:hAnsi="Amiri" w:eastAsia="Amiri" w:cs="Amiri"/>
          <w:color w:val="111111"/>
          <w:sz w:val="28"/>
          <w:sz w:val="28"/>
          <w:szCs w:val="28"/>
          <w:rtl w:val="true"/>
          <w:lang w:bidi="ar-SA"/>
        </w:rPr>
        <w:t>و قد ذَكَرَ فيه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الغيبة و كلاماً في الإمامة بعده عليه السلام، فقال رحمه اللّه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226188_1051229030"/>
      <w:bookmarkStart w:id="426" w:name="_Toc154"/>
      <w:bookmarkEnd w:id="425"/>
      <w:r>
        <w:rPr>
          <w:rtl w:val="true"/>
        </w:rPr>
        <w:t>فَصلٌ في الغَيبةِ‌</w:t>
      </w:r>
      <w:bookmarkEnd w:id="4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قَبلتم أنّ الإمامَ موجودٌ، و أنّه يَظهَرُ و يَفعَلُ و يَصنَعُ، فأيُّ شَيءٍ يَمنَعُ مِن ظهورِه؟ بيِّنوا ما الموجِبُ لِاستتارِه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الإمامِ، و أنّ مِن صفتِه أن يَكونَ معصوماً لا يَجوزُ أن يَقَعَ منه الفعلُ القَبيحُ؛ و إذا كانَ كذلكَ، و قد بيّنّا أنّ الإمامَ يَجِبُ كَونُه موجودًا، و الآنَ ما بَقيَ إلّا ظهورُه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عِصمتُه ثُمّ استَتَرَ و لَم يَظهَرْ، وَجَبَ أن يَكونَ ذلكَ لعُذرٍ؛ لأنّ القَبيحَ لا يَجوزُ وقوعُه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يَجِبُ علينا بيانُ ذلك العُذرِ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مِثلُ 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لمُخالِفينا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المُلحِدةُ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في رَميِ الحِجارةِ و الهَروَلةِ و استلامِ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يَسألونَ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قد ثَبَتَت حِكمتُه بالدليلِ الباهرِ القاهرِ؛ و مع حِكمتِه إذا أُمِرنا بمِثلِ هذه الأشياءِ، عَلِمنا أنّ الحِكمةَ أَوجَبَت ذلكَ الأمرَ؟</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الأمرُ؟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علينا بيانُه؛ مِن حَيثُ عَلِمنا أنّ القَبيحَ لا يَحصُلُ منه تَعالى</w:t>
      </w:r>
      <w:r>
        <w:rPr>
          <w:rFonts w:eastAsia="Amiri" w:cs="Amiri" w:ascii="Amiri" w:hAnsi="Amiri"/>
          <w:color w:val="111111"/>
          <w:sz w:val="28"/>
          <w:szCs w:val="28"/>
          <w:rtl w:val="true"/>
          <w:lang w:bidi="ar-SA"/>
        </w:rPr>
        <w:t xml:space="preserve">. </w:t>
      </w:r>
      <w:bookmarkStart w:id="427" w:name="pg7486_97564"/>
    </w:p>
    <w:p>
      <w:pPr>
        <w:pStyle w:val="BookText"/>
        <w:rPr/>
      </w:pPr>
      <w:bookmarkEnd w:id="427"/>
      <w:r>
        <w:rPr>
          <w:rFonts w:ascii="Amiri" w:hAnsi="Amiri" w:eastAsia="Amiri" w:cs="Amiri"/>
          <w:color w:val="111111"/>
          <w:sz w:val="28"/>
          <w:sz w:val="28"/>
          <w:szCs w:val="28"/>
          <w:rtl w:val="true"/>
          <w:lang w:bidi="ar-SA"/>
        </w:rPr>
        <w:t>و الطريقانِ واحدٌ على ما تَرى؛ و هذا هو سَدُّ البابِ على مُخالِفينا، و قَطعُ التطويلاتِ عنهم و الإسهاباتِ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يَنبَغي أن يُستَعمَلَ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الإمامِ إذا كانَ لُطفاً للمُكلَّفينَ في فعلِ الواجباتِ و تَجنُّبِ المُقبَّحاتِ، فإنّ استتارَه و غَيبتَه يَنقُضانِ هذا البِناءَ، و يُبطِلانِ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يَقَعَ هذا اللطفُ مع غَيبتِه في هذا البابِ أقوى؛ لأنّ المُكلَّفَ إذا لِم يَعلَمْ مكانَه، و لَم يَقِفْ على مَوضِعِه، و يُجوِّزُ فيمن لا يَعرِفُه أنّه الإمامُ، يَكونُ إلى أن لا يَفعَلَ القَبيحَ و لا يُقصِّرَ في فعلِ الواجبِ أقرَبَ منه لَو عَرَفَه و لَم يُجوِّزْ فيه كَونَه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ظاهرٌ لَيسَ لأحَدٍ مِن أصحابِنا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صِفاتِ الإمامِ من أكبَرِ الأُصولِ في الإمامةِ؛ إن ثَبَتَت يَكفي كَثيرًا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أن يَكونَ الاشتغالُ بتصحيحِها أكثَرَ</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226190_1051229030"/>
      <w:bookmarkStart w:id="429" w:name="_Toc155"/>
      <w:bookmarkEnd w:id="428"/>
      <w:r>
        <w:rPr>
          <w:rtl w:val="true"/>
        </w:rPr>
        <w:t xml:space="preserve">فَصلٌ </w:t>
      </w:r>
      <w:r>
        <w:rPr>
          <w:rtl w:val="true"/>
        </w:rPr>
        <w:t>(</w:t>
      </w:r>
      <w:r>
        <w:rPr>
          <w:rtl w:val="true"/>
        </w:rPr>
        <w:t>في الإمامة بَعدَ قائمنا عليه السلام</w:t>
      </w:r>
      <w:r>
        <w:rPr>
          <w:rtl w:val="true"/>
        </w:rPr>
        <w:t>)</w:t>
      </w:r>
      <w:bookmarkEnd w:id="429"/>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الحالِ بَعدَ إمامِ الزمانِ عليه السلامُ في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المَذهبِ المعلومِ أنّ كُلَّ زمانٍ لا يَجوزُ أن يَخلوَ مِن إمامٍ يَقومُ بإصلاحِ الدينِ و مَصالحِ المُسلِمينَ، و لَم يَكُن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الصحيحِ أنّ خروجَ القائمِ يُطابِقُ زوالَ التكليفِ، فلا يَخلو الزمانُ بَعدَه عليه السلامُ مِن أن يَكونَ فيه إمامٌ مُفتَرَضُ الطاعةِ، أو لَيسَ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بوجود إمامٍ بَعدَه، خَرَجنا مِن القولِ بالاِثنَي عَشرَيّةِ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نَقُلْ بوجودِ إمامٍ بَعدَه، أبطَلنا الأصلَ الذي هو عِمادُ المَذهبِ؛ و هو قُبحُ خُلوِّ الزمانِ مِن 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نَقطَعُ على مُصادَفةِ خروجِ صاحبِ الزمانِ مُحمّدِ بنِ الحَسَنِ عليهما السلامُ زوالَ التكليفِ؛ بَل يَجوزُ أن يَبقَى العالَمُ بَعدَه زماناً كَثيرًا، و لا يَجوزُ خُلوُّ الزمانِ بَعدَه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بَعدَه عِدّةُ أئمّةٍ يَقومونَ بحِفظِ الدينِ و مَصالحِ أهلِه، و لَيسَ يَضُرُّنا ذلكَ فيما سَلَكناه من طُرُقِ الإمامةِ؛ لأنّ الذي كُلِّفنا إيّاه و تُعُبِّدنا منه أن نَعلَمَ إمامةَ هؤلاءِ الاِثنَي عَشَرَ، و نُبيِّنَه بياناً شافياً؛ إذ هو مَوضِعُ الخِلافِ و الحاجةِ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يُخرِجُنا هذا القولُ عن التسَمّي بالاِثنَي عَشَريّةِ؛ لأنّ هذا الاِسمَ عندَنا يُطلَقُ على مَن يُثبِتُ إمامةَ 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أثبَتنا نَحنُ؛ و لا مُوافِقَ لنا في هذا المَذهبِ، فانفَرَدنا نَحنُ بهذا الاِسمِ دونَ غيرِنا</w:t>
      </w:r>
      <w:r>
        <w:rPr>
          <w:rFonts w:eastAsia="Amiri" w:cs="Amiri" w:ascii="Amiri" w:hAnsi="Amiri"/>
          <w:color w:val="111111"/>
          <w:sz w:val="28"/>
          <w:szCs w:val="28"/>
          <w:rtl w:val="true"/>
          <w:lang w:bidi="ar-SA"/>
        </w:rPr>
        <w:t>.</w:t>
      </w:r>
      <w:r>
        <w:rPr>
          <w:rStyle w:val="FootnoteAnchor"/>
        </w:rPr>
        <w:footnoteReference w:id="74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7486_97573"/>
      <w:bookmarkStart w:id="431" w:name="pg7486_97573"/>
      <w:bookmarkEnd w:id="431"/>
    </w:p>
    <w:p>
      <w:pPr>
        <w:pStyle w:val="Heading3"/>
        <w:numPr>
          <w:ilvl w:val="2"/>
          <w:numId w:val="1"/>
        </w:numPr>
        <w:rPr/>
      </w:pPr>
      <w:bookmarkStart w:id="432" w:name="pg7486_97573"/>
      <w:bookmarkStart w:id="433" w:name="__RefHeading___Toc2226192_1051229030"/>
      <w:bookmarkStart w:id="434" w:name="_Toc156"/>
      <w:bookmarkEnd w:id="432"/>
      <w:bookmarkEnd w:id="433"/>
      <w:r>
        <w:rPr/>
        <w:t>11</w:t>
      </w:r>
      <w:r>
        <w:rPr>
          <w:rtl w:val="true"/>
        </w:rPr>
        <w:t xml:space="preserve"> - </w:t>
      </w:r>
      <w:r>
        <w:rPr>
          <w:rtl w:val="true"/>
        </w:rPr>
        <w:t xml:space="preserve">ما ذكره في رسالة </w:t>
      </w:r>
      <w:r>
        <w:rPr>
          <w:rtl w:val="true"/>
        </w:rPr>
        <w:t>«</w:t>
      </w:r>
      <w:r>
        <w:rPr>
          <w:rtl w:val="true"/>
        </w:rPr>
        <w:t>جوابات المسائل الرازية</w:t>
      </w:r>
      <w:r>
        <w:rPr>
          <w:rtl w:val="true"/>
        </w:rPr>
        <w:t>»</w:t>
      </w:r>
      <w:bookmarkEnd w:id="434"/>
    </w:p>
    <w:p>
      <w:pPr>
        <w:pStyle w:val="Heading4"/>
        <w:numPr>
          <w:ilvl w:val="3"/>
          <w:numId w:val="1"/>
        </w:numPr>
        <w:rPr/>
      </w:pPr>
      <w:bookmarkStart w:id="435" w:name="__RefHeading___Toc2226194_1051229030"/>
      <w:bookmarkStart w:id="436" w:name="_Toc157"/>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قد ذكر الشريف المرتضى في هذه الرسالة كلاماً في الرجعة</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226196_1051229030"/>
      <w:bookmarkStart w:id="438" w:name="_Toc158"/>
      <w:bookmarkEnd w:id="437"/>
      <w:r>
        <w:rPr>
          <w:rtl w:val="true"/>
        </w:rPr>
        <w:t>المسألةُ الثامنةُ‌</w:t>
      </w:r>
      <w:bookmarkEnd w:id="438"/>
    </w:p>
    <w:p>
      <w:pPr>
        <w:pStyle w:val="Heading5"/>
        <w:numPr>
          <w:ilvl w:val="4"/>
          <w:numId w:val="1"/>
        </w:numPr>
        <w:rPr/>
      </w:pPr>
      <w:bookmarkStart w:id="439" w:name="__RefHeading___Toc2226198_1051229030"/>
      <w:bookmarkStart w:id="440" w:name="_Toc159"/>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ما حقيقةُ الرجعة؟ لأنّ شُذّاذَ الإماميّةِ يَذهَبونَ إلى أنّ الرجعةَ رجوعُ دَولِتهم في أيّامِ القائمِ عليه السلامُ، مِن دونِ رجوعِ أجسامِهم</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226200_1051229030"/>
      <w:bookmarkStart w:id="442" w:name="_Toc160"/>
      <w:bookmarkEnd w:id="441"/>
      <w:r>
        <w:rPr>
          <w:rtl w:val="true"/>
        </w:rPr>
        <w:t>الجوابُ</w:t>
      </w:r>
      <w:r>
        <w:rPr>
          <w:rtl w:val="true"/>
        </w:rPr>
        <w:t>:</w:t>
      </w:r>
      <w:bookmarkEnd w:id="442"/>
    </w:p>
    <w:p>
      <w:pPr>
        <w:pStyle w:val="BookText"/>
        <w:rPr/>
      </w:pPr>
      <w:r>
        <w:rPr>
          <w:rFonts w:ascii="Amiri" w:hAnsi="Amiri" w:eastAsia="Amiri" w:cs="Amiri"/>
          <w:color w:val="111111"/>
          <w:sz w:val="28"/>
          <w:sz w:val="28"/>
          <w:szCs w:val="28"/>
          <w:rtl w:val="true"/>
          <w:lang w:bidi="ar-SA"/>
        </w:rPr>
        <w:t>اعلَمْ أنّ الذي تَذهَبُ الشيعةُ الإماميّةُ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يُعيدُ عندَ ظهورِ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ممّن كانَ قد تَقدَّمَ مَوتُه من شيعتِه؛ ليَفوزوا بثَوابِ نُصرتِه و مَعونتِه و مُشاهَدةِ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يُعيدُ أيضاً قوماً من أعدائه؛ ليَنتَقِمَ منهم، فيَهتَزّوا بما يُشاهِدونَ مِن ظهورِ الحقِّ و عُلوِّ كلمةِ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على صحّةِ هذا المَذهبِ أنّ الذي ذَهَبوا إليه ممّا لا شُبهةَ على عاقلٍ في أنّه مقدورٌ للّهِ تَعالى غيرُ مُستَحيلٍ في نفسِه؛ فإنّا نَرى كَثيراً مِن مُخالِفينا يُنكِرونَ الرجعةَ إنكارَ مَن يَراها مُستَحيلةً غيرَ مقدورةٍ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جوازُ الرجعةِ و دخولُها تَحتَ المقدورِ، فالطريقُ إلى إثباتِها إجماعُ الإماميّةِ على وقوعِها؛ فإنّهم لا 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إجماعُهم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حُجّةٌ؛ لدخولِ قولِ الإمامِ عليه السلامُ فيه، و ما يَشتَمِلُ على قولِ </w:t>
      </w:r>
    </w:p>
    <w:p>
      <w:pPr>
        <w:pStyle w:val="BookText"/>
        <w:rPr/>
      </w:pPr>
      <w:r>
        <w:rPr>
          <w:rFonts w:ascii="Amiri" w:hAnsi="Amiri" w:eastAsia="Amiri" w:cs="Amiri"/>
          <w:color w:val="111111"/>
          <w:sz w:val="28"/>
          <w:sz w:val="28"/>
          <w:szCs w:val="28"/>
          <w:rtl w:val="true"/>
          <w:lang w:bidi="ar-SA"/>
        </w:rPr>
        <w:t>المعصومِ مِن الأقوالِ لا بُدَّ فيه مِن كَونِه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الرجعةَ لا تُنافي التكليفَ، و أنّ الدواعيَ مُتردِّدةٌ معها؛ حَتّى لا يَظُنُّ ظانٌّ أنّ تكليفَ مَن يُعادُ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 التكليفَ كما يَصِحُّ مع ظهورِ المُعجِزاتِ الباهرةِ و الآياتِ القاهرةِ، فكذلكَ مع الرجعةِ؛ لأنّه لَيسَ في جميع ذلكَ مُلجئٌ إلى فِعلِ الواجبِ و الامتناعِ مِن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تأوَّلَ الرجعةَ مِن أصحابِنا على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الدولةِ و الأمرِ و النهيِ، مِن دونِ رجوعِ الأشخاصِ و إحياءِ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قوماً مِن الشيعةِ لمّا عَجَزوا عن نُصرةِ الرجعةِ و بيانِ جوازِها 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التكليفَ، عوَّلوا على هذا التأويلِ للأخبارِ الواردةِ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منهم غيرُ صَحيح؛ لأن الرجعةَ لَم تَثبُتْ بظواهرِ الأخبارِ المنقولةِ، فتَتطرَّقَ التأويلاتُ عليها؛ فكَيفَ يَثبُتُ ما هو مقطوعٌ على صحّتِه بأخبارِ آحاد لا توجِبُ العِلمَ؟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المُعوَّلُ في إثباتِ الرجعةِ على إجماعِ الإماميّةِ على معناها، فإنّ اللّهَ تَعالى يُحيي أمواتاً عندَ قيامِ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أوليائه و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فكَيفَ تَطرُّقُ التأويلِ على ما هو معلومٌ، فالمعنى غيرُ مُحتَمِلٍ</w:t>
      </w:r>
      <w:r>
        <w:rPr>
          <w:rFonts w:eastAsia="Amiri" w:cs="Amiri" w:ascii="Amiri" w:hAnsi="Amiri"/>
          <w:color w:val="111111"/>
          <w:sz w:val="28"/>
          <w:szCs w:val="28"/>
          <w:rtl w:val="true"/>
          <w:lang w:bidi="ar-SA"/>
        </w:rPr>
        <w:t>.</w:t>
      </w:r>
      <w:r>
        <w:rPr>
          <w:rStyle w:val="FootnoteAnchor"/>
        </w:rPr>
        <w:footnoteReference w:id="74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43" w:name="pg7486_97579"/>
    </w:p>
    <w:p>
      <w:pPr>
        <w:pStyle w:val="Heading3"/>
        <w:numPr>
          <w:ilvl w:val="2"/>
          <w:numId w:val="1"/>
        </w:numPr>
        <w:rPr/>
      </w:pPr>
      <w:bookmarkStart w:id="444" w:name="__RefHeading___Toc2226202_1051229030"/>
      <w:bookmarkStart w:id="445" w:name="_Toc161"/>
      <w:bookmarkEnd w:id="443"/>
      <w:bookmarkEnd w:id="444"/>
      <w:r>
        <w:rPr/>
        <w:t>12</w:t>
      </w:r>
      <w:r>
        <w:rPr>
          <w:rtl w:val="true"/>
        </w:rPr>
        <w:t xml:space="preserve"> - </w:t>
      </w:r>
      <w:r>
        <w:rPr>
          <w:rtl w:val="true"/>
        </w:rPr>
        <w:t xml:space="preserve">ما ذكره في رسالة </w:t>
      </w:r>
      <w:r>
        <w:rPr>
          <w:rtl w:val="true"/>
        </w:rPr>
        <w:t>«</w:t>
      </w:r>
      <w:r>
        <w:rPr>
          <w:rtl w:val="true"/>
        </w:rPr>
        <w:t>جواب المسائل الطرابلسيّات الثانية</w:t>
      </w:r>
      <w:r>
        <w:rPr>
          <w:rtl w:val="true"/>
        </w:rPr>
        <w:t>»</w:t>
      </w:r>
      <w:bookmarkEnd w:id="445"/>
    </w:p>
    <w:p>
      <w:pPr>
        <w:pStyle w:val="Heading4"/>
        <w:numPr>
          <w:ilvl w:val="3"/>
          <w:numId w:val="1"/>
        </w:numPr>
        <w:rPr/>
      </w:pPr>
      <w:bookmarkStart w:id="446" w:name="__RefHeading___Toc2226204_1051229030"/>
      <w:bookmarkStart w:id="447" w:name="_Toc162"/>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قد ذَكَرَ الشريف المرتضى في بداية المسائل الطرابلسيّات الثانية سؤالاتٍ يتعلّق بالإمام الثاني عشر عليه السلام و غيبتِه، فأجاب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48" w:name="__RefHeading___Toc2226206_1051229030"/>
      <w:bookmarkStart w:id="449" w:name="_Toc163"/>
      <w:bookmarkEnd w:id="448"/>
      <w:r>
        <w:rPr>
          <w:rtl w:val="true"/>
        </w:rPr>
        <w:t>المَسأَلَةُ الأُولى</w:t>
      </w:r>
      <w:r>
        <w:rPr>
          <w:rtl w:val="true"/>
        </w:rPr>
        <w:t>:</w:t>
      </w:r>
      <w:bookmarkEnd w:id="449"/>
    </w:p>
    <w:p>
      <w:pPr>
        <w:pStyle w:val="Heading5"/>
        <w:numPr>
          <w:ilvl w:val="4"/>
          <w:numId w:val="1"/>
        </w:numPr>
        <w:rPr/>
      </w:pPr>
      <w:bookmarkStart w:id="450" w:name="__RefHeading___Toc2226208_1051229030"/>
      <w:bookmarkStart w:id="451" w:name="_Toc164"/>
      <w:bookmarkEnd w:id="450"/>
      <w:r>
        <w:rPr>
          <w:rtl w:val="true"/>
        </w:rPr>
        <w:t>اشارة</w:t>
      </w:r>
      <w:bookmarkEnd w:id="45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ذِكرَه وَ رَفَعَ في الدّارَينِ كِلتَيهِمَا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قَدَّمَه أمَامَ جَوابِ المَسأَلَةِ الأُولى مِنَ الأدِلَّةِ التي لا يَدخُلُهَا احتِمالٌ وَ لا مَجازٌ، وُجُوبَ جِنسِ الإمَامَةِ مِن الرِّئاسَةِ في كُلِّ زَمَانٍ؛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يَدُلُّ على ذلك</w:t>
      </w:r>
      <w:r>
        <w:rPr>
          <w:rStyle w:val="FootnoteAnchor"/>
          <w:rtl w:val="true"/>
        </w:rPr>
        <w:footnoteReference w:id="749"/>
      </w:r>
      <w:r>
        <w:rPr>
          <w:rFonts w:ascii="Amiri" w:hAnsi="Amiri" w:eastAsia="Amiri" w:cs="Amiri"/>
          <w:color w:val="111111"/>
          <w:sz w:val="28"/>
          <w:sz w:val="28"/>
          <w:szCs w:val="28"/>
          <w:rtl w:val="true"/>
          <w:lang w:bidi="ar-SA"/>
        </w:rPr>
        <w:t xml:space="preserve">، أنّا نَعلَمُ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بِاختِبارِ العَاداتِ أنَّ النَّاسَ مَتى خَلَوا مِن رَئيسٍ مُهَذَّبٍ‌</w:t>
      </w:r>
      <w:r>
        <w:rPr>
          <w:rStyle w:val="FootnoteAnchor"/>
          <w:rtl w:val="true"/>
        </w:rPr>
        <w:footnoteReference w:id="751"/>
      </w:r>
      <w:r>
        <w:rPr>
          <w:rFonts w:ascii="Amiri" w:hAnsi="Amiri" w:eastAsia="Amiri" w:cs="Amiri"/>
          <w:color w:val="111111"/>
          <w:sz w:val="28"/>
          <w:sz w:val="28"/>
          <w:szCs w:val="28"/>
          <w:rtl w:val="true"/>
          <w:lang w:bidi="ar-SA"/>
        </w:rPr>
        <w:t>، نافِذِ الأمرِ، باسِطِ اليَدِ، يُقَوِّمُ‌</w:t>
      </w:r>
      <w:r>
        <w:rPr>
          <w:rStyle w:val="FootnoteAnchor"/>
          <w:rtl w:val="true"/>
        </w:rPr>
        <w:footnoteReference w:id="752"/>
      </w:r>
      <w:r>
        <w:rPr>
          <w:rFonts w:ascii="Amiri" w:hAnsi="Amiri" w:eastAsia="Amiri" w:cs="Amiri"/>
          <w:color w:val="111111"/>
          <w:sz w:val="28"/>
          <w:sz w:val="28"/>
          <w:szCs w:val="28"/>
          <w:rtl w:val="true"/>
          <w:lang w:bidi="ar-SA"/>
        </w:rPr>
        <w:t xml:space="preserve">الجانيَ، وَ يُؤدِّبُ المُذنِبَ، فَشَا بَينَهُم التَّظالُمُ </w:t>
      </w:r>
    </w:p>
    <w:p>
      <w:pPr>
        <w:pStyle w:val="BookText"/>
        <w:rPr/>
      </w:pPr>
      <w:r>
        <w:rPr>
          <w:rFonts w:ascii="Amiri" w:hAnsi="Amiri" w:eastAsia="Amiri" w:cs="Amiri"/>
          <w:color w:val="111111"/>
          <w:sz w:val="28"/>
          <w:sz w:val="28"/>
          <w:szCs w:val="28"/>
          <w:rtl w:val="true"/>
          <w:lang w:bidi="ar-SA"/>
        </w:rPr>
        <w:t>وَ التَّغاشُمُ‌</w:t>
      </w:r>
      <w:r>
        <w:rPr>
          <w:rStyle w:val="FootnoteAnchor"/>
          <w:rtl w:val="true"/>
        </w:rPr>
        <w:footnoteReference w:id="753"/>
      </w:r>
      <w:r>
        <w:rPr>
          <w:rFonts w:ascii="Amiri" w:hAnsi="Amiri" w:eastAsia="Amiri" w:cs="Amiri"/>
          <w:color w:val="111111"/>
          <w:sz w:val="28"/>
          <w:sz w:val="28"/>
          <w:szCs w:val="28"/>
          <w:rtl w:val="true"/>
          <w:lang w:bidi="ar-SA"/>
        </w:rPr>
        <w:t>و الأفعالُ القَبيحَةُ؛ وَ أنَّه مَتى رَعاهُم مَن هذهِ صِفَتُه، كانُوا إلَى الاِرتداعِ وَ الاِنزِجارِ وَ لُزومِ المَحَجَّةِ المُثلى‌</w:t>
      </w:r>
      <w:r>
        <w:rPr>
          <w:rStyle w:val="FootnoteAnchor"/>
          <w:rtl w:val="true"/>
        </w:rPr>
        <w:footnoteReference w:id="754"/>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كَلَّفَهم وَ أرادَ منهُم فِعلَ الواجِبِ وَ كَرِهَ فِعلَ القَبيحِ لا بُدَّ أنْ يَلطُفَ لهُم بِما هو مُقَرِّبٌ مِن مُرادِه، مُبَعِّدٌ مِن مَسخُوطِه</w:t>
      </w:r>
      <w:r>
        <w:rPr>
          <w:rStyle w:val="FootnoteAnchor"/>
          <w:rtl w:val="true"/>
        </w:rPr>
        <w:footnoteReference w:id="755"/>
      </w:r>
      <w:r>
        <w:rPr>
          <w:rFonts w:ascii="Amiri" w:hAnsi="Amiri" w:eastAsia="Amiri" w:cs="Amiri"/>
          <w:color w:val="111111"/>
          <w:sz w:val="28"/>
          <w:sz w:val="28"/>
          <w:szCs w:val="28"/>
          <w:rtl w:val="true"/>
          <w:lang w:bidi="ar-SA"/>
        </w:rPr>
        <w:t>، فيَجِبُ ألّا يُخليهُم مِن إمامٍ في كُلِّ زَمانٍ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عِلّةٍ لكُم في هذا وَ نحوِه، يقتَضي إعزَازَه و كَفَّ أيدِي الظَّلَمَةِ عنهُ ليظهَرَ و يصِحَّ الاِنتِفَاعُ بهِ مِن سَائِرِ وجُوهِ الاِنتِفاعِ التي ذَكَرتُمُوها؛ وَ إلّافَإنْ أجَزْتُم أنْ يتَأَخَّرَ ظُهُورُه وَ إصراخُه المَظلُومَ وَ مَعونَتُه الضَّعيفَ وَ إرشادُه الضُّلّالَ وَ تَعلِيمُه الجُهّالَ، وَ تَكونَ حُجَّةُ اللّهِ ثابِتةً، وَ له في تِلكَ الحَادِثةِ حُكمٌ مَعَ غَيبتِه خِلافَ الحُكمِ مَعَ ظُهُورِه، فَأَلّا أجَزتُمْ أنْ يَتَأَخَّرَ الحُكمُ فيهَا إلى يَومِ القيامَةِ لِيتوَلَّى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وَ نَحنُ نَعلَمُ أنَّ هذهِ الأحكامَ لا تُتَلافى وَ لا تَحتَمِلُ الاِنتِظارَ؛ لأنَّه يَموتُ الظالِمُ وَ المَظلُومُ، وَ يَبطُلُ الحَقُّ المَطلُوبُ، وَ يَنقَرِضُ النَّاسُ وَ لَم يَزُلْ‌</w:t>
      </w:r>
      <w:r>
        <w:rPr>
          <w:rStyle w:val="FootnoteAnchor"/>
          <w:rtl w:val="true"/>
        </w:rPr>
        <w:footnoteReference w:id="756"/>
      </w:r>
      <w:r>
        <w:rPr>
          <w:rFonts w:ascii="Amiri" w:hAnsi="Amiri" w:eastAsia="Amiri" w:cs="Amiri"/>
          <w:color w:val="111111"/>
          <w:sz w:val="28"/>
          <w:sz w:val="28"/>
          <w:szCs w:val="28"/>
          <w:rtl w:val="true"/>
          <w:lang w:bidi="ar-SA"/>
        </w:rPr>
        <w:t>اختِلافُهم و لا انتَصَفُوا مِمَّن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أدّاكُم اعتِلالُكم إلى إيجابِ ظُهُورِه بِإعزَازِه وَ الشَّدِّ</w:t>
      </w:r>
      <w:r>
        <w:rPr>
          <w:rStyle w:val="FootnoteAnchor"/>
          <w:rtl w:val="true"/>
        </w:rPr>
        <w:footnoteReference w:id="757"/>
      </w:r>
      <w:r>
        <w:rPr>
          <w:rFonts w:ascii="Amiri" w:hAnsi="Amiri" w:eastAsia="Amiri" w:cs="Amiri"/>
          <w:color w:val="111111"/>
          <w:sz w:val="28"/>
          <w:sz w:val="28"/>
          <w:szCs w:val="28"/>
          <w:rtl w:val="true"/>
          <w:lang w:bidi="ar-SA"/>
        </w:rPr>
        <w:t>مِنهُ وَ كَفِّ أيدِي الظَّلَمَةِ عَنه، أو</w:t>
      </w:r>
      <w:r>
        <w:rPr>
          <w:rFonts w:eastAsia="Amiri" w:cs="Amiri" w:ascii="Amiri" w:hAnsi="Amiri"/>
          <w:color w:val="111111"/>
          <w:sz w:val="28"/>
          <w:szCs w:val="28"/>
          <w:rtl w:val="true"/>
          <w:lang w:bidi="ar-SA"/>
        </w:rPr>
        <w:t xml:space="preserve">). </w:t>
      </w:r>
      <w:bookmarkStart w:id="452" w:name="pg7486_97586"/>
    </w:p>
    <w:p>
      <w:pPr>
        <w:pStyle w:val="BookText"/>
        <w:rPr/>
      </w:pPr>
      <w:bookmarkEnd w:id="452"/>
      <w:r>
        <w:rPr>
          <w:rFonts w:ascii="Amiri" w:hAnsi="Amiri" w:eastAsia="Amiri" w:cs="Amiri"/>
          <w:color w:val="111111"/>
          <w:sz w:val="28"/>
          <w:sz w:val="28"/>
          <w:szCs w:val="28"/>
          <w:rtl w:val="true"/>
          <w:lang w:bidi="ar-SA"/>
        </w:rPr>
        <w:t xml:space="preserve">تَجويزِ الاِستِغنَاءِ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2226210_1051229030"/>
      <w:bookmarkStart w:id="454" w:name="_Toc165"/>
      <w:bookmarkEnd w:id="453"/>
      <w:r>
        <w:rPr>
          <w:rtl w:val="true"/>
        </w:rPr>
        <w:t xml:space="preserve">الجَوابُ </w:t>
      </w:r>
      <w:r>
        <w:rPr>
          <w:rtl w:val="true"/>
        </w:rPr>
        <w:t xml:space="preserve">- </w:t>
      </w:r>
      <w:r>
        <w:rPr>
          <w:rtl w:val="true"/>
        </w:rPr>
        <w:t xml:space="preserve">وَ بِاللهِ التَّوفيقُ </w:t>
      </w:r>
      <w:r>
        <w:rPr>
          <w:rtl w:val="true"/>
        </w:rPr>
        <w:t>-:</w:t>
      </w:r>
      <w:bookmarkEnd w:id="454"/>
    </w:p>
    <w:p>
      <w:pPr>
        <w:pStyle w:val="BookText"/>
        <w:rPr/>
      </w:pPr>
      <w:r>
        <w:rPr>
          <w:rFonts w:ascii="Amiri" w:hAnsi="Amiri" w:eastAsia="Amiri" w:cs="Amiri"/>
          <w:color w:val="111111"/>
          <w:sz w:val="28"/>
          <w:sz w:val="28"/>
          <w:szCs w:val="28"/>
          <w:rtl w:val="true"/>
          <w:lang w:bidi="ar-SA"/>
        </w:rPr>
        <w:t xml:space="preserve">اعلمْ أنَّ كُلَّ مَسألَةٍ تَتَعَلَّقُ بالغَيبَةِ مِن هذهِ المَسائلِ، فجَوابُها مَوجودٌ في كتابِنا المُقنِع في الغَيبةِ وَ في الكتابِ الشافي الذي هو نَقضُ كتابِ الإمَامَةِ مِن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تأمَّلَ ذلكَ وَجَدَه إمّا في صَريحِهما أو فَحواهما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إلزامُنا عَلى عِلَّتِنا في الحاجَةِ إليه، وجوبَ إعزَازِه وَ كَفِّ أيدي الظَّلَمَةِ عنه ليَظهَرَ وَ يَقَعَ الاِنتفاعُ بهِ؛ فَالإعزَازُ وَ كَفُّ أيدِي الظَّلَمةِ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يُنافي التكليفَ وَ يكونُ التكليفُ معَه ثابِتاً؛ وَ الضَّربُ الآخَرُ يُنافي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فَالضَّربُ الأوَّلُ، قَد فَعَلَ اللّهُ منه كُلَّ ما يحتاجُ إليهِ؛ لأنَّ الإعزَازَ الذي لا مُنافاةَ بَينهُ وَ بَينَ التَّكليفِ إنَّما يَكونُ بإقامَةِ الحُجَجِ وَ البَراهينِ وَ الأمرِ وَ النَّهيِ وَ الوَعظِ وَ الزَّجرِ وَ الألطافِ المُقَوِّيَةِ لِدَواعِي الطَّاعةِ الصَّارِفَةِ عَنِ المَعصيةِ، وَ قَد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أجمَعَ عَلى وَجهٍ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المُنافي للتكليفِ، كالقَهرِ وَ القَسرِ وَ الإكراهِ وَ الإلجَاءِ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فَالثَّوابُ الذي الغَرَضُ بِالتَّكليفِ هو التَّعريضُ لَه، يَسقُطُ معَ ذلكَ؛ فكَيفَ يُفعَلُ لأجلِ التكليفِ مَا يُسقِطُ الغَرَضَ به وَ يَنقُضُه؟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مَضى في خِلال السُّؤالِ مِنَ الحِكايَةِ عَنّا القولَ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الحَوَادِثِ ما الحُكمُ فيه عَن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الحُكمَ معَ ظُهورِه</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باطِلٌ، لا نَذهبُ إليه، وَ لا قالَ مِنّا بِه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اللّهِ في الحَوَادثِ الشَّرعيَّةِ معَ غَيبةِ الإمامِ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واحِدٌ غَيرُ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جَازَ أنْ يَكونَ الحَقُّ في بَعضِ المَسائلِ أو الحَوادِثِ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حَالِ الغَيبةِ في ذلكَ الأمرِ عَلى باطِلٍ، وَ لَو زَالَتِ التَّقيّةُ عَنه لَبَيَّنَ الحَقَّ وَ أوضَحَه؟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في الغَيبَةِ وَ الشّافي وَ الذَّخيرةِ وَ كُلِّ كَلامٍ أملَينَاهُ فيمَا يَتَعَلَّقُ بِالغَيبةِ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في بَعضِ الأُمُورِ لَو خَفِيَ عَلينَا وَ كانَتْ مَعرِفَتُه عِندَ الإمامِ الغائِبِ، لَوَجَبَ أنْ يَظهَرَ وَ يُوضِحَ ذلكَ الحَقَّ، وَ لا تَسَعُهُ التَّقيّةُ 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لَمْ يَجِبْ، لَكُنّا مُكَلَّفينَ مَا لا طَريقَ لَنا إلى عِلمِه؛ وَ ذلكَ لاحِقٌ بِتكليفِ مَا لا يُطاقُ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جَرَينا في الجَوابِ بِذلكَ عَلى طَريقَةِ أصحَابِنَا؛ فَإنَّهم عَوَّلُوا في الجَوابِ عَن هذا السؤالِ عَلى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الآنَ في نَفسي وَ يَتَّضِحُ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مُمتَنعٍ أنْ يَكونَ عندَ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كانَ أو حاضِراً، مِنَ الحَقِّ في بَعضِ الأحكامِ الشَّرعيَّةِ مَا لَيسَ عندَنا، لا سِيَّمَا مَعَ قَولِنا بِأنَّهُ يَجُوزُ أنْ يكتُمَ الأُمَّةَ كُلَّها شَيئاً مِنَ الدِّينِ حَتّى لا يَرَونَه مِنَ الحُجَّةِ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تَكليفُنَا مَعرِفَةَ ذلِكَ الحَقِّ تَكليفاً لِمَا لا يُطاقُ؛ لأنَّا نُطيقُ مَعرِفةَ ذلِكَ الحَقِّ الذي استَبَدَّ</w:t>
      </w:r>
      <w:r>
        <w:rPr>
          <w:rStyle w:val="FootnoteAnchor"/>
          <w:rtl w:val="true"/>
        </w:rPr>
        <w:footnoteReference w:id="760"/>
      </w:r>
      <w:r>
        <w:rPr>
          <w:rFonts w:ascii="Amiri" w:hAnsi="Amiri" w:eastAsia="Amiri" w:cs="Amiri"/>
          <w:color w:val="111111"/>
          <w:sz w:val="28"/>
          <w:sz w:val="28"/>
          <w:szCs w:val="28"/>
          <w:rtl w:val="true"/>
          <w:lang w:bidi="ar-SA"/>
        </w:rPr>
        <w:t xml:space="preserve">بِمَعرِفتِه الإمامُ؛ مِن حَيثُ قَدَرنَا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غائِباً لِخَوفِه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إزَالَةِ خَوفِه؛ فَإنَّه كَانَ حينئذٍ يَظهَرُ وَ يُبَيِّنُ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مُتَمَكِّنينَ مِن ذلكَ، فَهوَ تَمَكُّنٌ مِن مَعرِفةِ الحَقِّ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 الخَلقَ طَاعَةَ الإمَامِ وَ الاِنقيادَ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الاِنتِفَاعَ بِه، وَ ذلِكَ كُلُّه مُنتَفٍ في حَالِ الغَيبَةِ فَالتَّكليفُ لَه مَعَ ذلِكَ ثَابِتٌ؛ لأنَّ التَّمَكُّنَ مِنه فينَا قَائِمٌ؛ مِن حَيثُ تَمَكَّنَّا مِن إزَالَةِ تَقيَّةِ الإمَامِ وَ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كُنتُم تُجَوِّزونَ أن يَكونَ الحَقُّ عِندَه في بَعضِ المَسائلِ و هو خَافٍ عَنّا، وَ لَم تُوجِبوا ما أوجَبَه أصحَابُكم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لَو جَرى، لَوَجَبَ ظُهُورُ الإمامِ عَلى كُلِّ حَالٍ وَ لَم تُبَح التَّقيَّةُ، أو سُقوطُ التكليفِ في ذلكَ الأمرِ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الأمانُ لَكم مِن أنَ يَكونَ الحَقُّ في أُمُورٍ كَثيرةٍ خَافياً عنكُم و مُستَبِدّاً بِمَعرِفَتِه الإمامُ، و يَكونَ التكليفُ عَلينَا فيه ثابِتاً لِلمَعنى الذي ذَكَرتُمُوه، وَ هو التَّمَكُّنُ مِن إزَالَةِ خَوفِ مُبيِّنِ هذا الحَقِّ لَنا؟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تَجويزِ ذلكَ إجماعُ طائِفَتِنا، و فيه الحُجَّةُ؛ بَل إجماعُ الأُمَّةِ عَلى أنَّ كُلَّ شَيءٍ كُلِّفنَاه مِن أحكامِ الشَّريعَةِ، عَلَيه دَليلٌ، و إليه طَريقٌ، نَقدِرُ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عَلى ما نَحنُ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إصَابَتِه، و نَتَمَكَّنُ مَعَ غَيبَةِ الإمامِ و ظُهُورِه مِن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هذا الإجمَاعُ لَكانَ مَا قُلتُموه مُجَوَّزاً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الإجماعُ الذي أَشَرنَا إليهِ لا شُبهَةَ فيه؛ لأنَّ أصحَابَنا الإِماميَّةَ لَمّا مَنَعوا مِن كَونِ حَقٍّ في حَادثةٍ كُلِّفنَا مَعرِفَةَ حُكمِها خَفِيَ عنَّا وَ هو عِندَ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عَلَّلوا ذلِكَ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التقديرَ مُزيلٌ لِتكليفِ العِلمِ بِحُكمِ تلكَ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اعتَرَفوا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عَلَّلوه بِعِلَّةٍ غَيرِ مَرضِيَّةٍ، فَالاتِّفاقُ مِنهم حَاصِلٌ عَلى الجُملَةِ التي ذَكَرناها، مِن أنَّ أحكامَ الحَوَادثِ و العِلمَ بالحَقِّ منها مُمكِنٌ معَ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مُمكِنٌ معَ ظُهُورِه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إلزامُنَا تَأخُّرَ حُكمِ بَعضِ الحَوَادِثِ بِاستِمرارِ تَقيَّةِ الإِمَامِ المُتوَلِّي لَها إلى يَومِ </w:t>
      </w:r>
      <w:bookmarkStart w:id="455" w:name="pg7486_97596"/>
    </w:p>
    <w:p>
      <w:pPr>
        <w:pStyle w:val="BookText"/>
        <w:rPr/>
      </w:pPr>
      <w:bookmarkEnd w:id="455"/>
      <w:r>
        <w:rPr>
          <w:rFonts w:ascii="Amiri" w:hAnsi="Amiri" w:eastAsia="Amiri" w:cs="Amiri"/>
          <w:color w:val="111111"/>
          <w:sz w:val="28"/>
          <w:sz w:val="28"/>
          <w:szCs w:val="28"/>
          <w:rtl w:val="true"/>
          <w:lang w:bidi="ar-SA"/>
        </w:rPr>
        <w:t>القيامَةِ، فَلا شُبهَةَ في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زَمَانِه كَقِصَرِه في أنَّ الحُجَّةَ فيهِ عَلى الظَّالمِ المانِعِ لِلإِمامِ مِنَ الظُّهُورِ لِاستيفاءِ ذلكَ الحَقِّ و إِزالَةِ تلكَ المَظلِمَةِ، و الإثمَ مُحيطٌ بِهِ؛ و لا حُجَّةَ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الإِمَامِ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مَوتُ الظَّالِمِ قَبلَ الانتِصافِ مِنه، و هَلاكُ مَن الحَدُّ في جَنبهِ قَبلَ إِقامَتِه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جَرى ذلكَ بِمَا عرضَ مِن مَنعِ الظَّالِمينَ مِن ظُهُورِ مَن يَقُومُ بِهذِهِ الحُقُوقِ، فهُم المُؤاخَذونَ بِإثمِ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يَنتَصِفُ لِلمَظلُومِ في الآخِرَةِ، و يَستَوفي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ذلكَ الحَدُّ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 كَمَا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لِمُخَالِفينَا في هذهِ المَسألَةِ مِن مِثلِ جَوابِنا إذَا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في هذهِ الحُقُوقِ و الحُدُودِ التي لا يَستَوفيهَا إلّاالإمَامُ إذا قَصَّرَ أهلُ الحَلِّ و العَقدِ في العَقدِ لإِمامٍ يَقُومُ بِها، أو أقَامُوا إِمَاماً فَلَم يُمكَّنْ مِنَ التصَرُّفِ و حِيلَ بينَه و بينَه أَوَ لَيسَ هذا يُوجِبُ عَلَيكُم فَوتَ هذهِ الحُقُوقِ و تَعَطُّلَ هذهِ الحُدُودِ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لَهُم مِن مِثلِ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إلزامُنَا إعزَازَ الإمَامِ و كَفَّ الأيدِي عَنهُ، فَقَد قُلنَا فيه مَا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نَعكِسُ هذا السُّؤالَ عَلَى المُخَالِفِ، فَنَقُولُ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عِلَّةٍ لَكُم في وُجُوبِ الإِمَامَةِ مِن طَريقِ السَّمعِ، فَإنّه لا بُدَّ مِنهَا و لا غِنىً عَنهَا، يُوجِبُ عَلَيكم إِعزَازَ الإِمامِ حَتّى لا يُضَامُ و لا يُمنَعُ مِنَ التَّصَرُّفِ و التَّدبيرِ، و كَفَّ الأيدي الظّالِمَةِ عَنه، و مَا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عِندَ مَنعِ الأئمَّةِ مِنَ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لَهُم مِن مِثلِ جَوابِنا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226212_1051229030"/>
      <w:bookmarkStart w:id="457" w:name="_Toc166"/>
      <w:bookmarkEnd w:id="456"/>
      <w:r>
        <w:rPr>
          <w:rtl w:val="true"/>
        </w:rPr>
        <w:t>المَسألَةُ الثَّانيةُ</w:t>
      </w:r>
      <w:r>
        <w:rPr>
          <w:rtl w:val="true"/>
        </w:rPr>
        <w:t>:</w:t>
      </w:r>
      <w:bookmarkEnd w:id="457"/>
    </w:p>
    <w:p>
      <w:pPr>
        <w:pStyle w:val="BookText"/>
        <w:rPr/>
      </w:pPr>
      <w:r>
        <w:rPr>
          <w:rFonts w:ascii="Amiri" w:hAnsi="Amiri" w:eastAsia="Amiri" w:cs="Amiri"/>
          <w:color w:val="111111"/>
          <w:sz w:val="28"/>
          <w:sz w:val="28"/>
          <w:szCs w:val="28"/>
          <w:rtl w:val="true"/>
          <w:lang w:bidi="ar-SA"/>
        </w:rPr>
        <w:t xml:space="preserve">وَ مَا جَوابُه أيضاً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 لِمَا تَقَدَّمَ منهُ في تَجويزِ الاستِغناءِ عَن الإِمَامِ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جَهِلَ الإِمَامَ و اشتَبَهَ عَلَيهِ مَوضِعُ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العَقلِ 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لَكُم مِنَ الاعتِرافِ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كَافٍ بِنَفسِه غَيرُ مُحتَاجٍ إلى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كُلِّ ضَالٍّ عَن حَقٍّ كائِناً مَا كانَ؟</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مُختَلِفٌ و الحُجَجُ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تَعلَمُونَ أنَّكُم مَتى قُلتُم أنَّكُم تَقدِروُنَ عَلى إجَابَةِ هذا السَّائِلِ المُستَرشِدِ عن النصِّ و عن الإِمامِ بِحُجَجٍ فيهِ و لا مُخَالِفَ فيها و بِنَقلٍ مُتَّفَقٍ عَلَيهِ لا تَنازُعَ فيه، تَجَاهَلتُم، و سُئلتُم في ذلكَ، فَلا تَجِدونَ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يَتَسَاوَى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ذلِكَ في كُلِّ مُختَلَفٍ فيه، و استَغنُوا عَن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هذا الاعتِراضَ دالٌّ عَلى أنَّ المُعتَرِضَ بِهِ لَم يُحصِّلْ عَنّا عِلَّةَ الحَاجَةِ العَقليَّةَ إلَى الإِمَامِ؛ و إنَّما يَحُوجُ‌</w:t>
      </w:r>
      <w:r>
        <w:rPr>
          <w:rStyle w:val="FootnoteAnchor"/>
          <w:rtl w:val="true"/>
        </w:rPr>
        <w:footnoteReference w:id="761"/>
      </w:r>
      <w:r>
        <w:rPr>
          <w:rFonts w:ascii="Amiri" w:hAnsi="Amiri" w:eastAsia="Amiri" w:cs="Amiri"/>
          <w:color w:val="111111"/>
          <w:sz w:val="28"/>
          <w:sz w:val="28"/>
          <w:szCs w:val="28"/>
          <w:rtl w:val="true"/>
          <w:lang w:bidi="ar-SA"/>
        </w:rPr>
        <w:t>النَّاسُ في كُلِّ زَمانٍ و عَلى كُلِّ وَجهٍ إلى رَئيسٍ، لِيَكونَ لُطفاً لَهُم في العُدُولِ عَنِ القَبَائحِ العَقليّةِ و القيامِ بِالواجِباتِ العَقليَّةِ، و أنَّهم معَ تَدبيرِه و تَصَرُّفِه يَكونونَ أقرَبَ إلى مَا ذَكَرنَاه؛ و لَم يُحوِجْهم إليهِ لِيَعلَمُوا مِن جِهَتِهِ الحَقَّ فيمَا عَلَيهِ دَليلٌ مَنصُوبٌ، إمّا عَقليٌّ أو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اشتَبَهَ عَلَيهِ حَقٌّ يَتَعَلَّقُ بِالإِمَامَةِ، فَالحُجَّةُ عَلَيهِ مَا نَصَبَهُ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الحَقِّ، مِن دَليلٍ يُوصِلُ إلَى العِلمِ بهِ، إمّا عَقليٌّ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نَقُولُ في كُلِّ حَقٍّ كَائِناً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عَلَيهِ دَليلاً، و إليهِ طَريقاً</w:t>
      </w:r>
      <w:r>
        <w:rPr>
          <w:rFonts w:eastAsia="Amiri" w:cs="Amiri" w:ascii="Amiri" w:hAnsi="Amiri"/>
          <w:color w:val="111111"/>
          <w:sz w:val="28"/>
          <w:szCs w:val="28"/>
          <w:rtl w:val="true"/>
          <w:lang w:bidi="ar-SA"/>
        </w:rPr>
        <w:t xml:space="preserve">».). </w:t>
      </w:r>
      <w:bookmarkStart w:id="458" w:name="pg7486_97603"/>
    </w:p>
    <w:p>
      <w:pPr>
        <w:pStyle w:val="BookText"/>
        <w:rPr/>
      </w:pPr>
      <w:bookmarkEnd w:id="458"/>
      <w:r>
        <w:rPr>
          <w:rFonts w:ascii="Amiri" w:hAnsi="Amiri" w:eastAsia="Amiri" w:cs="Amiri"/>
          <w:color w:val="111111"/>
          <w:sz w:val="28"/>
          <w:sz w:val="28"/>
          <w:szCs w:val="28"/>
          <w:rtl w:val="true"/>
          <w:lang w:bidi="ar-SA"/>
        </w:rPr>
        <w:t>وَ لَيسَ الحُجَجُ في ذلِكَ مُتَكافِئَةً كَمَا مَضى في الكَلامِ، كَمَا أنَّه لَيسَ في أدِلَّةِ العُقُولِ عَلى التوحيدِ و العَدلِ و النُّبُوّاتِ الحُجَجُ مُتَقابِلَةً مُتَكافِئَةً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في كُلِّ ذلِكَ مُدرَكٌ لِكُلِّ مَن طَلَبَه مِن وَجهِهِ و سَلَكَ إليهِ 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كِتابِنا الشافي</w:t>
      </w:r>
      <w:r>
        <w:rPr>
          <w:rStyle w:val="FootnoteAnchor"/>
          <w:rtl w:val="true"/>
        </w:rPr>
        <w:footnoteReference w:id="762"/>
      </w:r>
      <w:r>
        <w:rPr>
          <w:rFonts w:ascii="Amiri" w:hAnsi="Amiri" w:eastAsia="Amiri" w:cs="Amiri"/>
          <w:color w:val="111111"/>
          <w:sz w:val="28"/>
          <w:sz w:val="28"/>
          <w:szCs w:val="28"/>
          <w:rtl w:val="true"/>
          <w:lang w:bidi="ar-SA"/>
        </w:rPr>
        <w:t>أنَّ هذا القولَ لا يُوجِبُ الاستِغنَاءَ عَن الإِمَامِ في أحكامِ الشَّريعةِ؛ لأنَّ أحكامَ الشَّريعةِ المَنقُولةَ يَجُوزُ أنْ يُعرِضَ ناقِلُوهَا أو أكثَرُهم عن نَقلِها، إمَّا اعتِماداً</w:t>
      </w:r>
      <w:r>
        <w:rPr>
          <w:rStyle w:val="FootnoteAnchor"/>
          <w:rtl w:val="true"/>
        </w:rPr>
        <w:footnoteReference w:id="763"/>
      </w:r>
      <w:r>
        <w:rPr>
          <w:rFonts w:ascii="Amiri" w:hAnsi="Amiri" w:eastAsia="Amiri" w:cs="Amiri"/>
          <w:color w:val="111111"/>
          <w:sz w:val="28"/>
          <w:sz w:val="28"/>
          <w:szCs w:val="28"/>
          <w:rtl w:val="true"/>
          <w:lang w:bidi="ar-SA"/>
        </w:rPr>
        <w:t>أو شُبهَةً، فَتَكونُ الحُجَّةُ حِينَئِذٍ في بَيانِ الإِمامِ لِذلِكَ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النُّبُوَّةِ في أنّا نَستَفيدُ مِن الإِمَامِ مَا لا يُمكِنُ استِفَادَتُه إلّامِن جِهَتِه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226214_1051229030"/>
      <w:bookmarkStart w:id="460" w:name="_Toc167"/>
      <w:bookmarkEnd w:id="459"/>
      <w:r>
        <w:rPr>
          <w:rtl w:val="true"/>
        </w:rPr>
        <w:t>المَسأَلَةُ الثَّالِثَةُ</w:t>
      </w:r>
      <w:r>
        <w:rPr>
          <w:rtl w:val="true"/>
        </w:rPr>
        <w:t>:</w:t>
      </w:r>
      <w:bookmarkEnd w:id="460"/>
    </w:p>
    <w:p>
      <w:pPr>
        <w:pStyle w:val="BookText"/>
        <w:rPr/>
      </w:pPr>
      <w:r>
        <w:rPr>
          <w:rFonts w:ascii="Amiri" w:hAnsi="Amiri" w:eastAsia="Amiri" w:cs="Amiri"/>
          <w:color w:val="111111"/>
          <w:sz w:val="28"/>
          <w:sz w:val="28"/>
          <w:szCs w:val="28"/>
          <w:rtl w:val="true"/>
          <w:lang w:bidi="ar-SA"/>
        </w:rPr>
        <w:t>وَ مَا جَوابُه إنْ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 في صاحِبِ حَقٍّ يَعلَمُ مِن نَفسِه أنَّه لَيسَ يَنوي للإِمامِ </w:t>
      </w:r>
    </w:p>
    <w:p>
      <w:pPr>
        <w:pStyle w:val="BookText"/>
        <w:rPr/>
      </w:pPr>
      <w:r>
        <w:rPr>
          <w:rFonts w:ascii="Amiri" w:hAnsi="Amiri" w:eastAsia="Amiri" w:cs="Amiri"/>
          <w:color w:val="111111"/>
          <w:sz w:val="28"/>
          <w:sz w:val="28"/>
          <w:szCs w:val="28"/>
          <w:rtl w:val="true"/>
          <w:lang w:bidi="ar-SA"/>
        </w:rPr>
        <w:t>سوءاً و أنَّه مُطيعٌ لَه مَتى قَامَ و ظَهَرَ؛ و حَقُّه مُشكِلٌ، يَعرِفُه هو و يَجهَلُه مَن عَلَيهِ الحَقُّ؛ و قَولُ الأُمَّةِ مُختَلِفٌ فيه؛ و مَن عَلَيهِ الحَقُّ أيضاً حَسَنُ الرأيِ في الإِمَامِ، عَازِمٌ عَلى طاعَتِه؛ و لَيسَ يَصِحُّ لَه أنَّ عَلَيهِ حَقّاً؛ و لَو صَحَّ لَه، لأدّاهُ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يَحتَمِلُ التأخيرَ؛ لأنَّ بَقيَّةَ الغُرَمَاءِ يُطالِبونَه بِتوزيعِ مَالِهِ عَليهِم، و لا مَالَ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صَحَّ حَقُّ هذا أم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يُمكِنُه أنْ يَصِلَ إلَى الإِمامِ و يَسألَهُ فَيَرجِعَ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أُشبِعَ‌</w:t>
      </w:r>
      <w:r>
        <w:rPr>
          <w:rStyle w:val="FootnoteAnchor"/>
          <w:rtl w:val="true"/>
        </w:rPr>
        <w:footnoteReference w:id="764"/>
      </w:r>
      <w:r>
        <w:rPr>
          <w:rFonts w:ascii="Amiri" w:hAnsi="Amiri" w:eastAsia="Amiri" w:cs="Amiri"/>
          <w:color w:val="111111"/>
          <w:sz w:val="28"/>
          <w:sz w:val="28"/>
          <w:szCs w:val="28"/>
          <w:rtl w:val="true"/>
          <w:lang w:bidi="ar-SA"/>
        </w:rPr>
        <w:t>هذا عَنهم، و عُلِمَ بُطلانُ ذلِكَ مِن قَولِهم بِتَعَذُّرِ قُدرَتِهم عَلَيهِ في المُدَّةِ الطَّويلَةِ مِن الزَّمانِ فَضلاً عَن حَالٍ يَضِيقُ فيها الخِنَاقُ‌</w:t>
      </w:r>
      <w:r>
        <w:rPr>
          <w:rStyle w:val="FootnoteAnchor"/>
          <w:rtl w:val="true"/>
        </w:rPr>
        <w:footnoteReference w:id="765"/>
      </w:r>
      <w:r>
        <w:rPr>
          <w:rFonts w:ascii="Amiri" w:hAnsi="Amiri" w:eastAsia="Amiri" w:cs="Amiri"/>
          <w:color w:val="111111"/>
          <w:sz w:val="28"/>
          <w:sz w:val="28"/>
          <w:szCs w:val="28"/>
          <w:rtl w:val="true"/>
          <w:lang w:bidi="ar-SA"/>
        </w:rPr>
        <w:t>و يَلِجُّ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يُمكِنُه أنْ يَعرِفَ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هذا مُمكِناً بِحُجّةٍ سَمعيَّةٍ و إنِ اختُلِفَ فيهَا، فَلِمَ لا جَازَ مِثلُه في سائرِ الشَّرائِعِ و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يَتَأخَّرُ حُكمُ هذهِ المَسألَةِ عَن دارِ التَّكليفِ و يَلزَمُ صَاحِبَ الحَقِّ الكَفَّ عَنهُ، و لا شَيءَ على مَن مَنَعَهُ، و يَكونُ العِوَضُ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فَجَوِّزوا مِثلَ ذلِكَ أيضاً فيمَا أشكَلَ أمرُه</w:t>
      </w:r>
      <w:r>
        <w:rPr>
          <w:rStyle w:val="FootnoteAnchor"/>
          <w:rtl w:val="true"/>
        </w:rPr>
        <w:footnoteReference w:id="766"/>
      </w:r>
      <w:r>
        <w:rPr>
          <w:rFonts w:ascii="Amiri" w:hAnsi="Amiri" w:eastAsia="Amiri" w:cs="Amiri"/>
          <w:color w:val="111111"/>
          <w:sz w:val="28"/>
          <w:sz w:val="28"/>
          <w:szCs w:val="28"/>
          <w:rtl w:val="true"/>
          <w:lang w:bidi="ar-SA"/>
        </w:rPr>
        <w:t>، و يَكُونُ كُلُّ مَا لَم تَتَّضِحِ الحُجَجُ السَّمعيَّةُ فيه بِمَنزِلَةِ مَا لَم يَرِدْ فيه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هذِه المَسأَلَةِ مُستَفَادٌ مِن جَوابِنا فِي المَسألَتَين المُتَقَدّمَتين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بَيَّنَّا أنَّه لا حُكمَ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الحَوادِثِ الشَّرعيةِ إلّاو عَلَيهِ دَليلٌ، إمَّا عَلى جُملَةٍ أو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هذهِ المَسألَةِ عَلى الأصلِ الذي بَيَّنَّاه بَاطِلٌ؛ لأنَّه فُرِضَ فيهَا أنَّ مَن عَلَيهِ الحَقُّ لا طَريقَ لَه إلَى العِلمِ بِأنَّ الحَقَّ عَلَيهِ؛ و قَد بَيَّنَّا أنَّ الأمرَ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مُكابَرَةٌ؛ لأنَّا نَعلَمُ أنَّ الحَوادِثَ غَيرُ مُتَنَاهِيَةٍ، فَأحكامُها إذاً غَيرُ مُتَناهيةٍ، و نُصُوصُ القُرآنِ مَحصُورَةٌ مُتَناهِيَةٌ، و مَا تَروونَه عَن أيمَّتِكُم</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عَلَيه، بَل أكثَرُه و جُمهُورُه، الورودُ مِن طَريقِ الآحادِ التي لا تُوجِبُ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عِندَكم خَاصَّةً أنَّ العَمَلَ تَابِعٌ لِلعِلمِ دونَ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مَن يَتَجَاوَزُ هذهِ الغَايَةَ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الآحَادِ مُستَحيلٌ في العُقُولِ أنْ يتَعبّدَ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أيضاً هذهِ الأخبَارُ أو بَعضُهَا مُتَواتِراً، لَكانَتْ أيضاً مَحصُورَةً مُتَنَاهِيَةً، فَكَيفَ يُستَفادُ مِنها العِلمُ بِأحكامِ حَوادِثَ 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القُرآنِ و إنْ كَانَتْ مُتَنَاهِيَةً، فَقَد يدُلُّ مَا يَتَنَاهى في نَفسِه عَلى حُكمِ حَوادِثَ لا تَتَناهى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النَّصَّ إذا وَرَدَ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مَعَ الوالِدَينِ و الوَلَدِ أحَدٌ مِنَ الوُرّاثِ إلّا الزوجَ 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دَلَّ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يَنحَصِرُ مِن الأحكامِ؛ لأنَّه يَدُلُّ على نَفيِ ميراثِ كُلِّ نَسِيبٍ‌</w:t>
      </w:r>
      <w:r>
        <w:rPr>
          <w:rStyle w:val="FootnoteAnchor"/>
          <w:rtl w:val="true"/>
        </w:rPr>
        <w:footnoteReference w:id="768"/>
      </w:r>
      <w:r>
        <w:rPr>
          <w:rFonts w:ascii="Amiri" w:hAnsi="Amiri" w:eastAsia="Amiri" w:cs="Amiri"/>
          <w:color w:val="111111"/>
          <w:sz w:val="28"/>
          <w:sz w:val="28"/>
          <w:szCs w:val="28"/>
          <w:rtl w:val="true"/>
          <w:lang w:bidi="ar-SA"/>
        </w:rPr>
        <w:t>أو قَريبٍ تَعَدّى مَن ذَكَرنَاه، و هُم لا يَتَناهونَ؟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استَفَدنا مِن هذا اللَّفظِ وجوبَ الميراثِ للأقارِبِ دونَ الأباعِدِ؛ و الأباعِدُ لا 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استَفَدنا مِن مُتَنَاهٍ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مَعنَى الخَبَرِ الذي يُروى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فَتَحَ لِي كُلُّ بَابٍ مِنها أَلْفَ بَابٍ</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فَعَلى هذهِ الجُملَةِ لا تَخلُو الحادِثَةُ الشَّرعيّةُ التي تَحدُثُ مِن أنْ يَكونَ حُكمُها مُستَفَاداً مِن نُصُوصِ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جُملَةٍ أو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خَبَرٍ مُتَواتِرٍ يُوجِبُ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يُوجَدُ ذلِكَ في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إجمَاعِ الطَّائِفَةِ المُحِقَّةِ التي هِيَ الإمَامِيَّةُ، فَقَد بَيَّنَّا في مَواضِعَ‌</w:t>
      </w:r>
      <w:r>
        <w:rPr>
          <w:rStyle w:val="FootnoteAnchor"/>
          <w:rtl w:val="true"/>
        </w:rPr>
        <w:footnoteReference w:id="771"/>
      </w:r>
      <w:r>
        <w:rPr>
          <w:rFonts w:ascii="Amiri" w:hAnsi="Amiri" w:eastAsia="Amiri" w:cs="Amiri"/>
          <w:color w:val="111111"/>
          <w:sz w:val="28"/>
          <w:sz w:val="28"/>
          <w:szCs w:val="28"/>
          <w:rtl w:val="true"/>
          <w:lang w:bidi="ar-SA"/>
        </w:rPr>
        <w:t>أنَّ إجمَاعَها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فَرَضنَا أنَّه لا يُوجَدُ حُكمُ هذهِ الحادِثَةِ في كُلِّ شَيءٍ ذَكَرنَاه، كُنّا فيها عَلى حُكمِ الأصلِ في العَقلِ؛ و ذلِكَ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إذا كَانَتِ الحَالُ هذهِ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جَوابِ المَسائلِ الحَلَبيّاتِ هذا البَابَ و شَرَحنَاه و أوضَحنَاه، و انتَهَينَا فيهِ إلى أبعَدِ غَاياتِه، و بَيَّنَّا كَيفَ السَّبيلُ إلَى العِلمِ بِأحكَامِ المَسَائلِ الحَادِثَةِ التي اتَّفَقَتْ عَلَيهَا الإمَاميةُ و اختَلَفَتْ؛ و كَيفَ السَّبيلُ إلَى العِلمِ بِأحكَامِ مَا لَم يَجرِ لَهُ‌ع</w:t>
      </w:r>
      <w:r>
        <w:rPr>
          <w:rFonts w:eastAsia="Amiri" w:cs="Amiri" w:ascii="Amiri" w:hAnsi="Amiri"/>
          <w:color w:val="111111"/>
          <w:sz w:val="28"/>
          <w:szCs w:val="28"/>
          <w:rtl w:val="true"/>
          <w:lang w:bidi="ar-SA"/>
        </w:rPr>
        <w:t xml:space="preserve">. </w:t>
      </w:r>
      <w:bookmarkStart w:id="461" w:name="pg7486_97615"/>
    </w:p>
    <w:p>
      <w:pPr>
        <w:pStyle w:val="BookText"/>
        <w:rPr/>
      </w:pPr>
      <w:bookmarkEnd w:id="461"/>
      <w:r>
        <w:rPr>
          <w:rFonts w:ascii="Amiri" w:hAnsi="Amiri" w:eastAsia="Amiri" w:cs="Amiri"/>
          <w:color w:val="111111"/>
          <w:sz w:val="28"/>
          <w:sz w:val="28"/>
          <w:szCs w:val="28"/>
          <w:rtl w:val="true"/>
          <w:lang w:bidi="ar-SA"/>
        </w:rPr>
        <w:t>ذِكرٌ في كُتُبِهَا، مِمّا لَم تَتَّفِقْ فيهِ و لا اختَلَفَتْ و لا خَطَرَ بِبالِها، مِمَّا هو مَوجُودٌ في كُتُبِ المُخَالِفينَ أو مِمَّا لَيسَ بِمَوجودٍ في كُتُبِهم، فهو أيضاً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التي عَقَدنَاهَا تُنَبِّهُ عَلى مَا يُحتَاجُ إليهِ في هذا البَابِ و يزيلُ الشُّبهَةَ المُعتَرِضَةَ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226216_1051229030"/>
      <w:bookmarkStart w:id="463" w:name="_Toc168"/>
      <w:bookmarkEnd w:id="462"/>
      <w:r>
        <w:rPr>
          <w:rtl w:val="true"/>
        </w:rPr>
        <w:t>المَسألَةُ الرَّابِعَةُ</w:t>
      </w:r>
      <w:r>
        <w:rPr>
          <w:rtl w:val="true"/>
        </w:rPr>
        <w:t>:</w:t>
      </w:r>
      <w:bookmarkEnd w:id="463"/>
    </w:p>
    <w:p>
      <w:pPr>
        <w:pStyle w:val="BookText"/>
        <w:rPr/>
      </w:pPr>
      <w:r>
        <w:rPr>
          <w:rFonts w:ascii="Amiri" w:hAnsi="Amiri" w:eastAsia="Amiri" w:cs="Amiri"/>
          <w:color w:val="111111"/>
          <w:sz w:val="28"/>
          <w:sz w:val="28"/>
          <w:szCs w:val="28"/>
          <w:rtl w:val="true"/>
          <w:lang w:bidi="ar-SA"/>
        </w:rPr>
        <w:t>و مَا جَوابُه 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شيعَةُ الإِمامِ و خَواصُّه، و لا حَذَرَ عَلَيهِ مِنكُم؛ فَكَيفَ تَعمَلُونَ الآنَ إذَا حَدَثَتْ حَادِثَةٌ تَختَلِفُ فيهَا الأُمَّةُ و أشكَلَ الأمرُ</w:t>
      </w:r>
      <w:r>
        <w:rPr>
          <w:rStyle w:val="FootnoteAnchor"/>
          <w:rtl w:val="true"/>
        </w:rPr>
        <w:footnoteReference w:id="772"/>
      </w:r>
      <w:r>
        <w:rPr>
          <w:rFonts w:ascii="Amiri" w:hAnsi="Amiri" w:eastAsia="Amiri" w:cs="Amiri"/>
          <w:color w:val="111111"/>
          <w:sz w:val="28"/>
          <w:sz w:val="28"/>
          <w:szCs w:val="28"/>
          <w:rtl w:val="true"/>
          <w:lang w:bidi="ar-SA"/>
        </w:rPr>
        <w:t>عَلَيكُم أ تَصِلُونَ إلى الإِمَامِ و تَسئَلُونَه معَ تَحَقُّقِ مَعرِفَتِه و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الحَديثِ الأوَّلِ؛ و عُرِفَ حَالُ مَن ادَّعى هذا؛ و زَالَ اللَّبسُ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 عَلى قَولِ مَن يَروي لَنَا عَنِ الأئمَّةِ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تَكُن تلكَ الحَادِثَةُ فيمَا فيهِ نَصٌّ عَنهُم؟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لأنَّ لَهُم في كُلِّ حَادِثَةٍ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عَرَفَ قَدرَ فُروعِهم و كُتُبِ فِقهِهم عَالِماً بِبُطلانِ هذِه الدَّعوى؛ لأنَّ كُتُبَ أصحَابِ أبي حَنيفَةَ‌</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مَعلُومٌ حَالُها، و دائِماً يحدُثُ مَسائِلُ غَيرُ مُسَطَّرَةٍ لَهُم، حَتَّى يُحتَاج إلى القياسِ عَلى مَا فَرَّعُوا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نَقِيسُ عَلى مَا رُوِيَ لَنا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تَرَكوا أصلَهُم و قَولَهُم في إبطالِ القياسِ؛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نَقِيسُ عَلى مَا رُوِيَ لَنا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النَّقَلَةُ إلَيكُم لَيسُوا مَعصُومينَ فَإذا جَازَ أنْ تَعمَلُوا بِخَبَرِ مَن لَيسَ بِمَعصُومٍ و تَثِقُوا بِنَقلِهم، فَأَلّا جَازَ أنْ يعلَمَ صِحَّةُ مَا رُوِي لنَا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مَن نَثِقُ بهِ، فَنَستَغني عَن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نُراسِلُ الإِمامَ بِالحَادِثَةِ و نَستَعلِمُ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نُراسِلُ بِمَن لَيسَ بِمَعصُومٍ فَإذَا جَازَ أنْ تَقُومَ الحُجَّةُ بِقَولِ‌</w:t>
      </w:r>
      <w:r>
        <w:rPr>
          <w:rStyle w:val="FootnoteAnchor"/>
          <w:rtl w:val="true"/>
        </w:rPr>
        <w:footnoteReference w:id="774"/>
      </w:r>
      <w:r>
        <w:rPr>
          <w:rFonts w:ascii="Amiri" w:hAnsi="Amiri" w:eastAsia="Amiri" w:cs="Amiri"/>
          <w:color w:val="111111"/>
          <w:sz w:val="28"/>
          <w:sz w:val="28"/>
          <w:szCs w:val="28"/>
          <w:rtl w:val="true"/>
          <w:lang w:bidi="ar-SA"/>
        </w:rPr>
        <w:t>مَن لَيسَ بِمَعصُومٍ، فَلِمَ لا جَازَ ذلكَ في سَائرِ أمرِ الدِّينِ؛ و 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مَضى جَوابُ هذهِ المَسألَةِ مُستَقصىً في جَوابِ التي قَبلَها، و قَد بَيَّنَّا كَيفَ يَجِبُ أنْ تَعمَلَ الشيعَةُ في أحكَامِ الحَوادِثِ فيمَا اتَّفَقَتِ الطائِفَةُ عَلَيهِ أو اختَلَفَتْ، و كَانَ عَلَيهِ نَصٌّ أو لَم يَكُن؛ فَأغنى مَا ذَكرنَاهُ عَمَّا حُكِي عَنَّا مِمّا لا نَقُولُه و لا نَذهَبُ إلَيهِ مِن استِعمَالِ القياسِ أو مُراسَلَةِ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قَد بَيَّنَّا كَيفَ الطَّريقُ إلى مَعرِفَةِ الحَقِّ في الحَوَادِثِ، فَمَا عَداهُ بَاطِلٌ لا نَقُولُه و لا نَذهَبُ إلَيه</w:t>
      </w:r>
      <w:r>
        <w:rPr>
          <w:rFonts w:eastAsia="Amiri" w:cs="Amiri" w:ascii="Amiri" w:hAnsi="Amiri"/>
          <w:color w:val="111111"/>
          <w:sz w:val="28"/>
          <w:szCs w:val="28"/>
          <w:rtl w:val="true"/>
          <w:lang w:bidi="ar-SA"/>
        </w:rPr>
        <w:t xml:space="preserve">.». </w:t>
      </w:r>
      <w:bookmarkStart w:id="464" w:name="pg7486_97620"/>
    </w:p>
    <w:p>
      <w:pPr>
        <w:pStyle w:val="Heading4"/>
        <w:numPr>
          <w:ilvl w:val="3"/>
          <w:numId w:val="1"/>
        </w:numPr>
        <w:rPr/>
      </w:pPr>
      <w:bookmarkStart w:id="465" w:name="__RefHeading___Toc2226218_1051229030"/>
      <w:bookmarkStart w:id="466" w:name="_Toc169"/>
      <w:bookmarkEnd w:id="464"/>
      <w:bookmarkEnd w:id="465"/>
      <w:r>
        <w:rPr>
          <w:rtl w:val="true"/>
        </w:rPr>
        <w:t>المَسأَلَةُ الخَامِسَةُ</w:t>
      </w:r>
      <w:r>
        <w:rPr>
          <w:rtl w:val="true"/>
        </w:rPr>
        <w:t>:</w:t>
      </w:r>
      <w:bookmarkEnd w:id="466"/>
    </w:p>
    <w:p>
      <w:pPr>
        <w:pStyle w:val="BookText"/>
        <w:rPr/>
      </w:pPr>
      <w:r>
        <w:rPr>
          <w:rFonts w:ascii="Amiri" w:hAnsi="Amiri" w:eastAsia="Amiri" w:cs="Amiri"/>
          <w:color w:val="111111"/>
          <w:sz w:val="28"/>
          <w:sz w:val="28"/>
          <w:szCs w:val="28"/>
          <w:rtl w:val="true"/>
          <w:lang w:bidi="ar-SA"/>
        </w:rPr>
        <w:t>وَ مَا جَوابُه إنْ 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أبَاحَ كَثيراً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الاستِتارَ مِن أعدائِه حَسبَ مَا عَلِمَه مِنَ المَصلَحَةِ في ذلِكَ، و لَم تَقتَضِ حِكمَتُه إظهارَهُم إذ ذاكَ بِالقَهرِ</w:t>
      </w:r>
      <w:r>
        <w:rPr>
          <w:rStyle w:val="FootnoteAnchor"/>
          <w:rtl w:val="true"/>
        </w:rPr>
        <w:footnoteReference w:id="775"/>
      </w:r>
      <w:r>
        <w:rPr>
          <w:rFonts w:ascii="Amiri" w:hAnsi="Amiri" w:eastAsia="Amiri" w:cs="Amiri"/>
          <w:color w:val="111111"/>
          <w:sz w:val="28"/>
          <w:sz w:val="28"/>
          <w:szCs w:val="28"/>
          <w:rtl w:val="true"/>
          <w:lang w:bidi="ar-SA"/>
        </w:rPr>
        <w:t xml:space="preserve">و الإعزَازِ، و لا التَّخلِيَةَ بَينهُم و بَينَ أعدائِهم الضُّلَّالِ؛ فَكانَ سَبَبُ مَا فَاتَ مِن الانتِفاعِ بِهم مِن قِبَلِ الظَّالِمينَ لا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سَوَاءٌ غَيبَةٌ مِن غَيرِ شَريعَةٍ تَقَرَّرَتْ، يَجِبُ تَنفيذُهَا و إمضَاؤُهَا و إزَالَةُ الشُّبَهِ عَنهَا و الإِبَانَةُ عَن حَقَائِقِهَا، و كَونُ هذهِ الغَيبَةِ بَعدَ ظُهُورٍ شَائِعٍ ذَائِعٍ قد ارتَفَعَ الرَّيبُ فيهِ، و انقَطَعَ العُذرُ بهِ لِلمَعلومِ بهِ ضَرورَةً و حِسّاً؛ و غَيبَةٌ بَعدَ شَريعَةٍ تَقَرَّرَتْ، يَجِبُ فيهَا مَا تَقَدَّمَ ذِكرُه، مِن غَيرِ ظُهُورٍ يشَاكِلُ ذلِكَ الظُّهُورَ في حُكمِه لِيَنقَطِعَ العُذرُ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أنْ يُبِيحَ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التَّقيةَ و الاستِتارَ كَمَا أبَاحَ مَن قَبلَهُ، و يمسِكَ عَن تَأييدِه كَمَا أمسَكَ عَن تَأييدِهِم، و الصِّفَاتُ مُختَلِفَةٌ، و الأسبَابُ مُتَضَادَّةٌ و قَد رَأَينَاكُم رَفَعتُم عُذرَ الإِمَامِ و ضَيَّقتُمُوهُ في الاستِتَارِ لَو أطبَقَتْ شيعَتُه و النَّقَلَةُ عَن آبائِه عَلَى الضَّلالِ، و أوجَبتُم عَلَيه إذ ذاكَ الظُّهُورَ لِيَصدَعَ بِالحَقِّ‌</w:t>
      </w:r>
      <w:r>
        <w:rPr>
          <w:rStyle w:val="FootnoteAnchor"/>
          <w:rtl w:val="true"/>
        </w:rPr>
        <w:footnoteReference w:id="776"/>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قَولُكُم عِندَ إِلزَامِكُم استِغنَاءَ خُصُومِكم بِالنَّقَلَةِ، و إنْ كَانُوا غَيرَ مَعصُومينَ، كَاستِغنَائِكُم بِنَقَلتِكُم إذا 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إلّالاختِلافِ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لَوَجَبَ مِثلُه عَلَى الأنبياءِ المُستَتِرينَ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استِتارِهم عَنِ الأنَامِ، و قَد كَانوا إذ ذاكَ مُطبِقينَ عَلَى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فَكَيفَ أوجَبتُم ظُهُورَه و رَفَعتُم عُذرَه عِندَ ذاكَ أَ عَلى شَرطِ التَّأييدِ لَه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المَنعِ لأعدَائِه مِنَ الوُصُولِ، أم عَلى وَجهِ التَّخلِيَةِ بَينَه و بَينَهم؟</w:t>
      </w:r>
    </w:p>
    <w:p>
      <w:pPr>
        <w:pStyle w:val="BookText"/>
        <w:rPr/>
      </w:pPr>
      <w:r>
        <w:rPr>
          <w:rFonts w:ascii="Amiri" w:hAnsi="Amiri" w:eastAsia="Amiri" w:cs="Amiri"/>
          <w:color w:val="111111"/>
          <w:sz w:val="28"/>
          <w:sz w:val="28"/>
          <w:szCs w:val="28"/>
          <w:rtl w:val="true"/>
          <w:lang w:bidi="ar-SA"/>
        </w:rPr>
        <w:t>فَإنْ كَانَ عَلى شَرطِ التَّأييدِ، فَكَيفَ أوجَبتُم تَأييدَه عِندَ ذلِكَ و لَم تُوجِبُوه عِندَ استِمرارِ الظُّلمِ و عَدَمِ حَقيقَةِ الحُكمِ، و ارتِفَاعِ العِلمِ بِه و النَّصِّ عَلَيهِ عَلى وَجهٍ يَنقَطِعُ بِه العُذرُ، و يَرتَفِعُ الخِلافُ فيه بَينَ الكُلِّ، و تَعطيلِ الحُدودِ و حُدُوثِ المُعضِلاتِ و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عَلى وَجهِ التَّعزيزِ</w:t>
      </w:r>
      <w:r>
        <w:rPr>
          <w:rStyle w:val="FootnoteAnchor"/>
          <w:rtl w:val="true"/>
        </w:rPr>
        <w:footnoteReference w:id="777"/>
      </w:r>
      <w:r>
        <w:rPr>
          <w:rFonts w:ascii="Amiri" w:hAnsi="Amiri" w:eastAsia="Amiri" w:cs="Amiri"/>
          <w:color w:val="111111"/>
          <w:sz w:val="28"/>
          <w:sz w:val="28"/>
          <w:szCs w:val="28"/>
          <w:rtl w:val="true"/>
          <w:lang w:bidi="ar-SA"/>
        </w:rPr>
        <w:t xml:space="preserve">مِنهُ بِنَفسِه، فَكَيفَ وَجَبَ تَعزيزُه بِها في ذلِكَ، و لَم يَجِبْ في هذا و كَيفَ يَجِبُ عَلَيهِ مِن ذلِكَ مَا لَم يَجِبْ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الإطباقِ عَلَى الضَّلالِ، و هُم عَلى جُملَةِ التَّقيّةِ و الاستِتارِ؟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مَهرَبَ مِنَ الذي أورَدنَاه إلّاإلى مَا قُلنَاهُ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فَقُولوا مَا عِندَكم فيهِ، و أقرِنُوه بِالدَّليلِ الذّي يُتَمَيَّزُ مِنَ الشُّبهَةِ، و بَيانِها في المَعنى و الصِّفَةِ؛ لِنَسمَعَهُ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الفَرقُ بَينَ تَسويغِ استِتارِ نَبيٍّ لِخَوفٍ مِن أُمَّتِه، و بَينَ استِتارِ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قَد بَيَّنَ شَريعَتَه و أدّاهَا و أوضَحَهَا و مَهَّدَها في النُّفُوسِ، فَاستِتارُه غَيرُ قَادِحٍ في طَريقِ العِلمِ بِالحَقِّ؛ و لَيسَ كَذلِكَ استِتارُ الإِمَامِ؛ لأنَّ الأمرَ في الأحكامِ في حَالِ غَيبَتِه مُشكِلٌ غَيرُ مُتَمَهِّدٍ و لا مُتَقَرِّرٍ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صَحيحٍ، و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بِالعَكسِ مِنه؛ لأنَّ إِمامَ الزَّمانِ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يَغِبْ إلّاو شَريعَةُ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أُدِّيَتْ و مُهِّدَتْ و تَقرَّرَتْ، و أدّى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وَجَبَ عَلَيه، و بَيَّنَ الأئمَّةُ بَعدَه مِن لَدُنْ وَفاتِه إلى زَمانِ 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جَمَاعَتِهم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الشَّريعَةِ مَا وَجَبَ بَيانُه، و أوضَحُوا المُشكِلَ و كَشَفوا الغَامِضَ؛ فَاستَوَى الأمرانِ في جَوازِ الغَيبَةِ معَ الخَوفِ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كَثيراً مِنَ المُعتَزِلَةِ يَذهَبونَ إلى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بَعَثَهُ لِيُؤَدِّيَ مِنَ الشَّريعَةِ مَا لا يُمكِنُ عِلمُه إلّامِن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تُخِيفُه</w:t>
      </w:r>
      <w:r>
        <w:rPr>
          <w:rStyle w:val="FootnoteAnchor"/>
          <w:rtl w:val="true"/>
        </w:rPr>
        <w:footnoteReference w:id="778"/>
      </w:r>
      <w:r>
        <w:rPr>
          <w:rFonts w:ascii="Amiri" w:hAnsi="Amiri" w:eastAsia="Amiri" w:cs="Amiri"/>
          <w:color w:val="111111"/>
          <w:sz w:val="28"/>
          <w:sz w:val="28"/>
          <w:szCs w:val="28"/>
          <w:rtl w:val="true"/>
          <w:lang w:bidi="ar-SA"/>
        </w:rPr>
        <w:t xml:space="preserve">أُمَّتُه عَلى نَفسِه، و يَقتُلُونَه إنْ أدّى إلَيهم مَا حَمَلَه، و عَلِمَ أنَّه لَيسَ في المَقدُورِ مَا يَصرِفُهم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لُطفٍ و مَا يَجري مَجراهُ مِمّا لا يُنافي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 أُمَّتِه التَّكليفَ الَّذي ذلِكَ الشَّرعُ لُطفٌ فيه، و يجرونَ ذلِكَ مَجرى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المَبعوثَ يَكتُمُ الرِّسَالَةَ و لا يُؤدِّيها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الأمرُ عَلى مَا 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الأمرَينِ فَرقٌ وَاضِحٌ لا يَخفى عَلى مُتَأمِّلٍ؛ لأنَّ بِعثَةَ مَن لا يُؤَدِّي و يُعلَمُ مِن جِهَتِه أنَّه يَكتُمُ الرِّسَالَةَ يسُدُّ عَلَى الأُمَّةِ طَريقَ العِلمِ بِمَا هو مَصلَحَةٌ لَها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إذا أخَافُوه عَلى نفسِه فَاستَتَرَ و هو مُقيمٌ بَينَ أظهُرِهِم</w:t>
      </w:r>
      <w:r>
        <w:rPr>
          <w:rStyle w:val="FootnoteAnchor"/>
          <w:rtl w:val="true"/>
        </w:rPr>
        <w:footnoteReference w:id="779"/>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يَتَمَكَّنُونَ مِن مَعرِفَةِ مَا هو لُطفٌ لَهُم مِن الشَّرائعِ، بِأنْ يُزيلوا خَوفَه و يُؤمِنُوه، فَيَظهَرَ لَهُم و يُؤَدِّيَ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فَفَوتُ المَعرِفَةِ ههُنَا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جِهَتِهم، و في القِسمِ الأوَّلِ مِن جِهَةِ غَيرِهِم عَلى وَجهٍ لا يَتَمَكَّنونَ مِن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النُّبُوَّةُ في هذهِ المَسألَةِ إلّاكَالإمَامَةِ؛ و مَن فَرَّقَ بَينَهُما فَقَد ضَلَّ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يَذهَبُ عَمَّا ذَكَرنَاه ذَاهِبٌ و قَد عَلِمنَا أنَّ النَّبيَّ إذَا حَمَلَ الرِّسَالَةَ، و لَم تُنعِمْ أُمَّتُه النَّظَرَ</w:t>
      </w:r>
      <w:r>
        <w:rPr>
          <w:rStyle w:val="FootnoteAnchor"/>
          <w:rtl w:val="true"/>
        </w:rPr>
        <w:footnoteReference w:id="780"/>
      </w:r>
      <w:r>
        <w:rPr>
          <w:rFonts w:ascii="Amiri" w:hAnsi="Amiri" w:eastAsia="Amiri" w:cs="Amiri"/>
          <w:color w:val="111111"/>
          <w:sz w:val="28"/>
          <w:sz w:val="28"/>
          <w:szCs w:val="28"/>
          <w:rtl w:val="true"/>
          <w:lang w:bidi="ar-SA"/>
        </w:rPr>
        <w:t>في مُعجِزِه، و اشتَبَهَ عَلَيهِم الأمرُ في صِدقِه، فَكَذَّبُوه، لا يَقُولُ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 أُمَّتِه التَّكليفَ فيمَا كَانَ مَا يُؤَدِّيهِ لُطفاً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يَعتَلُّونَ في أنَّ إسقَاطَهُ غَيرُ واجِبٍ بِأنَّ اشتِبَاهَ الحَقِّ عَلَيهِم في صِدقِه لا يُخرِجُهم مِن أنْ يَكُونوا مُتَمَكِّنينَ مِن العِلمِ بِمَا فيه مَصلَحَتُهم مِن جِهَتِه، و إنَّما أُتُوا</w:t>
      </w:r>
      <w:r>
        <w:rPr>
          <w:rStyle w:val="FootnoteAnchor"/>
          <w:rtl w:val="true"/>
        </w:rPr>
        <w:footnoteReference w:id="781"/>
      </w:r>
      <w:r>
        <w:rPr>
          <w:rFonts w:ascii="Amiri" w:hAnsi="Amiri" w:eastAsia="Amiri" w:cs="Amiri"/>
          <w:color w:val="111111"/>
          <w:sz w:val="28"/>
          <w:sz w:val="28"/>
          <w:szCs w:val="28"/>
          <w:rtl w:val="true"/>
          <w:lang w:bidi="ar-SA"/>
        </w:rPr>
        <w:t>مِن قِبَلِ تَقصيرِهم، و لَو شَاؤُوا لأصَابُوا الحَقَّ و عَرَفوا مِن جِهَتِه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الاعتِلالُ صَحيحٌ، و هو قَائِمٌ في المَسأَلَةِ التي ذَكَرنَاهَا؛ لأنَّ الأُمَّةَ مَعَ استِتارِ النَّبيِّ عَنهُم لِخَوفِه عَلى نَفسِه، يَتَمَكَّنونَ مِن مَعرِفَةِ مَا يَحتَاجُونَ إلَيهِ مِن جِهَتِه، بِأنْ يُؤمِنُوه و يُزيلُوا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يَقولُ أهلُ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و النَّصارى مُخاطَبونَ بِشَريعَتِنا مَأمُورونَ بِكُلِّ شَيءٍ أُمِرنَا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مِنَ اليَهودِيِّ أو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مَا هو عَلَيه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يَقدِرُ عَلَى الإِيمَانِ و المَعرِفَةِ بِصِدقِ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 مِن ذلِكَ صِحَّةَ الشَّريعَةِ و وُجُوبَهَا عَلَيه، فَيَفعَلُ مَا أُمِرَ بِفِعلِه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تَكليفَ الشَّريعَةِ سَقَطَ عَنه مَعَ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لِلتَّمَكُّنِ الذي أَشَرنَا إلَيه، و هو قَائِمٌ في المَوضِعِ الذي اختَلَفنَا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الذي ذَكَرنَاه هاهُنا يَجِبُ الاعتِمَادُ؛ فَهو المُحَقَّقُ المُحَصَّلُ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مَضى في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في كَيفيَّةِ التَّأيِيدِ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أعدَائِه مِنه، و هَل يَجِبُ القَطعُ عَلى وُجُوبِ ظُهُورِه عَلى كُلِّ حَالٍ إذَا أطبَقَ الخَلقُ عَلى ضَلالٍ، إلى آخِرِ مَا خُتِمَتْ بِه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مَضى بَيَانُ الحَقِّ فيهِ في كَلامِنَا، و الفَرقُ بَينَ الصَّحيحِ مِنه و البَاطِلِ؛ فَلا وَجهَ لإعَادَتِه</w:t>
      </w:r>
      <w:r>
        <w:rPr>
          <w:rFonts w:eastAsia="Amiri" w:cs="Amiri" w:ascii="Amiri" w:hAnsi="Amiri"/>
          <w:color w:val="111111"/>
          <w:sz w:val="28"/>
          <w:szCs w:val="28"/>
          <w:rtl w:val="true"/>
          <w:lang w:bidi="ar-SA"/>
        </w:rPr>
        <w:t>.</w:t>
      </w:r>
      <w:r>
        <w:rPr>
          <w:rStyle w:val="FootnoteAnchor"/>
        </w:rPr>
        <w:footnoteReference w:id="78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67" w:name="pg7486_97636"/>
    </w:p>
    <w:p>
      <w:pPr>
        <w:pStyle w:val="Heading3"/>
        <w:numPr>
          <w:ilvl w:val="2"/>
          <w:numId w:val="1"/>
        </w:numPr>
        <w:rPr/>
      </w:pPr>
      <w:bookmarkStart w:id="468" w:name="__RefHeading___Toc2226220_1051229030"/>
      <w:bookmarkStart w:id="469" w:name="_Toc170"/>
      <w:bookmarkEnd w:id="467"/>
      <w:bookmarkEnd w:id="468"/>
      <w:r>
        <w:rPr/>
        <w:t>13</w:t>
      </w:r>
      <w:r>
        <w:rPr>
          <w:rtl w:val="true"/>
        </w:rPr>
        <w:t xml:space="preserve"> - </w:t>
      </w:r>
      <w:r>
        <w:rPr>
          <w:rtl w:val="true"/>
        </w:rPr>
        <w:t xml:space="preserve">ما ذكره في رسالة </w:t>
      </w:r>
      <w:r>
        <w:rPr>
          <w:rtl w:val="true"/>
        </w:rPr>
        <w:t>«</w:t>
      </w:r>
      <w:r>
        <w:rPr>
          <w:rtl w:val="true"/>
        </w:rPr>
        <w:t>شرح القصيدة المذهّبة للسيّد الحميري</w:t>
      </w:r>
      <w:r>
        <w:rPr>
          <w:rtl w:val="true"/>
        </w:rPr>
        <w:t>»</w:t>
      </w:r>
      <w:bookmarkEnd w:id="469"/>
    </w:p>
    <w:p>
      <w:pPr>
        <w:pStyle w:val="BookText"/>
        <w:rPr/>
      </w:pPr>
      <w:r>
        <w:rPr>
          <w:rFonts w:ascii="Amiri" w:hAnsi="Amiri" w:eastAsia="Amiri" w:cs="Amiri"/>
          <w:color w:val="111111"/>
          <w:sz w:val="28"/>
          <w:sz w:val="28"/>
          <w:szCs w:val="28"/>
          <w:rtl w:val="true"/>
          <w:lang w:bidi="ar-SA"/>
        </w:rPr>
        <w:t xml:space="preserve">قد ذَكَرَ هناك الشريفُ المرتضى بعد ذكر البيت الخامس و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كلا طَرَفَيهِ مِن سامٍ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له بأبٍ و لا بأبي أبِ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كلاماً حول أُمّهات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منهنّ أُمّ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كِلَاَ طَرفَيْهِ مِنْ سَامٍ وَمَا حَامٌ لَهُ بِأَبٍ وَلَا بِأَبِي أَبِ</w:t>
      </w:r>
    </w:p>
    <w:p>
      <w:pPr>
        <w:pStyle w:val="BookText"/>
        <w:rPr/>
      </w:pPr>
      <w:r>
        <w:rPr>
          <w:rFonts w:ascii="Amiri" w:hAnsi="Amiri" w:eastAsia="Amiri" w:cs="Amiri"/>
          <w:color w:val="111111"/>
          <w:sz w:val="28"/>
          <w:sz w:val="28"/>
          <w:szCs w:val="28"/>
          <w:rtl w:val="true"/>
          <w:lang w:bidi="ar-SA"/>
        </w:rPr>
        <w:t>فإنّما يُريدُ أنّ أميرَالمؤمنينَ عليه السلام ما وَلَدَه مِن كلا طرفَيْهِ حامٌ؛ لأنَّ حاماً والدُ السودان، وسامُ والدُ البيضان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أَميرِالمؤمنينَ عليهما السلام فاطمةُ بنتُ أسدِ بنِ هاشمِ بنِ عبدِ منافٍ، و هُوَ أوّلُ هاشميٍّ منَ المسلمينَ وُلدَ لهاشميَّيْنِ،</w:t>
      </w:r>
      <w:r>
        <w:rPr>
          <w:rStyle w:val="FootnoteAnchor"/>
          <w:rtl w:val="true"/>
        </w:rPr>
        <w:footnoteReference w:id="783"/>
      </w:r>
      <w:r>
        <w:rPr>
          <w:rFonts w:ascii="Amiri" w:hAnsi="Amiri" w:eastAsia="Amiri" w:cs="Amiri"/>
          <w:color w:val="111111"/>
          <w:sz w:val="28"/>
          <w:sz w:val="28"/>
          <w:szCs w:val="28"/>
          <w:rtl w:val="true"/>
          <w:lang w:bidi="ar-SA"/>
        </w:rPr>
        <w:t xml:space="preserve">و ليسَ في أُمّهاتِه عليهِ السلامُ، و إنْ بعدنَ وَعَلونَ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مِنْ وُلدِ حام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 السيّدُ رحمه اللّه في قولِه هذا بعمرِ بنِ الخّطابِ؛ لأنَّ صَهاكَ أُمَّهُ حَبشيَّةٌ، وطِئَها عبدُ العزّى بنُ رباحِ بنِ عبدِاللّه بنِ قُرطِ بنِ رِزاحِ بنِ عَدِيِّ بنِ كعبِ </w:t>
      </w:r>
    </w:p>
    <w:p>
      <w:pPr>
        <w:pStyle w:val="BookText"/>
        <w:rPr/>
      </w:pPr>
      <w:r>
        <w:rPr>
          <w:rFonts w:ascii="Amiri" w:hAnsi="Amiri" w:eastAsia="Amiri" w:cs="Amiri"/>
          <w:color w:val="111111"/>
          <w:sz w:val="28"/>
          <w:sz w:val="28"/>
          <w:szCs w:val="28"/>
          <w:rtl w:val="true"/>
          <w:lang w:bidi="ar-SA"/>
        </w:rPr>
        <w:t>بنِ لؤيِّ بنِ غالبِ، فجاءَتْ بِنُفَيلِ بنِ عبدِ العُزّى‌</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روايةِ الهيثمِ بنِ عَديّ الطائيّ‌</w:t>
      </w:r>
      <w:r>
        <w:rPr>
          <w:rStyle w:val="FootnoteAnchor"/>
          <w:rtl w:val="true"/>
        </w:rPr>
        <w:footnoteReference w:id="785"/>
      </w:r>
      <w:r>
        <w:rPr>
          <w:rFonts w:ascii="Amiri" w:hAnsi="Amiri" w:eastAsia="Amiri" w:cs="Amiri"/>
          <w:color w:val="111111"/>
          <w:sz w:val="28"/>
          <w:sz w:val="28"/>
          <w:szCs w:val="28"/>
          <w:rtl w:val="true"/>
          <w:lang w:bidi="ar-SA"/>
        </w:rPr>
        <w:t>، و أَبي عبيدِ مُعْمَرِ بنِ المُثنّى‌</w:t>
      </w:r>
      <w:r>
        <w:rPr>
          <w:rStyle w:val="FootnoteAnchor"/>
          <w:rtl w:val="true"/>
        </w:rPr>
        <w:footnoteReference w:id="786"/>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صهاكَ أُمَّ الخطّابِ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آخرونَ فِي أُمِّ الخطّابِ، و ذكروا أنّها مِن فهمِ بنِ قيسِ‌</w:t>
      </w:r>
      <w:r>
        <w:rPr>
          <w:rStyle w:val="FootnoteAnchor"/>
          <w:rtl w:val="true"/>
        </w:rPr>
        <w:footnoteReference w:id="788"/>
      </w:r>
      <w:r>
        <w:rPr>
          <w:rFonts w:ascii="Amiri" w:hAnsi="Amiri" w:eastAsia="Amiri" w:cs="Amiri"/>
          <w:color w:val="111111"/>
          <w:sz w:val="28"/>
          <w:sz w:val="28"/>
          <w:szCs w:val="28"/>
          <w:rtl w:val="true"/>
          <w:lang w:bidi="ar-SA"/>
        </w:rPr>
        <w:t>غيلان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 السيّدُ رحمه اللّه تفضيلَ أَميرِالمؤمنينَ عليه السلام في نسبِه على نسبِ مَن ذكرَهُ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ولادةِ حام معيرةٌ و منقصةٌ، فكيفَ تطرَّقَ ذلك على كثيرٍ من أئمّتكم، فقد ولدتهُم الإماءُ مِنْ أَبي الحسن موسى، إلى صاحبِ الزمان، على جماعتِهُم السلامُ؟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عيَّرَ السيّدُ رحمهُ اللّهُ بولادةِ الإماءِ، و إنّما عيَّرَ بولادَةِ حام، و ليسَ كلُّ أَمَةٍ من وُلْدِ 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أُمّهاتُ مَن ذُكِر مِن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 إماءً، فلسْنَ منْ أولادِ 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 أَبي الحسنِ موسى عليه السلام بربريّة،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أَندلسيَّةٌ، واسمُها حميدة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عليِّ بنِ موسى عليهما السلام مريسيّة، تُسمَّى الخيزُرانُ‌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أَبي جعفر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أيضاً مريسيّةٌ، تُسمّى سُكينة،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بربريّة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أُمَّهاتُ العسكريَّيْنِ عليهما السلام، 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مولّدات، لسنَ مِن وُلدِ حام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لو كانَ على أصعبِ الوجوهِ في أُمّهاتِ بعضِ أئمّتِنا عليهم السلام مَن هيَ من وُلدِ حام، لمَا كانَ في ذلكَ نقضٌ و لا عاب؛ لأنّ السيّدَ رحمهُ اللّهُ فضّلَ أميرَ المؤمنينَ عليه السلام على من لمْ يلدهُ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ألحقَ نقصاً في الّذين من ولدِ 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فضيلةٍ تتعلّقُ بالدينِ يكونُ فقدُها نُقصاناً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نعلمُ أَنّ للحسنِ و الحسينِ عليهما السلام الفضيلةُ العظمى؛ 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أُمَّهما الدنيا فاطمةُ عليهما السلام بنتِ رسولِ اللّهِ صلّى اللّهُ عليهِ و آلهِ، و ليسَ هذا لغيرِهما منَ الأئمّةِ عليهم السلام، و إنْ كانَ لا نقصَ يلحقُ بفقدِ هذهِ الفضيلةِ</w:t>
      </w:r>
      <w:r>
        <w:rPr>
          <w:rFonts w:eastAsia="Amiri" w:cs="Amiri" w:ascii="Amiri" w:hAnsi="Amiri"/>
          <w:color w:val="111111"/>
          <w:sz w:val="28"/>
          <w:szCs w:val="28"/>
          <w:rtl w:val="true"/>
          <w:lang w:bidi="ar-SA"/>
        </w:rPr>
        <w:t>.</w:t>
      </w:r>
      <w:r>
        <w:rPr>
          <w:rStyle w:val="FootnoteAnchor"/>
        </w:rPr>
        <w:footnoteReference w:id="79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70" w:name="pg7486_97649"/>
    </w:p>
    <w:p>
      <w:pPr>
        <w:pStyle w:val="Heading3"/>
        <w:numPr>
          <w:ilvl w:val="2"/>
          <w:numId w:val="1"/>
        </w:numPr>
        <w:rPr/>
      </w:pPr>
      <w:bookmarkStart w:id="471" w:name="__RefHeading___Toc2226222_1051229030"/>
      <w:bookmarkStart w:id="472" w:name="_Toc171"/>
      <w:bookmarkEnd w:id="470"/>
      <w:bookmarkEnd w:id="471"/>
      <w:r>
        <w:rPr/>
        <w:t>14</w:t>
      </w:r>
      <w:r>
        <w:rPr>
          <w:rtl w:val="true"/>
        </w:rPr>
        <w:t xml:space="preserve"> - </w:t>
      </w:r>
      <w:r>
        <w:rPr>
          <w:rtl w:val="true"/>
        </w:rPr>
        <w:t xml:space="preserve">ما ذكره في رسالة </w:t>
      </w:r>
      <w:r>
        <w:rPr>
          <w:rtl w:val="true"/>
        </w:rPr>
        <w:t>«</w:t>
      </w:r>
      <w:r>
        <w:rPr>
          <w:rtl w:val="true"/>
        </w:rPr>
        <w:t>جوابات المسائل الموصليّات الثالثة</w:t>
      </w:r>
      <w:r>
        <w:rPr>
          <w:rtl w:val="true"/>
        </w:rPr>
        <w:t>»</w:t>
      </w:r>
      <w:bookmarkEnd w:id="472"/>
    </w:p>
    <w:p>
      <w:pPr>
        <w:pStyle w:val="BookText"/>
        <w:rPr/>
      </w:pPr>
      <w:r>
        <w:rPr>
          <w:rFonts w:ascii="Amiri" w:hAnsi="Amiri" w:eastAsia="Amiri" w:cs="Amiri"/>
          <w:color w:val="111111"/>
          <w:sz w:val="28"/>
          <w:sz w:val="28"/>
          <w:szCs w:val="28"/>
          <w:rtl w:val="true"/>
          <w:lang w:bidi="ar-SA"/>
        </w:rPr>
        <w:t>قد ذكر الشريف المرتضى هناك كلاماً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هاهُنا طريقٌ آخَرُ يُتوصَّلُ به إلَى الحَقّ و الصحيحِ مِن الأحكامِ الشرعيّةِ عندَ فَقدِ ظهورِ الإمامِ و تَميُّزِ شخصِه، و هو إجماعُ الفِرقةِ المُحِقّةِ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عَلِمنا أنّ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مُتميِّزِ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أقوالِها و غيرُ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أطبَقوا على مَذهبٍ مِن المَذاهبِ، عَلِمنا أنّه هو الحَقُّ الواضحُ و الحُجّةُ القاطعةُ؛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الحُجّةُ في جُملةِ أقوالِها، فكانَ الإمامُ قائلَه و مُنفَرِداً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مُتميِّزِ العَينِ و لا معروفِ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أقوالِ الإماميّةِ؛ لأنّا إذا كُنّا نَقطَعُ على وجودِ الإمامِ في زَمانِ الغَيبةِ بَينَ أظهُرِنا، و لا نَرتابُ بذلكَ، و نَقطَعُ أيضاً على أنّ الحَقَّ في الأُصولِ كُلِّها مع الإماميّةِ دونَ مُخالِفيها، و كانَ الإمامُ لا بُدَّ أن يَكونَ مُحِقّاً في جميعِ الأُصولِ؛ وَجَبَ أن يَكونَ الإمامُ على مَذاهبِ الإماميّةِ في جميعِ الأُصولِ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عَرَفنا إجماعَ الإماميّةِ جَميعِها على مَذهبٍ مِن المَذاهبِ في فُروعِ </w:t>
      </w:r>
    </w:p>
    <w:p>
      <w:pPr>
        <w:pStyle w:val="BookText"/>
        <w:rPr/>
      </w:pPr>
      <w:r>
        <w:rPr>
          <w:rFonts w:ascii="Amiri" w:hAnsi="Amiri" w:eastAsia="Amiri" w:cs="Amiri"/>
          <w:color w:val="111111"/>
          <w:sz w:val="28"/>
          <w:sz w:val="28"/>
          <w:szCs w:val="28"/>
          <w:rtl w:val="true"/>
          <w:lang w:bidi="ar-SA"/>
        </w:rPr>
        <w:t>الشريعةِ، فلا بُدَّ مِن أن يَكونَ الإمامُ، و هو سَيِّدُ الإماميّةِ و أعلَمُها و أفقَهُها، في جُملةِ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يَجوزُ فيما أجمَعَت عليه الإماميّةُ أن يَكونَ بعضُ علماءِ الإماميّةِ غيرَ قائلٍ به و لا ذاهبٍ إليه، فكذلكَ لا يَجوزُ مِثلُه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جَحدٌ عظيمٌ منكم، يَقتَضي أنّكم قد عَرَفتم كُلَّ مُحِقٍّ في بَرٍّ و بَحرٍ و سَهلٍ و جَبَلٍ، حتّى مَيَّزتم أقوالَهم و مَذاهِبَهم؛ إمّا بأن لقَيتموهم، أو بأن تواتَرَت عنهم إليكم الأخبارُ بمَذاهبِهم</w:t>
      </w:r>
      <w:r>
        <w:rPr>
          <w:rStyle w:val="FootnoteAnchor"/>
          <w:rtl w:val="true"/>
        </w:rPr>
        <w:footnoteReference w:id="795"/>
      </w:r>
      <w:r>
        <w:rPr>
          <w:rFonts w:ascii="Amiri" w:hAnsi="Amiri" w:eastAsia="Amiri" w:cs="Amiri"/>
          <w:color w:val="111111"/>
          <w:sz w:val="28"/>
          <w:sz w:val="28"/>
          <w:szCs w:val="28"/>
          <w:rtl w:val="true"/>
          <w:lang w:bidi="ar-SA"/>
        </w:rPr>
        <w:t>و معلومٌ بُعدُ هذه الدعوى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هذه المسألةِ بما فَرَّعناه و استَوفَيناه و جَعَلناه كالشمسِ الطالعةِ في الوضوحِ و الجَلاءِ في مَسائلَ سَألَنا عنها أبو عَبدِ اللّهِ مُحمّدُ بنُ عَبدِ المَلِكِ التُّباينُ‌</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w:t>
      </w:r>
      <w:r>
        <w:rPr>
          <w:rStyle w:val="FootnoteAnchor"/>
          <w:rtl w:val="true"/>
        </w:rPr>
        <w:footnoteReference w:id="797"/>
      </w:r>
      <w:r>
        <w:rPr>
          <w:rFonts w:ascii="Amiri" w:hAnsi="Amiri" w:eastAsia="Amiri" w:cs="Amiri"/>
          <w:color w:val="111111"/>
          <w:sz w:val="28"/>
          <w:sz w:val="28"/>
          <w:szCs w:val="28"/>
          <w:rtl w:val="true"/>
          <w:lang w:bidi="ar-SA"/>
        </w:rPr>
        <w:t>على أخبارِ الآحادِ و طريقِ العِلمِ بالآحادِ، أجهَدَ فيها نفسَه، و أتعَبَ بها عُمُرَه، و ما قَصَّرَ فيما أَورَدَه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 هذه المَسائلِ موجودٌ في يَدِ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يُقارِبُ مِائةَ وَرَقةٍ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اطُّلِعَ عليه عُرِفَ منه الطريقُ الصحيحُ إلَى العِلمِ بأحكامِ الشريعةِ على مَذاهبِ أصحابِنا، مع نَفيِهم القياسَ و العملَ بأخبارِ الآحادِ، و وُجِدَ في جوابِ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تقريرِ المَذهبِ و تأسيسِه، و الجَمعِ بَينَ أُصولِه و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في شَيٍ‌ء مِن الكُتُبِ المُصنَّفةِ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نُخلي السؤالَ الذي ذَكَرَه مِن جوابٍ على كُلِّ 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المذكورةُ في السؤالِ هي طريقةُ مَن نَفى إجماعَ الأُمّةِ، و ادَّعى أنّه لا سَبيلَ إلَى العِلمِ بإجماعِها على قولٍ مِن الأقوالِ، مع تَباعُدِ الديارِ و تَفرُّقِ الأوطانِ و فَقدِ المَعرفةِ بكُلِّ واحدٍ منهم علَى التعيينِ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 المُجالَسةِ و المُخالَطةِ، و امتدادِ العُصُرِ، و استمرارِ الأزمانِ تَقرُّرَ مَذاهبِ المُسلِمينَ و حَصرَ أقاويلِهم، و فَرَّقنا بَينَ ما يَختَلِفونَ فيه و يَجتَمِعونَ عليه؛ و مَن شكَّكَنا في ذلكَ كَمَن شكَّكَنا في البُلدانِ و الأمصارِ و الأحداثِ العظيمةِ، التي يَقَعُ بها العِلمُ و يَزولُ الريبُ فيها بالأخبارِ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عاقلٍ يَشُكُّ في أنّ جميعَ المُسلِمينَ في بَرٍّ و بَحرٍ، و سَهلٍ و جَبَلٍ، و قُربٍ و بُعدٍ يَذهبونَ إلى تحريمِ الزنا و الخَمرِ؟ و أنّ أحَداً منهم لَم يَذهَبْ في الجَدِّ و الأخِ إذا انفَرَدا بالميراثِ إلى أنّ المالَ للأخِ دونَ الجَدِّ؟ و أنّهم لا يَختَلِفونَ‌</w:t>
      </w:r>
      <w:r>
        <w:rPr>
          <w:rStyle w:val="FootnoteAnchor"/>
          <w:rtl w:val="true"/>
        </w:rPr>
        <w:footnoteReference w:id="798"/>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هذه المَسألةِ خِلافٌ قَديمٌ بَينَ الأنصارِ، في أنّ التقاءَ الخِتانَينِ لا يوجِبُ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شكَّكَنا في هذا مُشكِّكٌ،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فقهاءِ الأُمّةِ و علمائها مَن يَذهبُ إلى مَذهبِ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لَعنَّفناه و بَكَّتناه، و إن كُنّا لا نَعرِفُ فقهاءَ الأُمّةِ و علماءَها في الأمصارِ على سَبيلِ التعيينِ و التمييزِ</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مَذاهِبَ الأُمّةِ بأجمَعِها محصورةٌ معلومةٌ، فكذلكَ مَذاهِبُ كُلِّ فِرقةٍ مِن فقهائها و طائفةٍ مِن علمائها؛ فإنّ مَذاهِبَ أبي حَنيفةَ محصورةٌ بالرواياتِ المُختَلِفةِ عنه مضبوطةٌ، و كذلكَ مَذاهِبُ الشافعيِّ، و إن كانَت له أقوالٌ مُختَلِفةٌ في بعضِ‌ن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المَسائلِ؛ فقَد فَرَّقَ أصحابُه و العارفونَ بمَذهبِه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المَذاهبِ التي له فيها أقوالٌ، و بَينَ ما لَيسَ له فيه إلّاقولٌ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قائلاً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لا تَعرِفونَ أصحابَ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 و البَحرِ، و السَّهلِ‌</w:t>
      </w:r>
      <w:r>
        <w:rPr>
          <w:rStyle w:val="FootnoteAnchor"/>
          <w:rtl w:val="true"/>
        </w:rPr>
        <w:footnoteReference w:id="799"/>
      </w:r>
      <w:r>
        <w:rPr>
          <w:rFonts w:ascii="Amiri" w:hAnsi="Amiri" w:eastAsia="Amiri" w:cs="Amiri"/>
          <w:color w:val="111111"/>
          <w:sz w:val="28"/>
          <w:sz w:val="28"/>
          <w:szCs w:val="28"/>
          <w:rtl w:val="true"/>
          <w:lang w:bidi="ar-SA"/>
        </w:rPr>
        <w:t>و الجَبَلِ، و السَّهلِ‌</w:t>
      </w:r>
      <w:r>
        <w:rPr>
          <w:rStyle w:val="FootnoteAnchor"/>
          <w:rtl w:val="true"/>
        </w:rPr>
        <w:footnoteReference w:id="800"/>
      </w:r>
      <w:r>
        <w:rPr>
          <w:rFonts w:ascii="Amiri" w:hAnsi="Amiri" w:eastAsia="Amiri" w:cs="Amiri"/>
          <w:color w:val="111111"/>
          <w:sz w:val="28"/>
          <w:sz w:val="28"/>
          <w:szCs w:val="28"/>
          <w:rtl w:val="true"/>
          <w:lang w:bidi="ar-SA"/>
        </w:rPr>
        <w:t xml:space="preserve">و الوَعرِ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 فيهم مَن يَذهبُ إلى ما يُخالِفُ مَن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كذلكَ لَو قالَ في مَذاهبِ الشافعيِّ، لَكُنّا لا نَلتَفِتُ إلى قولِه،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عَلِمنا ضرورةً خِلافَ ما تَذكُرونه، و قَطَعنا على أنّ أحَداً مِن علماءِ أصحابِ أبي حَنيفةَ أو أصحابِ الشافعيِّ لا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أو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خِلافِ ما عَرَفناه، و وقَعَ الإطباقُ عليه مِن هذه المَذاهبِ؛ و أنّ التشكيكَ في ذلكَ كالتشكيكِ في سائرِ الأُمورِ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استَقرَّت هذه الجُملةُ، و كانَ مَذهبُ الإماميّةِ أشَدُّ انحِصاراً و انضِباطاً مِن مَذهبِ جميعِ الأُمّةِ، و كُنّا نَعلَمُ أنّ الأمّةَ مع كَثرةِ عَدَدِها و انتشارِها في أقطارِ الأرضِ قد أجمَعَت على شَيءٍ بعَينِه نأمَنُ أن يَكونَ لها قولٌ سِواه، فأَحرى أن يَصِحَّ في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جُزءٌ مِن كُلِّها و فِرقةٌ مِن فِرَقِها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مَذاهبَهم على سَبيلِ الاستقرارِ و التعيينِ، و إجماعَهم على ما أجمَعوا عليه؛ حتّى يَزولَ عَنّا الريبُ في ذلكَ و الشكُّ فيه، كما زالَ فيما هو أكثَرُ منه و أَنشَرُ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الإمامُ في زمانِ الغَيبةِ موجوداً بَينَهم، و غيرَ مفقودٍ مِن جُملتِهم، فهو واحدٌ مِن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بالسَّبرِ</w:t>
      </w:r>
      <w:r>
        <w:rPr>
          <w:rStyle w:val="FootnoteAnchor"/>
          <w:rtl w:val="true"/>
        </w:rPr>
        <w:footnoteReference w:id="801"/>
      </w:r>
      <w:r>
        <w:rPr>
          <w:rFonts w:ascii="Amiri" w:hAnsi="Amiri" w:eastAsia="Amiri" w:cs="Amiri"/>
          <w:color w:val="111111"/>
          <w:sz w:val="28"/>
          <w:sz w:val="28"/>
          <w:szCs w:val="28"/>
          <w:rtl w:val="true"/>
          <w:lang w:bidi="ar-SA"/>
        </w:rPr>
        <w:t>، و المُخالَطةِ، و طولِ المُباحَثةِ أنّ 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عالِمٍ مِن علماءِ الإماميّةِ قد أجمَعَ على مَذهبٍ بعَينِه، فالإمامُ و هو واحدٌ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ذلكَ، و غيرُ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يُخِلُّ بمَعرفةِ مَذهبِه عدمُ المَعرفةِ بعَينِه، لأنّا لا نَعرِفُ كُلَّ عالِمٍ مِن علماءِ الإماميّةِ و فقيهٍ مِن فقهائها في البِلادِ المتفرِّقةِ، و إن عَلِمنا على سَبيلِ الجُملةِ إجماعَ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أو لَم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بعَينِه؛ فالإمامُ في هذا البابِ كمَن لَم نَعرِفْه مِن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يَعرِضْ لنا شَكٌ في مَذهبِ مَن لا نَعرِفُه مِن الإماميّةِ، لَم يَجُزْ أن يَعرِضَ أيضاً شَكٌّ في قولِ الإمامِ و أنّه في جُملةِ أقوالِ الإماميّةِ، و إن كُنّا لا نُميِّزُ شَخصَه، و لا نَعرِفُ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الطريقَ المُعتَمَدَ</w:t>
      </w:r>
      <w:r>
        <w:rPr>
          <w:rStyle w:val="FootnoteAnchor"/>
          <w:rtl w:val="true"/>
        </w:rPr>
        <w:footnoteReference w:id="802"/>
      </w:r>
      <w:r>
        <w:rPr>
          <w:rFonts w:ascii="Amiri" w:hAnsi="Amiri" w:eastAsia="Amiri" w:cs="Amiri"/>
          <w:color w:val="111111"/>
          <w:sz w:val="28"/>
          <w:sz w:val="28"/>
          <w:szCs w:val="28"/>
          <w:rtl w:val="true"/>
          <w:lang w:bidi="ar-SA"/>
        </w:rPr>
        <w:t>الجَدَدَ</w:t>
      </w:r>
      <w:r>
        <w:rPr>
          <w:rStyle w:val="FootnoteAnchor"/>
          <w:rtl w:val="true"/>
        </w:rPr>
        <w:footnoteReference w:id="803"/>
      </w:r>
      <w:r>
        <w:rPr>
          <w:rFonts w:ascii="Amiri" w:hAnsi="Amiri" w:eastAsia="Amiri" w:cs="Amiri"/>
          <w:color w:val="111111"/>
          <w:sz w:val="28"/>
          <w:sz w:val="28"/>
          <w:szCs w:val="28"/>
          <w:rtl w:val="true"/>
          <w:lang w:bidi="ar-SA"/>
        </w:rPr>
        <w:t>إلى صِحّةِ مَذاهِبنا في فُروعِ الأحكامِ الشرعيّةِ هو هذا الذي بيّنّاه و أَوضَحناه؛ سَواءٌ كانَت المَسائلُ ممّا تَنَفَرِدُ الإماميّةُ بها، أو ممّا يُوافِقُها فيها بعضُ خُصومِها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اتَّفَقَ في بعضِ المَسائلِ غيرُ هذه الطريقةِ،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عليها دليلٌ؛ مِن ظاهرِ كتابِ اللّهِ تَعالى، أو مِن سُنّةِ رسولِ اللّهِ صَلَّى اللّهُ عليه و آلِه مقطوعٍ بها معلومٍ صِحّتُها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اتَّفَقَ في بعضِ الأحكامِ أن تَكونَ معلومةً مِن مَذاهبِ أئمّتِنا المُتقدِّمينَ للإمامِ الغائبِ صَلواتُ اللّهِ عليهم، الذينَ ظَهَروا و عُرِفوا، و سُئلوا و أجابوا، و أَفتَوا و عَلَّموا الأحكامَ؛ فقَد عَلِمنا ضَرورةً أنّ مِن مَذاهبِ أبي جَعفَرٍ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الباقرِ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كُلِّ شَرابٍ مُسكِرٍ، و مَسْحَ الرِّجلَينِ، و تحريمَ المَسحِ علَى الخُفَّينِ، و أنّ تكبيراتِ الصلاةِ علَى الميّتِ خَمسٌ، و أنّ الطلاقَ الثلاثَ بلَفظٍ واحدٍ لا يَقَعُ، و ما جَرى مَجرى هذه المَسائلِ من الأُمورِ التي ظَهَرَت عليهم و اشتَهَرَت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عُلِمَت مَذاهِبُهم، و كانوا عندَنا حُجّةً معصومينَ، كَفى ذلكَ في وقوعِ العِلمِ بها، و القَطعِ على صِحّتِها؛ و لا اعتبارَ بمَن خالَفَنا في العملِ بشَيءٍ ممّا عَدَّدناه عنهم، و دَفَعَ أن يَكونَ مُشارِكاً في المَعرفةِ بذلكَ، لأنّ المُخالِفَ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مُعانِداً، أو مُكابِراً، أو يَكونَ ممّن لَم تَكثُرْ خِلْطتُه لنا، أو تَصفُّحُه لأخبارِنا و سَماعُه مِن رجالِنا؛ لأنّ العِلمَ الضروريَّ رُبَّما وَقَفَ على أسبابٍ؛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أو مُجالَسةٍ، و سَمعِ أخبارٍ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يُنكَرُ أن يَكونَ مَن لَم تَتَّفِقْ خِلْطتُه بأصحابِ أبي حَنيفةَ و سَماعُ أخبارِهم عن صاحبِهم لا يَعلَمونَ مِن مَذاهبِ أبي حَنيفةَ ما يَعلَمُ أصحابُه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مَسألةٍ شَرعيّةٍ اختَلَفَ فيها قولُ الإماميّةِ، و لَم يَكُن عليها دليلٌ من كتابٍ أو سُنّةٍ مقطوعٍ بها؟ كَيفَ الطريقُ إلَى الحقِّ فيها؟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فَرَضتموه قد أَمِنّا وقوعَه؛ لأنّا قد عَلِمنا أنّ اللّهَ تَعالى لا يُخلي المُكلَّفَ مِن حُجّةٍ و طريقٍ للعِلمِ بما كُلِّفَ، و هذه الحادثةُ التي ذَكرناها إذا كانَ للّهِ تَعالى فيها حُكمٌ شَرعيٌّ، و اختَلَفَت الإماميّةُ في وقتِنا هذا فيها، فلَم يُمكِنِ الاعتمادُ على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نَثِقُ بأنّ الحُجّةَ فيه؛ لأجلِ وجودِ الإمامِ 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على هذه المَسألةِ دليلٌ قاطعٌ مِن كتابٍ أو سُنّةٍ مقطوعٍ بها، حتّى لا يَفوتَ المُكلَّفَ طريقٌ للعِلمِ يَصِلُ به إلى تكليفِه</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إلّاأن نَفرِضَ وجودَ حادثةٍ لَيسَ للإماميّةِ فيها قولٌ، على سَبيلِ اتّفاقٍ، أو اختلافٍ؛ فَقد يَجوزُ عندَنا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للّهِ تَعالى فيها حُكمٌ شَرعيٌّ، إذا لَم نَجِدْ في الأدِلّةِ الموجِبةِ للعِلمِ طريقاً إلى عِلمِ حُكمِ هذه الحادثةِ، كُنّا فيها على ما يوجِبُ العقلُ و حُكمُه</w:t>
      </w:r>
      <w:r>
        <w:rPr>
          <w:rFonts w:eastAsia="Amiri" w:cs="Amiri" w:ascii="Amiri" w:hAnsi="Amiri"/>
          <w:color w:val="111111"/>
          <w:sz w:val="28"/>
          <w:szCs w:val="28"/>
          <w:rtl w:val="true"/>
          <w:lang w:bidi="ar-SA"/>
        </w:rPr>
        <w:t>.</w:t>
      </w:r>
      <w:r>
        <w:rPr>
          <w:rStyle w:val="FootnoteAnchor"/>
        </w:rPr>
        <w:footnoteReference w:id="80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7486_97673"/>
      <w:bookmarkStart w:id="474" w:name="pg7486_97673"/>
      <w:bookmarkEnd w:id="474"/>
    </w:p>
    <w:p>
      <w:pPr>
        <w:pStyle w:val="Heading3"/>
        <w:numPr>
          <w:ilvl w:val="2"/>
          <w:numId w:val="1"/>
        </w:numPr>
        <w:rPr/>
      </w:pPr>
      <w:bookmarkStart w:id="475" w:name="pg7486_97673"/>
      <w:bookmarkStart w:id="476" w:name="__RefHeading___Toc2226224_1051229030"/>
      <w:bookmarkStart w:id="477" w:name="_Toc172"/>
      <w:bookmarkEnd w:id="475"/>
      <w:bookmarkEnd w:id="476"/>
      <w:r>
        <w:rPr/>
        <w:t>15</w:t>
      </w:r>
      <w:r>
        <w:rPr>
          <w:rtl w:val="true"/>
        </w:rPr>
        <w:t xml:space="preserve"> - </w:t>
      </w:r>
      <w:r>
        <w:rPr>
          <w:rtl w:val="true"/>
        </w:rPr>
        <w:t xml:space="preserve">ما ذكره في مقدّمة كتاب </w:t>
      </w:r>
      <w:r>
        <w:rPr>
          <w:rtl w:val="true"/>
        </w:rPr>
        <w:t>«</w:t>
      </w:r>
      <w:r>
        <w:rPr>
          <w:rtl w:val="true"/>
        </w:rPr>
        <w:t>الانتصار</w:t>
      </w:r>
      <w:r>
        <w:rPr>
          <w:rtl w:val="true"/>
        </w:rPr>
        <w:t>»</w:t>
      </w:r>
      <w:bookmarkEnd w:id="477"/>
    </w:p>
    <w:p>
      <w:pPr>
        <w:pStyle w:val="BookText"/>
        <w:rPr/>
      </w:pPr>
      <w:r>
        <w:rPr>
          <w:rFonts w:ascii="Amiri" w:hAnsi="Amiri" w:eastAsia="Amiri" w:cs="Amiri"/>
          <w:color w:val="111111"/>
          <w:sz w:val="28"/>
          <w:sz w:val="28"/>
          <w:szCs w:val="28"/>
          <w:rtl w:val="true"/>
          <w:lang w:bidi="ar-SA"/>
        </w:rPr>
        <w:t>قد ذكر الشريف المرتضى هناك كلاماً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عِلمُه أنّ حُجَّةَ الشيعةِ الإماميّةِ في صَوابِ جميعِ مَا انفَرَدَت به أو شارَكَت فيه غَيرَها مِن الفقهاءِ هي إجماعُها عليه؛ لأنَّ إجماعَها حُجَّةٌ قاطعةٌ، و دلالةٌ موجِبَةٌ للعِلمِ، فإنِ انضافَ إلى ذلك ظاهرُ كِتابِ اللّهِ تعالى أو طريقَةٌ أُخرى تُوجِبُ العِلمَ و تُثمِرُ اليَقينَ، فهي فَضيلَةٌ و دَلالَةٌ تَنضافُ إلى أُخرى، و إلّاففي إجماعِهم كِفايَةٌ‌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إجماعَهم حُجَّةٌ؛ لأنّ في إجماعِ الإماميّةِ قولَ الإمامِ الذي دَلَّتِ العُقولُ على أَنَّ كُلَّ زَمانٍ لا يَخلو منه، و أنّه معصومٌ لا يَجوزُ عليه الخَطَأُ في قولٍ و لا فِعلٍ، فمِن هذَا الوجهِ كان إجماعُهم حُجَّةً و دليلاً قاطعاً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صحّةَ هذه الطريقةِ في مواضِعَ مِن كُتُبِنا، و خاصَّةً في جَوابِ مَسائِلِ أبي عَبدِ اللّهِ ابنِ التُّبّانِ‌</w:t>
      </w:r>
      <w:r>
        <w:rPr>
          <w:rStyle w:val="FootnoteAnchor"/>
          <w:rtl w:val="true"/>
        </w:rPr>
        <w:footnoteReference w:id="806"/>
      </w:r>
      <w:r>
        <w:rPr>
          <w:rFonts w:ascii="Amiri" w:hAnsi="Amiri" w:eastAsia="Amiri" w:cs="Amiri"/>
          <w:color w:val="111111"/>
          <w:sz w:val="28"/>
          <w:sz w:val="28"/>
          <w:szCs w:val="28"/>
          <w:rtl w:val="true"/>
          <w:lang w:bidi="ar-SA"/>
        </w:rPr>
        <w:t xml:space="preserve">رحمه اللّه، و في جَوابِ مَسائِلِ أهلِ الموصِلِ </w:t>
      </w:r>
    </w:p>
    <w:p>
      <w:pPr>
        <w:pStyle w:val="BookText"/>
        <w:rPr/>
      </w:pPr>
      <w:r>
        <w:rPr>
          <w:rFonts w:ascii="Amiri" w:hAnsi="Amiri" w:eastAsia="Amiri" w:cs="Amiri"/>
          <w:color w:val="111111"/>
          <w:sz w:val="28"/>
          <w:sz w:val="28"/>
          <w:szCs w:val="28"/>
          <w:rtl w:val="true"/>
          <w:lang w:bidi="ar-SA"/>
        </w:rPr>
        <w:t>الفقهيّةِ‌</w:t>
      </w:r>
      <w:r>
        <w:rPr>
          <w:rStyle w:val="FootnoteAnchor"/>
          <w:rtl w:val="true"/>
        </w:rPr>
        <w:footnoteReference w:id="807"/>
      </w:r>
      <w:r>
        <w:rPr>
          <w:rFonts w:ascii="Amiri" w:hAnsi="Amiri" w:eastAsia="Amiri" w:cs="Amiri"/>
          <w:color w:val="111111"/>
          <w:sz w:val="28"/>
          <w:sz w:val="28"/>
          <w:szCs w:val="28"/>
          <w:rtl w:val="true"/>
          <w:lang w:bidi="ar-SA"/>
        </w:rPr>
        <w:t>الوارِدَةِ في سَنَةِ عِشرينَ و أربَعِمِائةٍ، و في غَيرِ هذينِ المَوضِعَينِ مِن كُتُبِنا</w:t>
      </w:r>
      <w:r>
        <w:rPr>
          <w:rStyle w:val="FootnoteAnchor"/>
          <w:rtl w:val="true"/>
        </w:rPr>
        <w:footnoteReference w:id="808"/>
      </w:r>
      <w:r>
        <w:rPr>
          <w:rFonts w:ascii="Amiri" w:hAnsi="Amiri" w:eastAsia="Amiri" w:cs="Amiri"/>
          <w:color w:val="111111"/>
          <w:sz w:val="28"/>
          <w:sz w:val="28"/>
          <w:szCs w:val="28"/>
          <w:rtl w:val="true"/>
          <w:lang w:bidi="ar-SA"/>
        </w:rPr>
        <w:t>فإنّا فَرَّعنا ذلك و أشبَعناه و استَقصَيناه، و أجَبنا عن كُلِّ سُؤالٍ يُسأَلُ عنه، و حَسَمنا كُلَّ شبهةٍ تَعْتَرِضُ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كيف الطريقُ إلى العِلمِ بأنَّ قولَ الإمامِ المعصومِ في جُملَةِ أقوالِ الإماميّةِ؟ و كيف السبيلُ إلى أن نَعرِفَ مَذاهِبَه، و نحن لا نُمَيِّزُ شَخصَه و عَينَه في أحوالِ غَيبَتِه؟ و أسقَطنا عَجَبَ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أعرِفُه كيف أعرِفُ مَذهَبَه؟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فائدةَ في شَرحِ ذلك هاهنا؛ لأنّ التَّشاغُلَ في هذا الكتابِ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التناهِيَ في معرفةِ صِحَّةِ هذا الأصلِ، رَجَعَ إلى حَيثُ أرشَدناه؛ فإنّه يَجِدُ ما يُوفِي على حاجَتِه، و يَتَجاوَزُ قَدرَ كِفايتِه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كانتِ الجملةُ التي أشَرنا إليها هي الحُجَّةَ في جَميعِ مَذاهِبِ الشيعةِ الإماميّةِ في أحكامِ الفِقهِ، فعلى مَن شَكَّ في شيءٍ مِن مَذاهِبِهم و ارتابَ بصِحَّتِه أن يَسأَلَ عن صِحَّةِ ذلك، فإذا أُقيمَت فيه عليه الحجَّةُ بالطريقةِ التي أشَرنا إليها، وَجَبَ زَوالُ رَيبِهِ و حُصولُ عِلمِه، و بَرِئَت عُهدَةُ القَومِ فيما ذَهَبوا إليه ببَيانِ الحُجَّةِ فيه و الدلالةِ عليه، و ما يَضُرُّهُم بعدَ ذلك خلافُ مَن خالَفَهم؛ كما لا يَنفَعُ وِفاقُ مَن 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اقتَصَرنا على هذه الجُملةِ في تَمامِ الغَرَضِ لَكُفِينا و مَا افتَقَرنا إلى زِيادَةٍ عليها، و لا احتَجنا إلى تَفصيلِ المَسائِلِ و تَعيينِها؛ فإنّ الحُجَّةَ في صِحَّةِ الجَميعِ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نُفَصِّلُ المَسائِلَ و نُعَيِّنُها، و نُبَيِّنُ ما فيه مُوافِقٌ للشيعةِ الإماميّةِ مِن غَيرِهم و إن ظَنَّ مُخالِفوهم أنّه لا مُوافِقَ لهم فيها، ثمّ نُبَيِّنُ مَا انفَرَدوا به مِن غيرِ موافقٍ مِن مُخالِفيهم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نُضيفُ إلى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في صِحَّتِه على جهةِ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لعلّه يُمكِنُ فيه أن يُستَدَلَّ بِه مِن ظاهرِ كِتابِ اللّهِ جَلَّ ثَناؤُه، أو طريقةٍ تُوجِبُ العِلمَ، و كُلَّ ما تَيَسَّرَ مِن تَقوِيَتهِ و تَقريبِه و تَسهيلِ مَرامِه، لِتَكونَ الفائدةُ بذلك أكثَرَ و أغزَرَ، و على اللّهِ تَوَكَّلنا، و هو حَسبُنا و نِعمَ الوَكيلُ</w:t>
      </w:r>
      <w:r>
        <w:rPr>
          <w:rFonts w:eastAsia="Amiri" w:cs="Amiri" w:ascii="Amiri" w:hAnsi="Amiri"/>
          <w:color w:val="111111"/>
          <w:sz w:val="28"/>
          <w:szCs w:val="28"/>
          <w:rtl w:val="true"/>
          <w:lang w:bidi="ar-SA"/>
        </w:rPr>
        <w:t>.</w:t>
      </w:r>
      <w:r>
        <w:rPr>
          <w:rStyle w:val="FootnoteAnchor"/>
        </w:rPr>
        <w:footnoteReference w:id="80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7486_97684"/>
      <w:bookmarkStart w:id="479" w:name="pg7486_97684"/>
      <w:bookmarkEnd w:id="479"/>
    </w:p>
    <w:p>
      <w:pPr>
        <w:pStyle w:val="Heading3"/>
        <w:numPr>
          <w:ilvl w:val="2"/>
          <w:numId w:val="1"/>
        </w:numPr>
        <w:rPr/>
      </w:pPr>
      <w:bookmarkStart w:id="480" w:name="pg7486_97684"/>
      <w:bookmarkStart w:id="481" w:name="__RefHeading___Toc2226226_1051229030"/>
      <w:bookmarkStart w:id="482" w:name="_Toc173"/>
      <w:bookmarkEnd w:id="480"/>
      <w:bookmarkEnd w:id="481"/>
      <w:r>
        <w:rPr/>
        <w:t>16</w:t>
      </w:r>
      <w:r>
        <w:rPr>
          <w:rtl w:val="true"/>
        </w:rPr>
        <w:t xml:space="preserve"> - </w:t>
      </w:r>
      <w:r>
        <w:rPr>
          <w:rtl w:val="true"/>
        </w:rPr>
        <w:t xml:space="preserve">ما ذكره في رسالة </w:t>
      </w:r>
      <w:r>
        <w:rPr>
          <w:rtl w:val="true"/>
        </w:rPr>
        <w:t>«</w:t>
      </w:r>
      <w:r>
        <w:rPr>
          <w:rtl w:val="true"/>
        </w:rPr>
        <w:t>الردّ على أصحاب العدد</w:t>
      </w:r>
      <w:r>
        <w:rPr>
          <w:rtl w:val="true"/>
        </w:rPr>
        <w:t>»</w:t>
      </w:r>
      <w:bookmarkEnd w:id="482"/>
    </w:p>
    <w:p>
      <w:pPr>
        <w:pStyle w:val="BookText"/>
        <w:rPr/>
      </w:pPr>
      <w:r>
        <w:rPr>
          <w:rFonts w:ascii="Amiri" w:hAnsi="Amiri" w:eastAsia="Amiri" w:cs="Amiri"/>
          <w:color w:val="111111"/>
          <w:sz w:val="28"/>
          <w:sz w:val="28"/>
          <w:szCs w:val="28"/>
          <w:rtl w:val="true"/>
          <w:lang w:bidi="ar-SA"/>
        </w:rPr>
        <w:t>قد ذكر الشريف المرتضى في بداية الرسالة كلاماً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توفيقك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أنفذتَه من الكلام المجموع في نصرة العدد في الشهور، و الطعن على مَن ذهب إلى الرؤية و اعتمدها، و لم يلتفت إلى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أُجيب مسألَتك و أشفعُكَ بطلبتك، و أُملي في هذا الباب كلاماً وجيزاً تقع بمثله الكفاية، فإنّ من طوّل من أصحابنا الكلام في هذه المسألة تكلّف ما لا يحتاج إليه، و الأمر فيها أقرب و أهون من أن يَحُوجَ إلى التدقيق و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مسألة إذا تُؤمِّلَتْ عُلم أنّها مسألة إجماع من جميع المسلمين، و الإجماع عليها هو الدليل المعتمد؛ لأنّ الخلاف فيها إنّما ظهر من نفر من أصحاب الحديث المنتمين إلى أصحابنا، و قد تقدّمهم الإجماع و سبقهم، و لا اعتبار بالخلاف الحادث؛ لأنّه لو كان به اعتبار لما استقرّ إجماع، و لا قامت الحجّة 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 ضرورة أنّ أحداً من أهل العلم لم يخالف قديماً في هذه المسألة، و لا جرى بين أهل العلم فيها متقدّماً كلام، ولا نظر ولا جدال، حتّى ظهر من بين أصحابنا فيها هذا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اعتبار بهذا الخلاف، سابقاً كان أم حادثاً متأخّراً؛ لأنّ الخلاف إنّما يعتدّ به إذا وقع ممّن بمثله اعتبار في الإجماع من أهل العلم و الفضل و الدراية و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خالفوا من أصحابنا في هذه المسألة عدد يسير ممّن ليس قوله بحجّة في الأُصول ولا في الفروع، و ليس ممّن كُلِّف النظر في هذه المسألة، و لا فيما هو أجلى منها؛ لقصور فهمه و نقصان فطنته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يعرفوا الحقّ في الأُصول، ولا اعتقدوها بحجّة و لا نظر، بل هم مقلّدون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هذه المسائل، و ليسوا بأهل نظر فيها و لا اجتهاد، و لا وصول إلى الحقّ بالحجّة، و إنّما تعويلهم على التقليد و التسليم 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بان بهذه الجملة أنّ هذه المسألة مسألة إجماع، و الإجماع عندنا حجّة؛ لأنّ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يخلو الزمان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داخل فيه، و هو حجّة؛ لدخول قول من هو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 مواضعَ كثيرةٍ من كتبنا صحّةَ هذه الطريقة، وكيفيّة العلم بالطريق إلى أنّ قول الإمام داخل في أقوال الشيعة وغير منفصل عنها في زمان الغَيْبة، الذي يخفى عنّا فيه قول الإمام على التحقيق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 أبي عبدالله بن التبّان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الكلام هناك في هذه المسألة أيضاً فيما هو جواب مسائل أهل المَوْصِل الواردة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استيفاء الكلام في هذا الباب رجع إلى ما أشرنا إليه من هذه الكتب</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Style w:val="FootnoteAnchor"/>
        </w:rPr>
        <w:footnoteReference w:id="81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3" w:name="pg7486_97691"/>
    </w:p>
    <w:p>
      <w:pPr>
        <w:pStyle w:val="Heading3"/>
        <w:numPr>
          <w:ilvl w:val="2"/>
          <w:numId w:val="1"/>
        </w:numPr>
        <w:rPr/>
      </w:pPr>
      <w:bookmarkStart w:id="484" w:name="__RefHeading___Toc2226228_1051229030"/>
      <w:bookmarkStart w:id="485" w:name="_Toc174"/>
      <w:bookmarkEnd w:id="483"/>
      <w:bookmarkEnd w:id="484"/>
      <w:r>
        <w:rPr/>
        <w:t>17</w:t>
      </w:r>
      <w:r>
        <w:rPr>
          <w:rtl w:val="true"/>
        </w:rPr>
        <w:t xml:space="preserve"> - </w:t>
      </w:r>
      <w:r>
        <w:rPr>
          <w:rtl w:val="true"/>
        </w:rPr>
        <w:t xml:space="preserve">ما ذكره في </w:t>
      </w:r>
      <w:r>
        <w:rPr>
          <w:rtl w:val="true"/>
        </w:rPr>
        <w:t>«</w:t>
      </w:r>
      <w:r>
        <w:rPr>
          <w:rtl w:val="true"/>
        </w:rPr>
        <w:t>رسالة في إبطال العمل بأخبار الآحاد</w:t>
      </w:r>
      <w:r>
        <w:rPr>
          <w:rtl w:val="true"/>
        </w:rPr>
        <w:t>»</w:t>
      </w:r>
      <w:bookmarkEnd w:id="485"/>
    </w:p>
    <w:p>
      <w:pPr>
        <w:pStyle w:val="BookText"/>
        <w:rPr/>
      </w:pPr>
      <w:r>
        <w:rPr>
          <w:rFonts w:ascii="Amiri" w:hAnsi="Amiri" w:eastAsia="Amiri" w:cs="Amiri"/>
          <w:color w:val="111111"/>
          <w:sz w:val="28"/>
          <w:sz w:val="28"/>
          <w:szCs w:val="28"/>
          <w:rtl w:val="true"/>
          <w:lang w:bidi="ar-SA"/>
        </w:rPr>
        <w:t>قد ذكر الشريف المرتضى هناك كلاماً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مُعظَمَ الفقهِ تُعلَمُ ضَرورةً مَذاهِبُ أئمّتِنا عليهم السلامُ فيه بالأخبارِ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شَكٌّ في أنّ الأخبارَ توجِبُ العِلمَ الضروريَّ، فالعِلمُ الّذي لا شُبهةَ فيه و لا رَيبَ يَعتَريهِ حاصلٌ، كالعِلمِ بالأُمورِ الظاهرةِ كُلِّها التي يَدَّعي قومٌ أنّ العِلمَ بها ضَروريٌّ؛ فإنّ الإماميّةَ كُلَّها تَعلَمُ أنّ مِن مَذهَبِ أبي عبدِ اللّهِ جعفرِ بنِ محمّدٍ الصادقِ عليهما السلامُ و آبائه و أبنائه مِن الأئمّةِ عليهم السلامُ إنكارَ غَسلِ الرِّجلَينِ، و إيجابَ مَسحِهما، و إنكارَ المَسحِ على الخُفَّينِ، و أنّ َ‌الطلاق بالثلاثِ لا يَقَعُ، و أنّ كُلَّ مُسكِرٍ حَرامٌ، و ما جَرى مَجرى ذلكَ مِن الأُمورِ التي لا يَختَلِجُ شَكٌّ في أنّها مَذاهِبُهم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فيه على إجماعِ الإماميّةِ؛ لأنّا نَعلَمُ أنّ قولَ إمامِ الزمانِ المعصومِ عليه السلامُ في جُملةِ أقوالِهم، و كُلُّ ما أجمَعوا عليه مقطوعٌ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فَرَّعنا هذه الجُملةَ في مَواضِعَ و بَسَطناها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اختَلَفَ الإماميّةُ فيه، فهو على ضَربَينِ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يَكونُ الخِلافُ فيه مِن الواحدِ و الاِثنَينِ، اللذَينِ عَرَفناهما بأعيانِهما و أنسابِهما، و قَطَعنا على أنّ إمامَ الزمانِ لَيسَ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الضربُ يَكونُ </w:t>
      </w:r>
    </w:p>
    <w:p>
      <w:pPr>
        <w:pStyle w:val="BookText"/>
        <w:rPr/>
      </w:pPr>
      <w:r>
        <w:rPr>
          <w:rFonts w:ascii="Amiri" w:hAnsi="Amiri" w:eastAsia="Amiri" w:cs="Amiri"/>
          <w:color w:val="111111"/>
          <w:sz w:val="28"/>
          <w:sz w:val="28"/>
          <w:szCs w:val="28"/>
          <w:rtl w:val="true"/>
          <w:lang w:bidi="ar-SA"/>
        </w:rPr>
        <w:t>المُعوَّلُ فيه على أقوالِ باقي الشيعةِ الذين هُم الجُلُّ و الجُمهورُ، و لأنّا نَقطَعُ على أنّ قولَ الإمامِ في تلكَ الجِهةِ دونَ قولِ هذا الواحدِ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طائفةٌ كثيرةٌ لا تَتميَّزُ بعَدَدٍ و لا معرفةِ الأعيانِ و الأشخاصِ بمَذهَبٍ و الباقونَ بخِلافِه، فحينئذٍ لا يُمكِنُ الرجوعُ إلَى الإجماعِ و الاِعتمادُ عليه، و يُرجَعُ في الحقِّ مِن ذلكَ إلى نصِّ كتابٍ أو اعتمادٍ على طريقةٍ تُفضي إلَى العِلمِ، كالتمسُّكِ بأصلٍ مّا في العقلِ و نَفيِ ما يَنقُلُ عنه، و ما أشبَهَ ذلكَ مِن الطُّرُقِ التي قد بيّنّاها في مَواضِعَ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ما انفَرَدَت به الإماميّةُ في المَسائلِ الفقهيّةِ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قَدَّرنا أنّه لا طريقَ إلى قَطعٍ علَى الحقِّ فيما اختَلَفوا فيه و بَعُدَ ذلكَ، كُنّا مُخيَّرينَ في تلكَ المسألةِ بَينَ الأقوالِ المُختَلِفةِ؛ لفَقدِ دليلِ التخصيصِ و التعيينِ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القولُ في أحكامِ الحَوادثِ التي تَحدُثُ و لا قولَ للإماميّةِ فيها على وِفاقٍ و لا خِلافٍ</w:t>
      </w:r>
      <w:r>
        <w:rPr>
          <w:rFonts w:eastAsia="Amiri" w:cs="Amiri" w:ascii="Amiri" w:hAnsi="Amiri"/>
          <w:color w:val="111111"/>
          <w:sz w:val="28"/>
          <w:szCs w:val="28"/>
          <w:rtl w:val="true"/>
          <w:lang w:bidi="ar-SA"/>
        </w:rPr>
        <w:t>.</w:t>
      </w:r>
      <w:r>
        <w:rPr>
          <w:rStyle w:val="FootnoteAnchor"/>
        </w:rPr>
        <w:footnoteReference w:id="81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86" w:name="pg7486_97698"/>
    </w:p>
    <w:p>
      <w:pPr>
        <w:pStyle w:val="Heading3"/>
        <w:numPr>
          <w:ilvl w:val="2"/>
          <w:numId w:val="1"/>
        </w:numPr>
        <w:rPr/>
      </w:pPr>
      <w:bookmarkStart w:id="487" w:name="__RefHeading___Toc2226230_1051229030"/>
      <w:bookmarkStart w:id="488" w:name="_Toc175"/>
      <w:bookmarkEnd w:id="486"/>
      <w:bookmarkEnd w:id="487"/>
      <w:r>
        <w:rPr/>
        <w:t>18</w:t>
      </w:r>
      <w:r>
        <w:rPr>
          <w:rtl w:val="true"/>
        </w:rPr>
        <w:t xml:space="preserve"> - </w:t>
      </w:r>
      <w:r>
        <w:rPr>
          <w:rtl w:val="true"/>
        </w:rPr>
        <w:t xml:space="preserve">ما ذكره في رسالة </w:t>
      </w:r>
      <w:r>
        <w:rPr>
          <w:rtl w:val="true"/>
        </w:rPr>
        <w:t>«</w:t>
      </w:r>
      <w:r>
        <w:rPr>
          <w:rtl w:val="true"/>
        </w:rPr>
        <w:t>جوابات المسائل الرسّيّة الأُولى</w:t>
      </w:r>
      <w:r>
        <w:rPr>
          <w:rtl w:val="true"/>
        </w:rPr>
        <w:t>»</w:t>
      </w:r>
      <w:bookmarkEnd w:id="488"/>
    </w:p>
    <w:p>
      <w:pPr>
        <w:pStyle w:val="Heading4"/>
        <w:numPr>
          <w:ilvl w:val="3"/>
          <w:numId w:val="1"/>
        </w:numPr>
        <w:rPr/>
      </w:pPr>
      <w:bookmarkStart w:id="489" w:name="__RefHeading___Toc2226232_1051229030"/>
      <w:bookmarkStart w:id="490" w:name="_Toc176"/>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قد ذكر الشريف المرتضى هناك كلاماً في الإجماع، بعد ذكر مسائلَ و جواباتٍ عنها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226234_1051229030"/>
      <w:bookmarkStart w:id="492" w:name="_Toc177"/>
      <w:bookmarkEnd w:id="491"/>
      <w:r>
        <w:rPr>
          <w:rtl w:val="true"/>
        </w:rPr>
        <w:t>المَسألةُ الحاديةُ و العِشرونَ إثباتُ حُجّيّةِ إجماعِ الطائفةِ‌</w:t>
      </w:r>
      <w:bookmarkEnd w:id="492"/>
    </w:p>
    <w:p>
      <w:pPr>
        <w:pStyle w:val="BookText"/>
        <w:rPr/>
      </w:pPr>
      <w:r>
        <w:rPr>
          <w:rFonts w:ascii="Amiri" w:hAnsi="Amiri" w:eastAsia="Amiri" w:cs="Amiri"/>
          <w:color w:val="111111"/>
          <w:sz w:val="28"/>
          <w:sz w:val="28"/>
          <w:szCs w:val="28"/>
          <w:rtl w:val="true"/>
          <w:lang w:bidi="ar-SA"/>
        </w:rPr>
        <w:t xml:space="preserve">إذا كانَ طريقُ مُعظَمِ الأحكامِ الشرعيّةِ إجماعَ علماءِ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الإمامِ المعصومِ الذي لا يَجوزُ عليه الخَطأُ أحَداً مِن علمائهم، دونَ عامّتِهم و علماءِ غيرِهم، و كانَ العلماءُ مِن هذه الفِرقةِ محصورينَ؛ بدليلِ عدمِ التجويزِ لوجودِ عالِمٍ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فُتياه، مع تَعذُّرِ مَعرِفتِه بعَينِه و اسمِه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هذه القضيّةِ يوجِبُ أحَدَ أُمورٍ، كُلٌّ منها لا يُمكِنُ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كَونُ فُتيا 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المُرتَفِعةِ مَعرفتُه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إجماعِ علماءِ الإماميّةِ؛ و هذا يَمنَعُ مِن الثقةِ بإجماعِهم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فُتياه داخلةً فيهم؛ فهذا يوجِبُ تَعيُّنَه و تَميُّزَ فُتياه، و هذا مُتعذِّرُ الآنَ مع غَيبتِه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حَصولُ فُتياه في جُملة فتياهم، مع تَعذُّر معرفةِ شَخصِه، فهذا يؤدّي إلى تجويزِ عِدّةِ علماءَ لا سَبيلَ إلَى العِلم بتَميُّزِهم؛ لأنّه إذا جازَ في فُتيا الإمامِ و هو سيِّدُ </w:t>
      </w:r>
    </w:p>
    <w:p>
      <w:pPr>
        <w:pStyle w:val="BookText"/>
        <w:rPr/>
      </w:pPr>
      <w:r>
        <w:rPr>
          <w:rFonts w:ascii="Amiri" w:hAnsi="Amiri" w:eastAsia="Amiri" w:cs="Amiri"/>
          <w:color w:val="111111"/>
          <w:sz w:val="28"/>
          <w:sz w:val="28"/>
          <w:szCs w:val="28"/>
          <w:rtl w:val="true"/>
          <w:lang w:bidi="ar-SA"/>
        </w:rPr>
        <w:t xml:space="preserve">العلماءِ و رَئيسُ المِلَّةِ، أن تَتعذَّرَ مَعرفتُه على سَبيلِ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حُصولِها في جُملةِ فُتيا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 علماءِ شيعتِه أجوَزُ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يَمنَعُ مِن القَطعِ عَلى حُصولِ إجماعِهم علَى الحُكمِ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إمساكَه عن النَّكيرِ دَلالةٌ على رِضاه بالفُتيا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طريقةُ المُتقدِّمينَ مِن شُيوخِنا، و قد رَغِبنا عنها، و صَرَّحنا بخِلافِها؛ لأنّ فيها الاعترافَ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 لغَيرِه؛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حُصولُه للغائبِ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قولَ إمامِ الزمانِ و فُتياه في كُلِّ حادثةٍ مِن الشرائعِ لا بُدَّ أن يَكونا في جُملةِ أقوالِ علماءِ الفِرقةِ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كُلُّ عالِمٍ مِن علماءِ الفِرقةِ الإماميّةِ يَعلَمُ بعَينِه و اسمِه و نَسَبِه على سَبيلِ التمييزِ، و إنّما يُعلَمُ على سَبيلِ التفصيلِ بالعَينِ و الاِسمِ و النَّسَبِ مِن علماءِ هذه الطائفةِ مَن اشتَهَرَ باشتهارِ كُتُبِه و تصنيفاتِه و رئاستهِ و أحوالٍ له مخصوصةٍ؛ و إلّا فمَن نَعلَمُه على سَبيلِ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نَعلَمْه على سَبيلِ التفصيلِ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ممّن عَرَفناه بِاسمِه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الذي يَدَّعي مَعرفةَ كُلِّ عالِمٍ مِن علماءِ كُلِّ فِرقةٍ مِن فِرَقِ المُسلِمينَ بعَينِه و اسمِه و نَسَبِه في كُلِّ زمانٍ و على كُلِّ حالٍ؟</w:t>
      </w:r>
    </w:p>
    <w:p>
      <w:pPr>
        <w:pStyle w:val="BookText"/>
        <w:rPr/>
      </w:pPr>
      <w:r>
        <w:rPr>
          <w:rFonts w:ascii="Amiri" w:hAnsi="Amiri" w:eastAsia="Amiri" w:cs="Amiri"/>
          <w:color w:val="111111"/>
          <w:sz w:val="28"/>
          <w:sz w:val="28"/>
          <w:szCs w:val="28"/>
          <w:rtl w:val="true"/>
          <w:lang w:bidi="ar-SA"/>
        </w:rPr>
        <w:t>فعَلى هذا الذي قَرَّرناه، لا يَجِبُ القَطعُ على أنّ مَن لَم نَعرِفْه بعَينِه و اسمِه و نَسَبِه مِن علماءِ الإماميّةِ؛ يَجِبُ نفيُه و القَطعُ على فَقدِه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إذا كُنّا لا نَعلَمُ عَينَ كُلِّ عالِمٍ مِن الإماميّةِ و اسمَه و نَسَبَه وَجَبَ أن لا نَكونَ عالِمينَ علَى الجُملةِ بمَذهبهِ، و أنّه مُوافِقٌ لِمَن عَرَفنا عَينَه و اسمَه و نَسَبَه؛ لأنّ العِلمَ بأقوالِ الفِرَقِ و مَذاهبِها يُعلَمُ ضَرورةً على سَبيلِ الجُملةِ؛ إمّا باللُّقيا </w:t>
      </w:r>
    </w:p>
    <w:p>
      <w:pPr>
        <w:pStyle w:val="BookText"/>
        <w:rPr/>
      </w:pPr>
      <w:r>
        <w:rPr>
          <w:rFonts w:ascii="Amiri" w:hAnsi="Amiri" w:eastAsia="Amiri" w:cs="Amiri"/>
          <w:color w:val="111111"/>
          <w:sz w:val="28"/>
          <w:sz w:val="28"/>
          <w:szCs w:val="28"/>
          <w:rtl w:val="true"/>
          <w:lang w:bidi="ar-SA"/>
        </w:rPr>
        <w:t>أو بالمُشافَهةِ أو بالأخبارِ المُتَواتِرةِ، و إن لَم يَفتَقِرْ هذا العِلمُ إلى تمييزِ الأشخاصِ و تعيينِهم و تَسميَتِهم؛ لأنّا نَعلَمُ ضَرورةً أنّ كُلَّ عالِمٍ مِن علماءِ الإماميّةِ يَذهَبُ إلى أنّ الإمامَ يَجِبُ أن يَكونَ معصوماً منصوصاً عليه، و إن لَم يُعلَمْ كُلَّ قائلٍ بذلكَ و ذاهبٍ إليه بعَينِه و اسمِه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القولُ في العِلمِ بإجماعِ علماءِ كُلِّ فِرقةٍ مِن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فيه مُتميِّزةٌ مِن التفصيلِ، و لَيسَ العِلمُ بالجُملةِ مُفتَقِراً إلَى العلم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أنّه لا إماميَّ لَقيناه و عاصَرناه و شاهَدناه إلّاو هو عندَ المُناظَرة و المُباحَثةِ يُفتي بمِثلِ ما أجمَعَ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سَواءٌ عَرَفناه بنسَبِه و بَلدتِه أو لَم نَعرفْه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كُلُّ اماميٍّ 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شَرقٍ و غَربٍ، و سَهلٍ و جَبَلٍ؛ عَرَفناه بنَسَبه و اسمِه أو لَم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المُتَواترةِ الشائعةِ الذائعةِ التي لا يُمكِنُ إسنادُها إلى جماعةٍ بأعيانِهم؛ لظُهورِها و انتشارِها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كُلَّهم قائلونَ بهذه المَذاهبِ المعروفةِ المألوفةِ، حتّى أنّ مَن خالَفَ منهم في شَيءٍ مِن الفروعِ عُرِفَ خِلافُه، و ضُبِطَ، و مُيِّزَ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استَقصَينا هذا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التُّبانيّاتِ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انَتَهينا فيه إلى أبعَدِ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الإمامَ، لأنّكم لا تَعرِفونَه بعَينِه يُخالِفُ علماءَ الإماميّةِ فيما اتَّفَقوا عليه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خالَفَهم لَما عَلِمنا ضَرورةً اتّفاقَ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هو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المَذاهبِ المخصوصةِ؛ و هَل الإمامُ إلا أحَدُ علماءِ الإماميّةِ، و كَواحدٍ مِن العلماءِ الذين لا نَعرفُهم بنَسَبٍ و لا 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إذا ادَّعَينا إجماعَ الإماميّةِ أو غيرِها على مَذهبٍ مِن المَذاهبِ، فما نَخُصُّ بهذه الدعوى مَن عَرَفناه بِاسمِه و نَسَبِه دونَ مَن لَم نَعرِفْه؛ بَل العِلمُ بالاِتّفاقِ عامٌّ لِمَن عَرَفناه مُفصَّلا و لِمَن لَم نَعرِفْه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إذا كانَ إمامُ الزمانِ غيرَ مُتميِّز الشخصِ و لا معروفَ العَينِ أن لا يَكونَ معروفَ المَذهبِ مُتميِّزَ المَقالةِ؛ لأنّ هذا القولَ يَقتَضي أنّ كُلَّ مَن لَم نعَرِفْه مِن علماءِ الإماميّة أو علماءِ غيرِهم مِن الفرق، فإنّا لا نَعرِفَ مَذهبَه، و لا نَتحقَّقَ مقالتَه؛ و هذا حَدٌّ لا يَبلُغُه 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أتُجوِّزونَ أن يَكونَ في جُملةِ الإماميّةِ عالِمٌ يُخالِفُ هذه الطائفةَ في بعضِ المَسائِل، لَم يَنتَهِ إليكم خبرُه؛ لأنّه ما اشتَهَرَ كاشتهارِ غيرِه، و لا له تصنيفاتٌ سارَت و انتَشَرَت؟</w:t>
      </w:r>
    </w:p>
    <w:p>
      <w:pPr>
        <w:pStyle w:val="BookText"/>
        <w:rPr/>
      </w:pPr>
      <w:r>
        <w:rPr>
          <w:rFonts w:ascii="Amiri" w:hAnsi="Amiri" w:eastAsia="Amiri" w:cs="Amiri"/>
          <w:color w:val="111111"/>
          <w:sz w:val="28"/>
          <w:sz w:val="28"/>
          <w:szCs w:val="28"/>
          <w:rtl w:val="true"/>
          <w:lang w:bidi="ar-SA"/>
        </w:rPr>
        <w:t>فإنْ أَجَزتم ذلكَ فلَعلَّ الإمامَ هو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ارتفاعَ الثقةِ بأنّ‌</w:t>
      </w:r>
      <w:r>
        <w:rPr>
          <w:rStyle w:val="FootnoteAnchor"/>
          <w:rtl w:val="true"/>
        </w:rPr>
        <w:footnoteReference w:id="814"/>
      </w:r>
      <w:r>
        <w:rPr>
          <w:rFonts w:ascii="Amiri" w:hAnsi="Amiri" w:eastAsia="Amiri" w:cs="Amiri"/>
          <w:color w:val="111111"/>
          <w:sz w:val="28"/>
          <w:sz w:val="28"/>
          <w:szCs w:val="28"/>
          <w:rtl w:val="true"/>
          <w:lang w:bidi="ar-SA"/>
        </w:rPr>
        <w:t>قولَ إمامِ الزمانِ داخلٌ لا مَحالةَ في جُملةِ أقوالِ علماءِ الإماميّةِ، و يُبطِلُ ما تَدَّعونَه مِن أنّ الحُجّةَ في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مَنَعتم مِن كَونِ عالِمٍ مِن علمائهم يَخفى خبرُ خِلافِه لهم في بعضِ المَذاهبِ، كابَرتم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في علماءِ الإماميّةِ مَن يُخالِفُ أصحابَه في مَذهبٍ مِن مَذاهبِهم، و يَستَمِرُّ ذلكَ و تَمضيَ عليه الدُّهورُ، فيَنطويَ خبرُ خِلافِه؛ لأنّ العاداتِ ما جَرَت بمِثلِ ذلكَ، لأنّ ما دَعا هذا العالِمَ إلَى الخِلافِ في ذلكَ المَذهبِ يَدعوه إلى إعلانِه و إظهارِه؛ ليُتَّبَعَ فيه و يُقتَدى به في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هذه سبيلَه يَجِبُ بحُكمِ العادةِ ظُهورَه و نَقلُه و حُصولُ العِلمِ به، لا سِيَّما مع استمرارِه و كُرورِ الدُّهورِ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تجويزُ عالِمٍ يَخفى خبرُ خِلافِه إلّاكتجويزِ جماعةٍ مِن العلماءِ يُخالِفونَ مَن عَرَفنا مَذاهبَه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أُصولِ الدينِ، أو في فُروعِه، أو في عِلمِ العربيّةِ و النحوِ، و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فيَخفى خِلافُهم و يَنطَوي أمرُهم؛ و تجويزُ ذلكَ يؤدّي مِن الجَهالاتِ إلى ما هو معروفٌ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لإمامِ الزمانِ عليه السلامُ في هذا البابِ مَزيّةٌ معلومةٌ؛ فلَو جازَ هذا الذي سُئلنا عنه في غيرِه، لَم يَجُز مِثلُه فيه؛ لأنّ الإمامَ قولُه حُجّةٌ، و الجماعةَ التي تُوافِقُه في مَذهبِه إنّما كانَت مُحِقّةً لأجلِ مُوافَقتِها، فلا بُدَّ مِن أن يُظهِرَ ما يَعتَقِدُه و يَذهَبُ إليه حتّى يُعرَفَ مَن يُوافِقُه ممّن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إظهارُه لاعتقادِه و تصريحُه لمَذهبِه ممّا يَقتَضي أن يُعرَفَ هو بنَسَبِه؛ لأنّا قد نَعرِفُ مَذاهبَ مَن لا نَعرِفُ نَسَبَه و لا كَثيراً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يَجوزُ أن يَكونَ للإمامِ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مَذاهبِ الإماميّةِ لا يَكونُ معروفاً مشهوراً بَينَ الإماميّةِ، و هو يَعلَمُ أنّ المَرجِعَ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هذه الطائفةِ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قولَه في جُملة أقوالِها؟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أَجمَعوا على قولٍ هو مُخالِفٌ فيه، هَل له مَندوحةٌ عن إظهارِ خِلافِه و إعلانِه، حتّى يَزولَ الاغترارُ بأنّ إجماعَ الإماميّةِ على خِلافِه؟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قُلنا في مَواضِعَ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اختَلَفَ قولُ الإماميّةِ فيه مِن الأحكامِ، لا يَجوزُ أن يُحتَجَّ فيه بإجماعِ الطائفةِ؛ لأنّها مُختَلفةٌ، و نَحنُ غيرُ عالِمينَ بجِهةِ قولِ الإمام و لِمَن هو مُوافِقُ مِن هؤلاءِ المُختَلِفينَ؟ فلا بُدَّ في مِثلِ ذلكَ مِن الرجوعِ إلى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غيرِ الإجماعِ، يُعلَمُ به الحقُّ ممّا اختَلَفوا فيه؛ فإذا عَلِمنَا قَطَعنا على أنّ قولَ الإمامِ مُوافِقٌ له؛ لأنّ قولَه لا يُخالِفُ الحقَّ و ما تَدُلُّ عليه الأدلّةُ</w:t>
      </w:r>
      <w:r>
        <w:rPr>
          <w:rFonts w:eastAsia="Amiri" w:cs="Amiri" w:ascii="Amiri" w:hAnsi="Amiri"/>
          <w:color w:val="111111"/>
          <w:sz w:val="28"/>
          <w:szCs w:val="28"/>
          <w:rtl w:val="true"/>
          <w:lang w:bidi="ar-SA"/>
        </w:rPr>
        <w:t>.</w:t>
      </w:r>
      <w:r>
        <w:rPr>
          <w:rStyle w:val="FootnoteAnchor"/>
        </w:rPr>
        <w:footnoteReference w:id="81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93" w:name="pg7486_97716"/>
    </w:p>
    <w:p>
      <w:pPr>
        <w:pStyle w:val="Heading3"/>
        <w:numPr>
          <w:ilvl w:val="2"/>
          <w:numId w:val="1"/>
        </w:numPr>
        <w:rPr/>
      </w:pPr>
      <w:bookmarkStart w:id="494" w:name="__RefHeading___Toc2226236_1051229030"/>
      <w:bookmarkStart w:id="495" w:name="_Toc178"/>
      <w:bookmarkEnd w:id="493"/>
      <w:bookmarkEnd w:id="494"/>
      <w:r>
        <w:rPr/>
        <w:t>19</w:t>
      </w:r>
      <w:r>
        <w:rPr>
          <w:rtl w:val="true"/>
        </w:rPr>
        <w:t xml:space="preserve"> - </w:t>
      </w:r>
      <w:r>
        <w:rPr>
          <w:rtl w:val="true"/>
        </w:rPr>
        <w:t xml:space="preserve">ما ذكره في كتاب </w:t>
      </w:r>
      <w:r>
        <w:rPr>
          <w:rtl w:val="true"/>
        </w:rPr>
        <w:t>«</w:t>
      </w:r>
      <w:r>
        <w:rPr>
          <w:rtl w:val="true"/>
        </w:rPr>
        <w:t>الذريعة إلى أُصول الشريعة</w:t>
      </w:r>
      <w:r>
        <w:rPr>
          <w:rtl w:val="true"/>
        </w:rPr>
        <w:t>»</w:t>
      </w:r>
      <w:bookmarkEnd w:id="495"/>
    </w:p>
    <w:p>
      <w:pPr>
        <w:pStyle w:val="Heading4"/>
        <w:numPr>
          <w:ilvl w:val="3"/>
          <w:numId w:val="1"/>
        </w:numPr>
        <w:rPr/>
      </w:pPr>
      <w:bookmarkStart w:id="496" w:name="__RefHeading___Toc2226238_1051229030"/>
      <w:bookmarkStart w:id="497" w:name="_Toc179"/>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قد ذكر الشريف المرتضى هناك باباً في الإجماع يشتمل على فصول، فذكرنا من الباب ما له علاقة بالمقام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226240_1051229030"/>
      <w:bookmarkStart w:id="499" w:name="_Toc180"/>
      <w:bookmarkEnd w:id="498"/>
      <w:r>
        <w:rPr>
          <w:rtl w:val="true"/>
        </w:rPr>
        <w:t>بابُ الكلامِ في الإجماعِ‌</w:t>
      </w:r>
      <w:bookmarkEnd w:id="499"/>
    </w:p>
    <w:p>
      <w:pPr>
        <w:pStyle w:val="Heading5"/>
        <w:numPr>
          <w:ilvl w:val="4"/>
          <w:numId w:val="1"/>
        </w:numPr>
        <w:rPr/>
      </w:pPr>
      <w:bookmarkStart w:id="500" w:name="__RefHeading___Toc2226242_1051229030"/>
      <w:bookmarkStart w:id="501" w:name="_Toc181"/>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اختَلَفَ الناسُ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أكثَرُ المُتكلِّمينَ و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أُمّةِ النبيِّ صَلَّى اللّهُ عليه و آلِه حُجّةٌ، و إنّهم لا يَجوزُ أن يُجمِعوا على باطلٍ</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خالَفَ النظّامُ و مَن تابَعَه في ذلكَ، و نَفى كَونَ 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قومٍ مِن الخَوارجِ مِثلُ ذلكَ‌</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دقيق العيد في شرح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النظّام إنكار حجّيّة الإجماع، و رأيت أبا الحسين الخيّاط أنكر ذلك في نقضه لكتاب الراونديّ و نسبه إلى الكذب، إلّاأنّ النقل مشهور عن النظّام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الجاحظ في كتاب الفُتيا عن النظّام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يُعلم بالعقل أو الكتاب أو إجماع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به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المعتمد،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العدّة للشيخ الطوسيّ،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التلخيص،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المحصول،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البحر المحيط،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أيضاً عن بعضِهم أنّه أحالَ كَونَ الإجماعِ حُجّةً، و ذَهَبَ إلى أنّه لا يَجوزُ في جماعةٍ يَجوزُ الخَطأُ على كُلِّ واحدٍ منها أن يَنتَفيَ عن جماعتِها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نَفَوا كَونَه حُجّةً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أجمَعوا علَى الشيءِ تبخيتاً</w:t>
      </w:r>
      <w:r>
        <w:rPr>
          <w:rStyle w:val="FootnoteAnchor"/>
          <w:rtl w:val="true"/>
        </w:rPr>
        <w:footnoteReference w:id="819"/>
      </w:r>
      <w:r>
        <w:rPr>
          <w:rFonts w:ascii="Amiri" w:hAnsi="Amiri" w:eastAsia="Amiri" w:cs="Amiri"/>
          <w:color w:val="111111"/>
          <w:sz w:val="28"/>
          <w:sz w:val="28"/>
          <w:szCs w:val="28"/>
          <w:rtl w:val="true"/>
          <w:lang w:bidi="ar-SA"/>
        </w:rPr>
        <w:t>فذلكَ لا يَجوزُ اتّباعُه، و إن كانَ توقيفاً عن نَصٍّ فيَجِبُ ظهورُ الحُجّةِ بذلكَ و يُغني عن الإجماعِ، و إن كانَ عن قياسٍ فلَن يَجوزَ مع اختلافِ الهِمَمِ و تَبايُنِ الآراءِ و اختلافِ وجوهِ القياسِ أن يَتَّفِقوا على ذلكَ</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في الناسِ مَن نَفَى الإجماعَ لتَعذُّرِ العِلمِ باتّفاقِ الأُمّةِ، مع أنّها غيرُ معروفةٍ على مَذهبٍ مِن المَذاهبِ</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 حكى الهارونيّ هذه الأقوال الثلاثة و غيرها أدلّة للنظّام و من وافقه في إنكار حجّيّة الإجماع في المجزي،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الذي نَذهَبُ إليه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واقعاً على جميعِ الأُمّةِ، أو علَى المؤمِنينَ منهم، أو علَى العلماءِ فيما يُراعى فيه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الأقسامِ لا بُدَّ مِن أن يَكونَ قولُ الإمامِ المعصومِ داخلاً فيه؛ لأنّه مِن الأُمّةِ و مِن أجَلِّ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و أفضَلِ العلماءِ، فالاِسمُ مُشتَمِلٌ عليه، و ما يَقولُ به المعصومُ لا يَكونُ إلّا حُجّةً و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قولُنا مُوافِقاً لقَولِ مَن يَذهَبُ إلى أنّ الإجماعَ حُجّةٌ في الفتوى، و إنّما الخِلافُ بَينَنا في مَوضِعَينِ إمّا في التعليلِ، أو الدلالةِ؛ لأنّا نُعلِّلُ كَونَ الإجماعِ حُجّةً بأنّ العِلّةَ فيه اشتمالُه على قولِ معصومٍ قد عَلِمَ اللّهُ سُبحانَه أنّه لا يَفعَلُ القَبيحَ مُنفَرِداً و لا مُجتَمِعاً، و أنّه لَو انفَرَدَ لَكانَ قولُه الحُجّةَ، و إنّما نُفتي بأنّ قولَ الجماعةِ التي قولُه فيها مُوافِقٌ لها حُجّةٌ لأجلِ قولِه، لا لشَيءٍ يَرجِعُ إلَى الاجتماعِ معهم، و لا يَتعلَّقُ بِهم</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و مَن خالَفَنا يُعلِّلُ مَذهبَه بأنّ اللّهَ تَعالى عَلِمَ أنّ جميعَ هذه الأُمّةِ لا تَتَّفِقُ على خَطإٍ، و إن جازَ الخَطأُ على كُلِّ واحدٍ منها بانفرادِه، فللإجماعِ تأثيرٌ بخِلافِ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تأثيرَ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نَحنُ فنَستَدِلُّ على صحّةِ الإجماعِ و كَونِه حُجّةً في كُلِّ عَصرٍ بأنّ العقلَ قد دَلَّ على أنّه لا بُدَّ في كُلِّ زمانٍ مِن إمامٍ معصومٍ، لكَونِ ذلكَ لُطفاً في التكليفِ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مذكورٌ مُستَقصىً في كُتُبِ الإمامةِ،</w:t>
      </w:r>
      <w:r>
        <w:rPr>
          <w:rStyle w:val="FootnoteAnchor"/>
          <w:rtl w:val="true"/>
        </w:rPr>
        <w:footnoteReference w:id="823"/>
      </w:r>
      <w:r>
        <w:rPr>
          <w:rFonts w:ascii="Amiri" w:hAnsi="Amiri" w:eastAsia="Amiri" w:cs="Amiri"/>
          <w:color w:val="111111"/>
          <w:sz w:val="28"/>
          <w:sz w:val="28"/>
          <w:szCs w:val="28"/>
          <w:rtl w:val="true"/>
          <w:lang w:bidi="ar-SA"/>
        </w:rPr>
        <w:t xml:space="preserve">فلا معنى للتعرُّضِ له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هذه الجُملةِ يَقتَضي أنّ الإجماعَ في كُلِّ عَصرٍ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مِن الاستدلالِ لا تُوافِقُ مَذاهِبَ مُخالِفينا؛ لأنّ الأصلَ الذي بَنَينا عليه هُم يُخالِفونَ فيه، و لَو تَجاوَزوا عنه لَكانَ ثُبوتُ الحُجّةِ بالإجماعِ على هذا الوجهِ يُنافي مَذاهِبَهم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لاجتماعِ الأُمّةِ تأثيراً في كَونِه حُجّةً، و أنّ بعضَهم في هذا الحُكمِ بخِلافِ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يَستَدِلّونَ هُم به على كَونِ الإجماعِ حُجّةً فإنّما نَطعَنُ فيه نَحنُ لأنّه لا يَدُلُّ على ما ادَّعَوه، و لَو دَلَّ على ذلكَ لَم يَضُرَّنا، و لا يُنافي مَذهَبنا؛ لأنّ شَهادةَ القُرآنِ أو الآياتِ بأنّ الأُمّةَ لا تَجتَمِعُ على ضَلالٍ نَحنُ نَقولُ بفَحواه و معناه، و لَيسَ في الشهادةِ بذلكَ تعليلٌ يُنافي مَذهبَنا، كَما كانَ ذلكَ في تعليلِ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بهذا الشرحِ الذي أطَلناه هاهُنا ما يُحتاجُ إليه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قد دَلَلنا على كَيفيّةِ كَونِ الإجماعِ حُجّةً على مَذهبِنا، فيَنبَغي أن نَعطِفَ إلى ما تَعلَّقَ به مُخالِفونا فنورِدَه، ثُمّ نَتكلَّمَ عليه، و نَحنُ لذلكَ فاعلونَ</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ثمّ قال بعد صفحات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مَن نَفَى الإجماعَ لتَعذُّرِ الطريقِ إليه فجَهالةٌ؛ لأنّا قد نَعلَمُ اجتماعَ الخَلقِ الكثيرِ علَى المَذهبِ الواحدِ و تَرتَفِعُ عنّا الشبهةُ في ذلكَ إمّا بالمُشاهَدةِ أو النقلِ، و نَعلَمُ مِن إجماعِهم و اتّفاقِهم علَى الشيءِ الواحدِ ما يَجري في الجَلاءِ و الظهورِ مَجرَى العِلمِ بالبُلدانِ و الأمصارِ و الوقائعِ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المُسلِمينَ كُلَّهم مُتَّفِقونَ على تحريمِ الخَمرِ و وَطيِ الأُمَّهاتِ و إن لَم نَلقَ كُلَّ مُسلِمٍ في الشرقِ و الغَربِ و السهلِ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أيضاً أنّ اليَهودَ و النصارى مُتَّفِقونَ علَى القولِ بقَتلِ المَسيحِ و صَلبِه و إن كُنّا لَم نَلقَ كُلَّ يَهوديٍّ و نَصرانيٍّ في الشرقِ و الغَربِ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دَفَعَ العِلمَ بما ذَكرناه كانَ مُكابِراً مُباهِتاً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استَقصَينا الكلامَ على هذه الشبهةِ في الجوابِ عن المسائلِ التبّانيّاتِ،</w:t>
      </w:r>
      <w:r>
        <w:rPr>
          <w:rStyle w:val="FootnoteAnchor"/>
          <w:rtl w:val="true"/>
        </w:rPr>
        <w:footnoteReference w:id="825"/>
      </w:r>
      <w:r>
        <w:rPr>
          <w:rFonts w:ascii="Amiri" w:hAnsi="Amiri" w:eastAsia="Amiri" w:cs="Amiri"/>
          <w:color w:val="111111"/>
          <w:sz w:val="28"/>
          <w:sz w:val="28"/>
          <w:szCs w:val="28"/>
          <w:rtl w:val="true"/>
          <w:lang w:bidi="ar-SA"/>
        </w:rPr>
        <w:t>و بَلَغنا فيه الغايةَ، و فيما أشَرنا إليه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أَرى كَثيراً مِن مُخالِفينا يَعجَبونَ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المَرجِعَ في كَونِه حُجّةً إلى قولِ الإمامِ مِن غيرِ أن يَكونَ للإجماعِ تأثيرٌ، و يَنسُبونَنا في إطلاقِ هذه اللفظةِ إلَى اللغوِ و العَبَثِ،</w:t>
      </w:r>
      <w:r>
        <w:rPr>
          <w:rStyle w:val="FootnoteAnchor"/>
          <w:rtl w:val="true"/>
        </w:rPr>
        <w:footnoteReference w:id="826"/>
      </w:r>
      <w:r>
        <w:rPr>
          <w:rFonts w:ascii="Amiri" w:hAnsi="Amiri" w:eastAsia="Amiri" w:cs="Amiri"/>
          <w:color w:val="111111"/>
          <w:sz w:val="28"/>
          <w:sz w:val="28"/>
          <w:szCs w:val="28"/>
          <w:rtl w:val="true"/>
          <w:lang w:bidi="ar-SA"/>
        </w:rPr>
        <w:t>و قد بيّنّا في الكِتابِ الشافي في هذه النكتةِ ما فيه كِفايةٌ</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في الجُملةِ فلَيسَ نَحنُ المُبتَدئينَ بالقولِ بأنّ الإجماعَ حُجّةٌ،</w:t>
      </w:r>
      <w:r>
        <w:rPr>
          <w:rStyle w:val="FootnoteAnchor"/>
          <w:rtl w:val="true"/>
        </w:rPr>
        <w:footnoteReference w:id="828"/>
      </w:r>
      <w:r>
        <w:rPr>
          <w:rFonts w:ascii="Amiri" w:hAnsi="Amiri" w:eastAsia="Amiri" w:cs="Amiri"/>
          <w:color w:val="111111"/>
          <w:sz w:val="28"/>
          <w:sz w:val="28"/>
          <w:szCs w:val="28"/>
          <w:rtl w:val="true"/>
          <w:lang w:bidi="ar-SA"/>
        </w:rPr>
        <w:t>لكِنّا إذا سُئلنا 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إجماعِ المُسلِمينَ على أمرٍ مِن الأُمورِ؟ فلا بُدَّ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و حُجّةٌ لأنّ قولَ الإمامِ المعصومِ الذي لا يَخلو كُلُّ زمانٍ منه لا بُدَّ مِن أن يَكونَ داخلاً في هذا الإجماعِ، فجوابُنا بأنّه حَقٌّ و حُجّةٌ صحيحٌ، و إن كانَت عِلّتُنا في أنّه حُجّةٌ غيرَ عِلّتِهم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سائلاً سألَنا كُلَّنا عن جماعةٍ فيهم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قولُ هذه الجماعةِ حَقٌّ و حُجّةٌ؟ لَما كانَ لنا كُلِّنا بُدٌّ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لأجلِ قولِ النبيِّ صَلَّى اللّهُ عليه و آلِه، و لا نَمتَنِعُ مِن القولِ بذلكَ لأجلِ أنّه لا تأثيرَ لقَولِ باقي الجماعةِ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الكِتابِ الشافي أنّه غيرُ مُمتَنِعٍ أن يَلتَبِسَ في بعضِ الأحوالِ قولُ إمامِ الزمانِ إمّا لغَيبتِه أو لغَيرِها، فلا نَعرِفَ قولَه علَى التعيينِ، فنَفزَعُ في هذا المَوضِعِ إلى إجماعِ الأُمّةِ أو إجماعِ علمائها لِنَعلَمَ دخولَ الإمامِ المعصومِ فيه، و إن كُنّا لا نَعرِفُ شَخصَه و عَينَه، ففي مِثلِ هذا المَوضِعِ نَفتَقِرُ إلى مَعرِفةِ الإجماعِ علَى القولِ لنَعلَمَ دخولَ الحُجّةِ فيه، إذا كانَ قولُ الإمامِ هو الحُجّةُ مُلتَبِساً أو مُشتَبِهاً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02" w:name="pg7486_97730"/>
    </w:p>
    <w:p>
      <w:pPr>
        <w:pStyle w:val="BookText"/>
        <w:rPr/>
      </w:pPr>
      <w:bookmarkEnd w:id="502"/>
      <w:r>
        <w:rPr>
          <w:rFonts w:ascii="Amiri" w:hAnsi="Amiri" w:eastAsia="Amiri" w:cs="Amiri"/>
          <w:color w:val="111111"/>
          <w:sz w:val="28"/>
          <w:sz w:val="28"/>
          <w:szCs w:val="28"/>
          <w:rtl w:val="true"/>
          <w:lang w:bidi="ar-SA"/>
        </w:rPr>
        <w:t>و هذا يَجري مَجرى قولِ المُحصِّلينَ مِن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الذي هو الحُجّةُ هو إجماعُ المؤمِنينَ مِن الأُمّةِ دونَ غيرِهم، لكِنَّ قولَ المؤمِنينَ لمّا لَم يَكُن مُتميِّزاً، وَجَبَ اعتبارُ إجماعِ الكُلِّ ليَدخُلَ ذلكَ فيه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رجعوا بهذا الكلام علينا في الشهداء لم يكن لازماً؛ لأنّا لا نعيّنهم و لا يمتنع لفقد التعيين أن نجعل الإجماع الذي هو حجّة إجماع المؤمنين، و لو تميّزوا لجعلنا إجماعهم هو الحجّة، و ليس كذلك ما قاله القوم؛ لأنّ الإمام عندهم متميّز، فالذي ألزمناهم متوجّه، و هو عنّا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السيّد المرتضى بما تقدّم من احتمال التباس قول الإمام عليه السلام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الشافي في الإمامة،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2226244_1051229030"/>
      <w:bookmarkStart w:id="504" w:name="_Toc182"/>
      <w:bookmarkEnd w:id="503"/>
      <w:r>
        <w:rPr>
          <w:rtl w:val="true"/>
        </w:rPr>
        <w:t>فَصلٌ في الإجماعِ هَل هو حُجّةٌ في شَيءٍ مخصوصٍ أو في كُلِّ شَيءٍ؟</w:t>
      </w:r>
      <w:bookmarkEnd w:id="504"/>
    </w:p>
    <w:p>
      <w:pPr>
        <w:pStyle w:val="BookText"/>
        <w:rPr/>
      </w:pPr>
      <w:r>
        <w:rPr>
          <w:rFonts w:ascii="Amiri" w:hAnsi="Amiri" w:eastAsia="Amiri" w:cs="Amiri"/>
          <w:color w:val="111111"/>
          <w:sz w:val="28"/>
          <w:sz w:val="28"/>
          <w:szCs w:val="28"/>
          <w:rtl w:val="true"/>
          <w:lang w:bidi="ar-SA"/>
        </w:rPr>
        <w:t>اعلَمْ أنّ كُلَّ شَيءٍ أجمَعَت عليه الأُمّةُ فلا بُدَّ مِن كَونِه غيرَ خَطإٍ، و إذا لَم يَكُن خَطأً فلا بُدَّ مِن كَونِه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صَوابٌ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يَصِحُّ أن يُعلَمَ بإجماعِهم، و هذا القِسمُ هو الذي يَكونُ إجماعُهم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لا يُمكِنُ أن يُعلَمَ بإجماعِهم فقَولُهم لَيسَ بحُجّةٍ فيه، و إن كانَ صَواباً، و كَونُ الشيءِ حُجّةً كالمُنفَصِلِ مِن كَونِه صَواباً؛ لأنّ كَونَه صَواباً يَرجِعُ إليه، و كَونَه حُجّةً يَرجِعُ إلى غيرِه</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يَكونُ إجماعُهم حُجّةً فيه فهو كُلُّ أمرٍ صَحَّ أن يُعلَمَ بإجماعِهم، و الذي لا يَصِحُّ أن يُعلَمَ بإجماعِهم ما يَجِبُ أن تَتقدَّمَ مَعرِفتُه على مَعرِفةِ صحّةِ </w:t>
      </w:r>
    </w:p>
    <w:p>
      <w:pPr>
        <w:pStyle w:val="BookText"/>
        <w:rPr/>
      </w:pPr>
      <w:r>
        <w:rPr>
          <w:rFonts w:ascii="Amiri" w:hAnsi="Amiri" w:eastAsia="Amiri" w:cs="Amiri"/>
          <w:color w:val="111111"/>
          <w:sz w:val="28"/>
          <w:sz w:val="28"/>
          <w:szCs w:val="28"/>
          <w:rtl w:val="true"/>
          <w:lang w:bidi="ar-SA"/>
        </w:rPr>
        <w:t>الإجماعِ كالتوحيدِ و العَدلِ و ما أشبَهَهما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كُنّا إنّما نَرجِعُ في كَونِ الإجماعِ حُجّةً إلى قولِ الإمامِ المعصومِ الذي لا يَخلو كُلُّ زمانٍ منه فيَجِبُ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تَقدَّمَت مَعرِفةُ وجوبِ وجودِ الإمامِ المعصومِ في كُلِّ زمانٍ له فقَولُ الإمامِ حُجّةٌ فيه، و الإجماعُ الذي يَدخُلُ هذا القولُ فيه أيضاً حُجّةٌ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لا يُمكِنُ المَعرِفةُ بوجودِ الإمامِ المعصومِ قَبلَ المَعرِفةِ به فقَولُه لَيسَ بحُجّةٍ فيه، كالعقليّاتِ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على أُصولِنا المَعرِفةُ به مِن طريقِ الإجماعِ أَوسَعُ و أكثَرُ ممّا يُمكِنُ أن يُعلَمَ بالإجماعِ على مَذهبِ مُخالِفينا؛ لأنّهم إنّما يَعلَمونَ بالإجماعِ الأحكامَ الشرعيّةَ خاصّةً،</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قال الزركشيّ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أنّه يتلخّص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جريان الإجماع في العقليّات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كلّيّات أُصول الدين كحدوث العالَم فلا يثبت به و بين جزئيّاته كجواز الرؤية فيثبت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نَتمكَّنُ مِن أن نَعلَمَ بالإجماعِ زائداً على ذلكَ فَرضاً و تقديراً النبوّةَ و القُرآنَ و ما شاكَلَ ذلكَ مِن الأُمورِ التي يَصِحُّ أن يَتقدَّمَها العِلمُ بوجوبِ الإمامةِ، فلَو أجمَعَت الأُمّةُ في شَخصٍ بعَينِه أنّه نَبيُّهم، و في كلامٍ بعَينِه أنّه كلامُ اللّهِ سُبحانَه لَعَلِمنا صحّتَهما لسَلامةِ الأصلِ الذي أشَرنا إليه، و صحّةِ تَقدُّمِه على هذه المَعرِفةِ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يَصِحُّ على مَذاهبِنا أن يَعلَمَ صحّةَ الإجماعِ و كَونَه حُجّةً مَن يَجهَلُ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القُرآنِ و نُبوّةَ نَبيِّنا صَلَّى اللّهُ عليه و آلِه؛ لأنّ أصلَ كَونِه حُجّةً لا يَفتَقِرُ إلَى العِلمِ بالنبوّةِ و القُرآنِ، و على مَذهبِ مُخالِفينا لا يَصِحُّ ذلكَ؛ لأنّ الكِتابَ و السنّةَ عندَهم هُما أصلُ كَونِ الإجماعِ حُجّةً</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اختَلَفوا في إجماعِهم على ما يَرجِعُ إلَى الآراءِ في الحُروبِ و ما جَرى مَجراها؛ فذَهَبَ قومٌ إلى أنّ خِلافَهم في ذلكَ لا يَجوزُ أيضاً، و اعتَمَدوا على أنّ الأدلّةَ حَرَّمَت مُخالَفتَهم عموماً،</w:t>
      </w:r>
      <w:r>
        <w:rPr>
          <w:rStyle w:val="FootnoteAnchor"/>
          <w:rtl w:val="true"/>
        </w:rPr>
        <w:footnoteReference w:id="834"/>
      </w:r>
      <w:r>
        <w:rPr>
          <w:rFonts w:ascii="Amiri" w:hAnsi="Amiri" w:eastAsia="Amiri" w:cs="Amiri"/>
          <w:color w:val="111111"/>
          <w:sz w:val="28"/>
          <w:sz w:val="28"/>
          <w:szCs w:val="28"/>
          <w:rtl w:val="true"/>
          <w:lang w:bidi="ar-SA"/>
        </w:rPr>
        <w:t>و جَوَّزَ آخَرونَ أن يُخالَفوا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يَزيدُ حالُهم على حالِ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الصحيحُ أنّ كُلَّ ما لا يَجوزُ خِلافُ الرسولِ أو الإمامِ فيه لا يَجوزُ خِلافُ الإجماعِ أيضاً فيه؛ لأنّ المَرجِعَ في أنّ الإجماعَ حُجّةٌ لا تَجوزُ مُخالَفتُه إلى أنّه مُشتَمِلٌ على قولِ الحُجّةِ مِن الإمامِ أو مَن جَرى مَجراه، و خِلافُ النبيِّ صَلَّى اللّهُ عليه و آلِه في آراءِ الحُروبِ لا يَجوزُ؛ لأنّها صادرةٌ عن وَحيٍ، و لها تَعلُّقٌ قويٌّ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رَجَعَت إلى آرائه في نفسِه لَم يَجُز مُخالَفَتُه فيها لأجلِ التنفيرِ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آراءُ الإمامِ فيما يَتعلَّقُ بالسياساتِ الدينيّةِ و الدنيويّةِ لا يَجوزُ مُخالَفتُها لأنّها تُنفِّرُ عنه، و تَضَعُ منه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يَنقَسِمُ الإجماعُ إلى أقسامٍ؛ و هي أن يُجمِعوا علَى الشيءِ قولاً، أو فعلاً، أو اعتقاداً، أو 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يَنفَرِدُ كُلُّ واحدٍ مِن هذه الأقسامِ، و قد يَجتَمِعُ مع غيرِه</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لا يَجوزُ أن يُجمِعوا علَى الذهابِ عن عِلمِ ما يَجِبُ أن يَعلَموه، و الوجهُ في ذلكَ أنّ إخلالَهم بالواجبِ يَجري في استحقاقِ الذمِّ و العِقابِ به مَجرى فعلِ القَبيحِ، و إذا كانَ المعصومُ لا يَجوزُ عليه الأمرانِ مَنَعنا ذلكَ في كُلِّ جماعةٍ يَكونُ هذا المعصومُ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استَدَلَّ مِن مُخالِفينا على صحّةِ الإجماعِ بالخبرِ، و طَعَنَ في دَلالةِ الآياتِ، فيَلزَمُه تجويزُ الذهابِ عمّا يَجِبُ عِلمُه عليهم؛ لأنّ الخبرَ إنّما نَفى أن يُجمِعوا على خَطإٍ، و لَم يَتضمَّنْ نَفيَ الإخلالِ بالواجبِ، و لفظُه لا يَقتَضيه</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فأمّا ما لا يَجِبُ أن يَعرِفوه، و لَم يُنصَبْ لهُم دليلٌ عليه، فيَجوزُ ذَهابُهم عن عِلمِه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تَجتَمِعَ الأُمّةُ علَى الخَطإ في مسألتَينِ، كَما لا يَجوزُ أن تَجتَمِعَ علَى الخَطإ في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هذه المسألةِ على مَذهبِنا واضحٌ؛ لأنّ تجويزَ ذلكَ يؤَدّي إلى خَطإ المعصومِ، لأنّه إذا كانَ لا بُدَّ مِن أن يَكونَ إمّا في هذه الطائفةِ أو في الأُخرى، و كُلُّ واحدةٍ منهما مُخطئةٌ، فهو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مُخالِفونا في عِلّةِ الإجماعِ فإنّما يَعتَمِدونَ في نَفيِ الخَطإ عن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نَفَى الخَطأَ عن أُمّتِه نَفياً عامّاً، و لَم يُفرِّقْ بَينَ المسألةِ و المسألتَينِ، فيَجِبُ نَفيُ الكُلِّ</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505" w:name="pg7486_97743"/>
    </w:p>
    <w:p>
      <w:pPr>
        <w:pStyle w:val="Heading5"/>
        <w:numPr>
          <w:ilvl w:val="4"/>
          <w:numId w:val="1"/>
        </w:numPr>
        <w:rPr/>
      </w:pPr>
      <w:bookmarkStart w:id="506" w:name="__RefHeading___Toc2226246_1051229030"/>
      <w:bookmarkStart w:id="507" w:name="_Toc183"/>
      <w:bookmarkEnd w:id="505"/>
      <w:bookmarkEnd w:id="506"/>
      <w:r>
        <w:rPr>
          <w:rtl w:val="true"/>
        </w:rPr>
        <w:t>فَصلٌ في ذِكرِ مَن يَدخُلُ في الإجماعِ الذي هو حُجّةٌ‌</w:t>
      </w:r>
      <w:bookmarkEnd w:id="507"/>
    </w:p>
    <w:p>
      <w:pPr>
        <w:pStyle w:val="BookText"/>
        <w:rPr/>
      </w:pPr>
      <w:r>
        <w:rPr>
          <w:rFonts w:ascii="Amiri" w:hAnsi="Amiri" w:eastAsia="Amiri" w:cs="Amiri"/>
          <w:color w:val="111111"/>
          <w:sz w:val="28"/>
          <w:sz w:val="28"/>
          <w:szCs w:val="28"/>
          <w:rtl w:val="true"/>
          <w:lang w:bidi="ar-SA"/>
        </w:rPr>
        <w:t xml:space="preserve">اعلَمْ أنّ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أُصولِنا في عِلّةِ كَونِ الإجماعِ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كالمُستَغنى عنه؛ لأنّ الإجماعَ إذا كانَ عِلّةُ كَونِه حُجّةً كَونَ الإمامِ فيه، فكُلُّ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 الإمامِ في جُملةِ أقوالِها فإجماعُها حُجّةٌ؛ لأنّ الحُجّةَ إذا كانَ هو قولَه، فبأيِّ شَيءٍ اقتَرَنَ لا بُدَّ مِن كَونِه حُجّةً لأجلِه، لا لأجلِ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قولُ مَن خالَفَنا في هذه المسألةِ</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كلّ المصدّقين على اختلاف أحوالهم، و قولهم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المؤمنين منهم و الشهداء، إلّاأن لا يتميّز قولهم، فيُعتبر قول غيرهم ممّن يُعلم معه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أكثر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من يُعلم فيما يُظهره أنّ باطنه كظاهره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الأمّة، إلّاالعدد القليل الذي يُعدّ في الشذوذ، فخلافهم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العلماء دون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الحادثة إذا كانت من باب الفقه إلّاإجماع الفقهاء، دون سائر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إجماع عترة الرسول و أهل بيته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 أصحاب الأقوال، انظر المغني،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الذي هو حُجّةٌ هو إجماعُ جميعِ الأُمّةِ المُصدِّقةِ بالرسولِ عليه السلامُ‌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إجماعُ المؤمِنينَ خاصّةً</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فيهم مَن ذَهَبَ إلى أنّ الإجماعَ الذي هو حُجّةٌ هو إجماعُ الفقهاءِ</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لا معنى لخَوضِنا في هذا الخِلافِ؛ لأنّ أُصولَنا تَقتَضي سِواه، و قد بيّنّا ما يَجِبُ أن يُعتَمَدَ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الواحدِ و الاِثنَينِ إذا خالَفا ما عليه الجماعةُ؛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بخِلافِ واحدٍ و اثنَينِ لأنّه شاذٌّ خارجٌ عن قولِ الجماعةِ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 الواحدِ و الاِثنَينِ يُخرِجُ القولَ مِن أن يَكونَ إجماعاً</w:t>
      </w:r>
      <w:r>
        <w:rPr>
          <w:rFonts w:eastAsia="Amiri" w:cs="Amiri" w:ascii="Amiri" w:hAnsi="Amiri"/>
          <w:color w:val="111111"/>
          <w:sz w:val="28"/>
          <w:szCs w:val="28"/>
          <w:rtl w:val="true"/>
          <w:lang w:bidi="ar-SA"/>
        </w:rPr>
        <w:t>.</w:t>
      </w:r>
      <w:r>
        <w:rPr>
          <w:rStyle w:val="FootnoteAnchor"/>
        </w:rPr>
        <w:footnoteReference w:id="84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القولُ الثاني أشبَهُ بالصوابِ على مَذاهبِهم؛ لأنّ الإجماعَ الذي هو حُجّةٌ إذا كانَ هو إجماعَ الأُمّةِ أو المؤمِنينَ فخروجُ بعضِهم عنه يُخرِجُه مِن تَناوُلِ الاِسمِ</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الذي يَجِبُ أن يُعوَّلَ عليه في هذه المسألةِ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الواحدُ و الاِثنانِ المُخالِفانِ لِما عليه الجماعةُ مِن أن يَكونَ إمامُ الزمانِ المعصومُ أحَدَهما قَطعاً أو تجويزاً، أو أن يُعلَمَ أنّه لَيسَ بأحَدِهما قَطعاً 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الأوّلُ يَقتَضي أن يَكونَ قولُ الجماعةِ و إن كَثُرَت هو الخَطأَ، و قولُ الواحدِ و الاِثنينِ لأجلِ اشتمالِه على قولِ الإمامِ هو الحَقَّ 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القِسمُ الثاني فإنّا لا نَعتَدُّ فيه بقَولِ الواحدِ و الاِثنَينِ؛ لعِلمِنا بخروجِ قولِ الإمامِ عن قولِهما و أنّ قولَه في أقوالِ تلكَ الجماعةِ، بَل نَقطَعُ على أنّ إجماعَ 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جميعَ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 الحُجّةُ، لكَونِ الإمامِ فيه و خروجِه عن قولِ مَن شَذَّ عنها و خالَفَها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كلامَنا في هذا الفَصلِ و ما حَقَّقناه و فَصَّلناه مِن سببِ كَونِ الإجماعِ حُجّةً و عِلّتِه، عَلِمَ استغناءَنا عن الكلامِ فيما تَكلَّمَ مُخالِفونا عليه في كُتُبِهم مِن أقسامِ الإجماعِ، و ما يُراعى فيه إجماعُ الأُمّةِ كُلِّها أو العلماءِ أو الفقهاءِ، و ما بَينَهم في ذلكَ مِن الخِلافِ،</w:t>
      </w:r>
      <w:r>
        <w:rPr>
          <w:rStyle w:val="FootnoteAnchor"/>
          <w:rtl w:val="true"/>
        </w:rPr>
        <w:footnoteReference w:id="847"/>
      </w:r>
      <w:r>
        <w:rPr>
          <w:rFonts w:ascii="Amiri" w:hAnsi="Amiri" w:eastAsia="Amiri" w:cs="Amiri"/>
          <w:color w:val="111111"/>
          <w:sz w:val="28"/>
          <w:sz w:val="28"/>
          <w:szCs w:val="28"/>
          <w:rtl w:val="true"/>
          <w:lang w:bidi="ar-SA"/>
        </w:rPr>
        <w:t>فإنّ خِلافَهم في ذلكَ إنّما ساغَ لأنّ أُصولَهم في عِلّةِ كَونِ الإجماعِ حُجّةً غيرُ أُصولِنا، ففَرَّعوا الكلامَ بحَسَبِ أُصولِهم، و نَحنُ مُستَغنونَ عن الكلامِ في تلكَ الفُروعِ لأنّ أُصولَنا لا تَقتَضيها، و قد بيّنّا مِن ذلكَ ما يَرفَعُ الشبهةَ</w:t>
      </w:r>
      <w:r>
        <w:rPr>
          <w:rFonts w:eastAsia="Amiri" w:cs="Amiri" w:ascii="Amiri" w:hAnsi="Amiri"/>
          <w:color w:val="111111"/>
          <w:sz w:val="28"/>
          <w:szCs w:val="28"/>
          <w:rtl w:val="true"/>
          <w:lang w:bidi="ar-SA"/>
        </w:rPr>
        <w:t>.</w:t>
      </w:r>
      <w:r>
        <w:rPr>
          <w:rStyle w:val="FootnoteAnchor"/>
        </w:rPr>
        <w:footnoteReference w:id="84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08" w:name="pg7486_97753"/>
    </w:p>
    <w:p>
      <w:pPr>
        <w:pStyle w:val="Heading3"/>
        <w:numPr>
          <w:ilvl w:val="2"/>
          <w:numId w:val="1"/>
        </w:numPr>
        <w:rPr/>
      </w:pPr>
      <w:bookmarkStart w:id="509" w:name="__RefHeading___Toc2226248_1051229030"/>
      <w:bookmarkStart w:id="510" w:name="_Toc184"/>
      <w:bookmarkEnd w:id="508"/>
      <w:bookmarkEnd w:id="509"/>
      <w:r>
        <w:rPr/>
        <w:t>20</w:t>
      </w:r>
      <w:r>
        <w:rPr>
          <w:rtl w:val="true"/>
        </w:rPr>
        <w:t xml:space="preserve"> - </w:t>
      </w:r>
      <w:r>
        <w:rPr>
          <w:rtl w:val="true"/>
        </w:rPr>
        <w:t xml:space="preserve">ما ذكره في رسالة </w:t>
      </w:r>
      <w:r>
        <w:rPr>
          <w:rtl w:val="true"/>
        </w:rPr>
        <w:t>«</w:t>
      </w:r>
      <w:r>
        <w:rPr>
          <w:rtl w:val="true"/>
        </w:rPr>
        <w:t>جواب المسائل الميّافارقيات</w:t>
      </w:r>
      <w:r>
        <w:rPr>
          <w:rtl w:val="true"/>
        </w:rPr>
        <w:t>»</w:t>
      </w:r>
      <w:bookmarkEnd w:id="510"/>
    </w:p>
    <w:p>
      <w:pPr>
        <w:pStyle w:val="Heading4"/>
        <w:numPr>
          <w:ilvl w:val="3"/>
          <w:numId w:val="1"/>
        </w:numPr>
        <w:rPr/>
      </w:pPr>
      <w:bookmarkStart w:id="511" w:name="__RefHeading___Toc2226250_1051229030"/>
      <w:bookmarkStart w:id="512" w:name="_Toc185"/>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قد تعرّض الشريف المرتضى في موضعين من هذه الرسالة لهذا المقال</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226252_1051229030"/>
      <w:bookmarkStart w:id="514" w:name="_Toc186"/>
      <w:bookmarkEnd w:id="513"/>
      <w:r>
        <w:rPr>
          <w:rtl w:val="true"/>
        </w:rPr>
        <w:t>ألف</w:t>
      </w:r>
      <w:r>
        <w:rPr>
          <w:rtl w:val="true"/>
        </w:rPr>
        <w:t xml:space="preserve">: </w:t>
      </w:r>
      <w:r>
        <w:rPr>
          <w:rtl w:val="true"/>
        </w:rPr>
        <w:t>تعيين يوم الظهور و أنّه عليه السلام هل يشاهدنا أم لا؟</w:t>
      </w:r>
      <w:bookmarkEnd w:id="514"/>
    </w:p>
    <w:p>
      <w:pPr>
        <w:pStyle w:val="Heading5"/>
        <w:numPr>
          <w:ilvl w:val="4"/>
          <w:numId w:val="1"/>
        </w:numPr>
        <w:rPr/>
      </w:pPr>
      <w:bookmarkStart w:id="515" w:name="__RefHeading___Toc2226254_1051229030"/>
      <w:bookmarkStart w:id="516" w:name="_Toc187"/>
      <w:bookmarkEnd w:id="515"/>
      <w:r>
        <w:rPr>
          <w:rtl w:val="true"/>
        </w:rPr>
        <w:t>مَسألة ثانية و عشرونَ</w:t>
      </w:r>
      <w:r>
        <w:rPr>
          <w:rtl w:val="true"/>
        </w:rPr>
        <w:t xml:space="preserve">: </w:t>
      </w:r>
      <w:r>
        <w:rPr>
          <w:rtl w:val="true"/>
        </w:rPr>
        <w:t>لصاحبِ الزمانِ عليه السلام يومٌ معلومٌ يَظهَرُ فيه؟ و هَل يُشاهِدُنا، أم لا؟</w:t>
      </w:r>
      <w:bookmarkEnd w:id="516"/>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يُمكِنُ نَعتُ الوقتِ الذي يَظهَرُ فيه صاحبُ الزمانِ عليه السلامُ، و إنّما يُعلَمُ على سَبيلِ الجُملةِ أنّه يَظهَرُ في الوقتِ الذي يأمَنُ فيه المَخافة، و تَزولُ عنه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عليه السلامُ مُشاهِدٌ لنا، و مُحيطٌ لنا، و غيرُ خافٍ عليه شَيءٌ مِن أحوالِنا</w:t>
      </w:r>
      <w:r>
        <w:rPr>
          <w:rFonts w:eastAsia="Amiri" w:cs="Amiri" w:ascii="Amiri" w:hAnsi="Amiri"/>
          <w:color w:val="111111"/>
          <w:sz w:val="28"/>
          <w:szCs w:val="28"/>
          <w:rtl w:val="true"/>
          <w:lang w:bidi="ar-SA"/>
        </w:rPr>
        <w:t>.</w:t>
      </w:r>
      <w:r>
        <w:rPr>
          <w:rStyle w:val="FootnoteAnchor"/>
          <w:rtl w:val="true"/>
        </w:rPr>
        <w:footnoteReference w:id="849"/>
      </w:r>
    </w:p>
    <w:p>
      <w:pPr>
        <w:pStyle w:val="Heading4"/>
        <w:numPr>
          <w:ilvl w:val="3"/>
          <w:numId w:val="1"/>
        </w:numPr>
        <w:rPr/>
      </w:pPr>
      <w:bookmarkStart w:id="517" w:name="__RefHeading___Toc2226256_1051229030"/>
      <w:bookmarkStart w:id="518" w:name="_Toc188"/>
      <w:bookmarkEnd w:id="517"/>
      <w:r>
        <w:rPr>
          <w:rtl w:val="true"/>
        </w:rPr>
        <w:t>ب</w:t>
      </w:r>
      <w:r>
        <w:rPr>
          <w:rtl w:val="true"/>
        </w:rPr>
        <w:t xml:space="preserve">: </w:t>
      </w:r>
      <w:r>
        <w:rPr>
          <w:rtl w:val="true"/>
        </w:rPr>
        <w:t>الكلام في الرجعة</w:t>
      </w:r>
      <w:r>
        <w:rPr>
          <w:rtl w:val="true"/>
        </w:rPr>
        <w:t>:</w:t>
      </w:r>
      <w:bookmarkEnd w:id="518"/>
    </w:p>
    <w:p>
      <w:pPr>
        <w:pStyle w:val="Heading5"/>
        <w:numPr>
          <w:ilvl w:val="4"/>
          <w:numId w:val="1"/>
        </w:numPr>
        <w:rPr/>
      </w:pPr>
      <w:bookmarkStart w:id="519" w:name="__RefHeading___Toc2226258_1051229030"/>
      <w:bookmarkStart w:id="520" w:name="_Toc189"/>
      <w:bookmarkEnd w:id="519"/>
      <w:r>
        <w:rPr>
          <w:rtl w:val="true"/>
        </w:rPr>
        <w:t>المسألة الستّون</w:t>
      </w:r>
      <w:r>
        <w:rPr>
          <w:rtl w:val="true"/>
        </w:rPr>
        <w:t xml:space="preserve">: </w:t>
      </w:r>
      <w:r>
        <w:rPr>
          <w:rtl w:val="true"/>
        </w:rPr>
        <w:t>الاعتقاد في الرجعة عند ظهور القائم عليه السلام و ما في الرجعة</w:t>
      </w:r>
      <w:r>
        <w:rPr>
          <w:rtl w:val="true"/>
        </w:rPr>
        <w:t>:</w:t>
      </w:r>
      <w:bookmarkEnd w:id="52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الرَّجعةِ أنّ اللّهَ تَعالى يُحيي قَوماً ممّن تُوفّيَ قَبلَ ظُهورِ القائمِ عليه السلامُ مِن مَواليه و شيعَتِه؛ ليَفوزُوا بمُباشَرةِ نُصرَتِه و طاعتِه و قِتالِ أعدائه، </w:t>
      </w:r>
    </w:p>
    <w:p>
      <w:pPr>
        <w:pStyle w:val="BookText"/>
        <w:rPr/>
      </w:pPr>
      <w:r>
        <w:rPr>
          <w:rFonts w:ascii="Amiri" w:hAnsi="Amiri" w:eastAsia="Amiri" w:cs="Amiri"/>
          <w:color w:val="111111"/>
          <w:sz w:val="28"/>
          <w:sz w:val="28"/>
          <w:szCs w:val="28"/>
          <w:rtl w:val="true"/>
          <w:lang w:bidi="ar-SA"/>
        </w:rPr>
        <w:t>و لا يَفوتَهم ثَوابُ هذه المَنزِلةِ الجَليلةِ التي لَم يُنكِروها؛ حتّى لا يُستَبدَلَ عليهم بهذه المنزلة غيرُهم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تَعالى قادرٌ على احياءِ المَوتى؛ فلا معنى لتَعجُّبِ المُخالِفينَ لهذه الحالِ و استبعادِهم</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521" w:name="pg7486_97759"/>
    </w:p>
    <w:p>
      <w:pPr>
        <w:pStyle w:val="Heading2"/>
        <w:numPr>
          <w:ilvl w:val="1"/>
          <w:numId w:val="1"/>
        </w:numPr>
        <w:rPr/>
      </w:pPr>
      <w:bookmarkStart w:id="522" w:name="__RefHeading___Toc2226260_1051229030"/>
      <w:bookmarkStart w:id="523" w:name="_Toc190"/>
      <w:bookmarkEnd w:id="521"/>
      <w:bookmarkEnd w:id="522"/>
      <w:r>
        <w:rPr>
          <w:rtl w:val="true"/>
        </w:rPr>
        <w:t>الفهارس العامّة</w:t>
      </w:r>
      <w:bookmarkEnd w:id="523"/>
    </w:p>
    <w:p>
      <w:pPr>
        <w:pStyle w:val="Heading3"/>
        <w:numPr>
          <w:ilvl w:val="2"/>
          <w:numId w:val="1"/>
        </w:numPr>
        <w:rPr/>
      </w:pPr>
      <w:bookmarkStart w:id="524" w:name="__RefHeading___Toc2226262_1051229030"/>
      <w:bookmarkStart w:id="525" w:name="_Toc191"/>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اشارة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الأديان، و الفرق و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الجماعات و 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الأيّام و الوقايع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الأشياء و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7486_97765"/>
      <w:bookmarkStart w:id="527" w:name="pg7486_97765"/>
      <w:bookmarkEnd w:id="527"/>
    </w:p>
    <w:p>
      <w:pPr>
        <w:pStyle w:val="Heading3"/>
        <w:numPr>
          <w:ilvl w:val="2"/>
          <w:numId w:val="1"/>
        </w:numPr>
        <w:rPr/>
      </w:pPr>
      <w:bookmarkStart w:id="528" w:name="pg7486_97765"/>
      <w:bookmarkStart w:id="529" w:name="__RefHeading___Toc2226264_1051229030"/>
      <w:bookmarkStart w:id="530" w:name="_Toc192"/>
      <w:bookmarkEnd w:id="528"/>
      <w:bookmarkEnd w:id="529"/>
      <w:r>
        <w:rPr>
          <w:rtl w:val="true"/>
        </w:rPr>
        <w:t>(</w:t>
      </w:r>
      <w:r>
        <w:rPr/>
        <w:t>1</w:t>
      </w:r>
      <w:r>
        <w:rPr>
          <w:rtl w:val="true"/>
        </w:rPr>
        <w:t xml:space="preserve">) </w:t>
      </w:r>
      <w:r>
        <w:rPr>
          <w:rtl w:val="true"/>
        </w:rPr>
        <w:t>فهرس الآيات</w:t>
      </w:r>
      <w:bookmarkEnd w:id="530"/>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يُكَلِّمُ النَّاسَ فِى الْمَهْدِ وَ كَهْلاً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وُقِفُوا عَلَى النَّارِ فَقالُوا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يُخْفُونَ مِنْ قَبْلُ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أَنَّنا نَزَّلْنا إِلَيْهِمُ الْمَلائِكَةَ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يَأْتِى بَعْضُ آياتِ رَبِّك لا يَنْفَعُ نَفْساً إِيمانُها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اللّهُ فِيهِمْ خَيْراً لأََسْمَعَهُمْ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 الغَرَقُ قالَ آمَنْتُ أَنَّهُ لا إِلهَ إِلَّا الَّذِى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فِى الأَرْضِ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فِى الأَرْضِ وَ نُرِىَ فِرْعَوْنَ وَ هامانَ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أَدْنَى الأَْرْضِ وَ هُمْ مِنْ بَعْدِ غَلَبِهِمْ سَيَغْلِبُونَ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لَعْنَتِى إِلى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 مِمَّنْ تَبِعَك مِنْهُمْ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أَبِى لَهَبٍ وَ 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531" w:name="pg7486_97774"/>
    </w:p>
    <w:p>
      <w:pPr>
        <w:pStyle w:val="Heading3"/>
        <w:numPr>
          <w:ilvl w:val="2"/>
          <w:numId w:val="1"/>
        </w:numPr>
        <w:rPr/>
      </w:pPr>
      <w:bookmarkStart w:id="532" w:name="__RefHeading___Toc2226266_1051229030"/>
      <w:bookmarkStart w:id="533" w:name="_Toc193"/>
      <w:bookmarkEnd w:id="531"/>
      <w:bookmarkEnd w:id="532"/>
      <w:r>
        <w:rPr>
          <w:rtl w:val="true"/>
        </w:rPr>
        <w:t>(</w:t>
      </w:r>
      <w:r>
        <w:rPr/>
        <w:t>2</w:t>
      </w:r>
      <w:r>
        <w:rPr>
          <w:rtl w:val="true"/>
        </w:rPr>
        <w:t xml:space="preserve">) </w:t>
      </w:r>
      <w:r>
        <w:rPr>
          <w:rtl w:val="true"/>
        </w:rPr>
        <w:t>فهرس الأحاديث</w:t>
      </w:r>
      <w:bookmarkEnd w:id="533"/>
    </w:p>
    <w:p>
      <w:pPr>
        <w:pStyle w:val="BookText"/>
        <w:rPr/>
      </w:pPr>
      <w:r>
        <w:rPr>
          <w:rFonts w:ascii="Amiri" w:hAnsi="Amiri" w:eastAsia="Amiri" w:cs="Amiri"/>
          <w:color w:val="111111"/>
          <w:sz w:val="28"/>
          <w:sz w:val="28"/>
          <w:szCs w:val="28"/>
          <w:rtl w:val="true"/>
          <w:lang w:bidi="ar-SA"/>
        </w:rPr>
        <w:t>النبيّ صلى الله عليه و آله</w:t>
      </w:r>
    </w:p>
    <w:p>
      <w:pPr>
        <w:pStyle w:val="BookText"/>
        <w:rPr/>
      </w:pP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إنّهما سَيِّدا شَبابِ أهلِ الجَنّةِ، و أبوهما خَيرٌ منهما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كُلِّ خَلَفٍ مِن أُمَّتي عَدلٌ مِن أهلِ بَيتي؛ يَنفي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لا تَجتَمِعُ أُمّتي على ضَلالٍ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امير المؤمنين عليه السلام</w:t>
      </w:r>
    </w:p>
    <w:p>
      <w:pPr>
        <w:pStyle w:val="BookText"/>
        <w:rPr/>
      </w:pPr>
      <w:r>
        <w:rPr>
          <w:rFonts w:ascii="Amiri" w:hAnsi="Amiri" w:eastAsia="Amiri" w:cs="Amiri"/>
          <w:color w:val="111111"/>
          <w:sz w:val="28"/>
          <w:sz w:val="28"/>
          <w:szCs w:val="28"/>
          <w:rtl w:val="true"/>
          <w:lang w:bidi="ar-SA"/>
        </w:rPr>
        <w:t>اللّهُمَّ إنّكَ لا تُخلي الأرضَ مِن حُجّةٍ لَكَ على خَلقِكَ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الإمام الصادق عليه السلام</w:t>
      </w:r>
    </w:p>
    <w:p>
      <w:pPr>
        <w:pStyle w:val="BookText"/>
        <w:rPr/>
      </w:pPr>
      <w:r>
        <w:rPr>
          <w:rFonts w:ascii="Amiri" w:hAnsi="Amiri" w:eastAsia="Amiri" w:cs="Amiri"/>
          <w:color w:val="111111"/>
          <w:sz w:val="28"/>
          <w:sz w:val="28"/>
          <w:szCs w:val="28"/>
          <w:rtl w:val="true"/>
          <w:lang w:bidi="ar-SA"/>
        </w:rPr>
        <w:t xml:space="preserve">أنّ الإمامَ هو الذي لا يوجَدُ منه مَلجأٌ إلّاإليه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يُخلي الأرضَ مِن حُجّةٍ إلّاأن يَغضَبَ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534" w:name="pg7486_97777"/>
    </w:p>
    <w:p>
      <w:pPr>
        <w:pStyle w:val="Heading3"/>
        <w:numPr>
          <w:ilvl w:val="2"/>
          <w:numId w:val="1"/>
        </w:numPr>
        <w:rPr/>
      </w:pPr>
      <w:bookmarkStart w:id="535" w:name="__RefHeading___Toc2226268_1051229030"/>
      <w:bookmarkStart w:id="536" w:name="_Toc194"/>
      <w:bookmarkEnd w:id="534"/>
      <w:bookmarkEnd w:id="535"/>
      <w:r>
        <w:rPr>
          <w:rtl w:val="true"/>
        </w:rPr>
        <w:t>(</w:t>
      </w:r>
      <w:r>
        <w:rPr/>
        <w:t>3</w:t>
      </w:r>
      <w:r>
        <w:rPr>
          <w:rtl w:val="true"/>
        </w:rPr>
        <w:t xml:space="preserve">) </w:t>
      </w:r>
      <w:r>
        <w:rPr>
          <w:rtl w:val="true"/>
        </w:rPr>
        <w:t>فهرس الأشعار</w:t>
      </w:r>
      <w:bookmarkEnd w:id="536"/>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رجلٌ كِلَاَ طَرفَيْهِ مِنْ سَامٍ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 بِالدِّيارِ المُقْفِراتِ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537" w:name="pg7486_97780"/>
    </w:p>
    <w:p>
      <w:pPr>
        <w:pStyle w:val="Heading3"/>
        <w:numPr>
          <w:ilvl w:val="2"/>
          <w:numId w:val="1"/>
        </w:numPr>
        <w:rPr/>
      </w:pPr>
      <w:bookmarkStart w:id="538" w:name="__RefHeading___Toc2226270_1051229030"/>
      <w:bookmarkStart w:id="539" w:name="_Toc195"/>
      <w:bookmarkEnd w:id="537"/>
      <w:bookmarkEnd w:id="538"/>
      <w:r>
        <w:rPr>
          <w:rtl w:val="true"/>
        </w:rPr>
        <w:t>(</w:t>
      </w:r>
      <w:r>
        <w:rPr/>
        <w:t>4</w:t>
      </w:r>
      <w:r>
        <w:rPr>
          <w:rtl w:val="true"/>
        </w:rPr>
        <w:t xml:space="preserve">) </w:t>
      </w:r>
      <w:r>
        <w:rPr>
          <w:rtl w:val="true"/>
        </w:rPr>
        <w:t>فهرس الأعلام</w:t>
      </w:r>
      <w:bookmarkEnd w:id="5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و الأنبياء عليهم السلام</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صلى الله عليه و آله،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فاطمة بنت رسول اللّه عليها السلام،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أبو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عليّ بن موسى عليه السلام،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بنُ عليّ عليه السلام،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الحَسَن بن عليّ أبي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العسكري عليه السلام،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العسكريَّيْن،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بن الحَسَن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الزَّمان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الزمان عليه السلام،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نوح النبيّ عليه السلام،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يَحيى عليه السلام،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هارون عليه السلام،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عليه السلام،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الإماء،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أبو عَبد اللّه مُحمّد بن عَبد المَلِك التُّباين،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أَبو عبيد مُعْمَر بن المُثنّى،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أبو محمّد الحسن بن موسَى النَّوبَختيّ،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البيضان،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جعفر ابن أبي طالِب،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جعفر بن عليّ بن محمّد بن عليّ، جعفرُ بنُ علي، جعفر،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حميدة،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الخطّاب بن نُفيل،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الخيزُران،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السيِّد المُرتَضى عَلَم الهُدى، السيّد المُرتَضى، السيّد،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شُذّاذ،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الشريف أبو القاسم علي بن الحسين الموسوي،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صاحب الكتاب،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صَهاك،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عبد الرحمن بن مُلْجَم،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عبدُ العزّى بن رباح بن عبد اللّه بن قُرط بن رِزاح بن عَدِيّ بن كعب بن لؤيّ بن غالب،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فاطمة بنت أسد بن هاشم بن عبد مناف،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بن قيس غيلان،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المعتمِد،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نَفيس،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نُفَيل بن عبد العُزّى،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واصِل بن عَطاء،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الوزير السيِّد،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الهيثم بن عَديّ الطائيّ، </w:t>
      </w:r>
      <w:r>
        <w:rPr>
          <w:rFonts w:eastAsia="Amiri" w:cs="Amiri" w:ascii="Amiri" w:hAnsi="Amiri"/>
          <w:color w:val="111111"/>
          <w:sz w:val="28"/>
          <w:szCs w:val="28"/>
          <w:lang w:bidi="ar-SA"/>
        </w:rPr>
        <w:t>326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bookmarkStart w:id="540" w:name="pg7486_97793"/>
    </w:p>
    <w:p>
      <w:pPr>
        <w:pStyle w:val="Heading3"/>
        <w:numPr>
          <w:ilvl w:val="2"/>
          <w:numId w:val="1"/>
        </w:numPr>
        <w:rPr/>
      </w:pPr>
      <w:bookmarkStart w:id="541" w:name="__RefHeading___Toc2226272_1051229030"/>
      <w:bookmarkStart w:id="542" w:name="_Toc196"/>
      <w:bookmarkEnd w:id="540"/>
      <w:bookmarkEnd w:id="541"/>
      <w:r>
        <w:rPr>
          <w:rtl w:val="true"/>
        </w:rPr>
        <w:t>(</w:t>
      </w:r>
      <w:r>
        <w:rPr/>
        <w:t>5</w:t>
      </w:r>
      <w:r>
        <w:rPr>
          <w:rtl w:val="true"/>
        </w:rPr>
        <w:t xml:space="preserve">) </w:t>
      </w:r>
      <w:r>
        <w:rPr>
          <w:rtl w:val="true"/>
        </w:rPr>
        <w:t>فهرس الأماكن</w:t>
      </w:r>
      <w:bookmarkEnd w:id="542"/>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جِبال رَضوى،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جَبَل رَضوى،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شَطّ الفُرات،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الغار،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543" w:name="pg7486_97795"/>
    </w:p>
    <w:p>
      <w:pPr>
        <w:pStyle w:val="Heading3"/>
        <w:numPr>
          <w:ilvl w:val="2"/>
          <w:numId w:val="1"/>
        </w:numPr>
        <w:rPr/>
      </w:pPr>
      <w:bookmarkStart w:id="544" w:name="__RefHeading___Toc2226274_1051229030"/>
      <w:bookmarkStart w:id="545" w:name="_Toc197"/>
      <w:bookmarkEnd w:id="543"/>
      <w:bookmarkEnd w:id="544"/>
      <w:r>
        <w:rPr>
          <w:rtl w:val="true"/>
        </w:rPr>
        <w:t>(</w:t>
      </w:r>
      <w:r>
        <w:rPr/>
        <w:t>6</w:t>
      </w:r>
      <w:r>
        <w:rPr>
          <w:rtl w:val="true"/>
        </w:rPr>
        <w:t xml:space="preserve">) </w:t>
      </w:r>
      <w:r>
        <w:rPr>
          <w:rtl w:val="true"/>
        </w:rPr>
        <w:t>فهرس الأديان و الفرق و المذاهب</w:t>
      </w:r>
      <w:bookmarkEnd w:id="545"/>
    </w:p>
    <w:p>
      <w:pPr>
        <w:pStyle w:val="BookText"/>
        <w:rPr/>
      </w:pPr>
      <w:r>
        <w:rPr>
          <w:rFonts w:ascii="Amiri" w:hAnsi="Amiri" w:eastAsia="Amiri" w:cs="Amiri"/>
          <w:color w:val="111111"/>
          <w:sz w:val="28"/>
          <w:sz w:val="28"/>
          <w:szCs w:val="28"/>
          <w:rtl w:val="true"/>
          <w:lang w:bidi="ar-SA"/>
        </w:rPr>
        <w:t xml:space="preserve">الاِثنَي عَشَريّة،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الإماميّة الاثنا عشريّة،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البَكريّة،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السُّمَنيّة،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السُّوفِسْطائيّة،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شريعتنا،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شَريعة الرسول،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شريعة النبي،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شريعة محمّد،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شريعة نبيّنا،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طائِفَتنا،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الطائفة المُحقّة،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الفِرقة المُحِقّة،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مَذاهِب أئمّتِنا،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مَذاهب أئمّتنا المُتقدِّمين،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مَذاهب أبي جَعفَر مُحمّد بن عليّ الباقر،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مَذاهِب أبي حَنيفة،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مَذاهب أصحابِنا،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مَذاهب الإماميّة،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مَذاهِب الشافعي،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مَذاهِب الشيعة الإماميّة،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مَذاهِب مُخالِفينا،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مَذاهِبنا،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مَذهَب أبي عبدِ اللّهِ جعفرِ بنِ محمّدٍ الصادق،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مَذهب الإماميّة،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مَذهب مُخالِفينا،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مَذهَبنا،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المُلحِدة،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الناصبة،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lang w:bidi="ar-SA"/>
        </w:rPr>
        <w:t>270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546" w:name="pg7486_97802"/>
    </w:p>
    <w:p>
      <w:pPr>
        <w:pStyle w:val="Heading3"/>
        <w:numPr>
          <w:ilvl w:val="2"/>
          <w:numId w:val="1"/>
        </w:numPr>
        <w:rPr/>
      </w:pPr>
      <w:bookmarkStart w:id="547" w:name="__RefHeading___Toc2226276_1051229030"/>
      <w:bookmarkStart w:id="548" w:name="_Toc198"/>
      <w:bookmarkEnd w:id="546"/>
      <w:bookmarkEnd w:id="547"/>
      <w:r>
        <w:rPr>
          <w:rtl w:val="true"/>
        </w:rPr>
        <w:t>(</w:t>
      </w:r>
      <w:r>
        <w:rPr/>
        <w:t>7</w:t>
      </w:r>
      <w:r>
        <w:rPr>
          <w:rtl w:val="true"/>
        </w:rPr>
        <w:t xml:space="preserve">) </w:t>
      </w:r>
      <w:r>
        <w:rPr>
          <w:rtl w:val="true"/>
        </w:rPr>
        <w:t>فهرس الجماعات و القبائل</w:t>
      </w:r>
      <w:bookmarkEnd w:id="548"/>
    </w:p>
    <w:p>
      <w:pPr>
        <w:pStyle w:val="BookText"/>
        <w:rPr/>
      </w:pPr>
      <w:r>
        <w:rPr>
          <w:rFonts w:ascii="IRNazanin" w:hAnsi="IRNazanin" w:eastAsia="IRNazanin"/>
          <w:color w:val="111111"/>
          <w:sz w:val="28"/>
          <w:sz w:val="28"/>
          <w:szCs w:val="28"/>
          <w:rtl w:val="true"/>
          <w:lang w:bidi="fa-IR"/>
        </w:rPr>
        <w:t xml:space="preserve">آباء رسول اللّه،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آل الرسول،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آل أَحْمَد،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أئمّتنا،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أئمّتهم،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أئمّة الهُدى،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الأئمّة مِن ولد الحُسَين،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أصحاب أبي حَنيفة،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أصحاب أبي حَنيفَة،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أصحاب الاختيار،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أصحاب التناسُخ،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أصحاب الحديث،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أصحاب الحسن،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أصحاب الشافعيّ،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أصحاب القياس،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أصحاب حديث،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الأطفال،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الأعداء،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lang w:bidi="fa-IR"/>
        </w:rPr>
        <w:t>240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أولاد الحُسَين،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أولاد حام،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أولياء الإمام،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أولياء إمام الزمان،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أولياء أمير المؤمنين عليه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أهل الاِختيار،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أهل الآخِرة،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أهل الإسلام،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أهل الإمامة،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أهل التَّدَيُّن،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أهل التواتُر،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أهل التوحيد،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أهل الجَهالات،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أهل الحَقّ،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أهل الحَلّ و العَقد،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أهل الرَّجعة،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أهل الشرك،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أهل الشرك و الضَّلال،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أهل العَدل و التوحيد،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أهل العقاب،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أهل العِلم،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أهل العِناد،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أهل الكُتُب،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أهل المذاهب،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أهل النظر و المتفَقِّهة،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أهل النفاق،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أُدباء،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أُمّة النبيّ،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البالغون،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البُغاة،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بنو العَبّاس،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بنو عبدِ المُطَّلِب،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بَنو هاشم،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الجائرون،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الجاهلون، </w:t>
      </w:r>
      <w:r>
        <w:rPr>
          <w:rFonts w:eastAsia="IRNazanin" w:cs="IRNazanin"/>
          <w:color w:val="111111"/>
          <w:sz w:val="28"/>
          <w:szCs w:val="28"/>
          <w:lang w:bidi="fa-IR"/>
        </w:rPr>
        <w:t>237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المُقَلِّدة،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الجُناة،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جَواري أبي محمّد عليه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الجُهّال،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حُذّاق المعتزلة،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الخُصوم،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خُصومنا،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الرؤساء،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الشُّيوخ،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شُيوخنا،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الصالحون،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صالحون عُبّاد متفقِّهة،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الطالبيّون،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عالِمون،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علماء أصحاب أبي حَنيفة،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علماء الإماميّة،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علماء الفِرقة الإماميّة،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علماء الفِرقة المُحِقّة،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علماء المُسلِمين،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علماء أهل البَيت عليهم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الغُرَمَاء،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غير مكلَّفين،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الفِرقة المُحِقّة،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فقهاء الأُمّة،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قَوم موسى،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الكُبَراء،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اللُّغَويّون،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المُتغلِّبون،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متكلّمون نُظّار،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المُتملِّكون، </w:t>
      </w:r>
      <w:r>
        <w:rPr>
          <w:rFonts w:eastAsia="Amiri" w:cs="Amiri" w:ascii="Amiri" w:hAnsi="Amiri"/>
          <w:color w:val="111111"/>
          <w:sz w:val="28"/>
          <w:szCs w:val="28"/>
          <w:lang w:bidi="ar-SA"/>
        </w:rPr>
        <w:t>204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المَجانين،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المُحتالون،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المحقِّقون،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المُخالِفون،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مُخالِفونا،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المُخرِّفون،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المُستَبِدّون،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المُستَضعَفون،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المصدِّقون،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المُصنِّفون،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المُعانِدون،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مُعتقدي التشيّع،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مَعصُومون،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المُعمَّرون،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المُفسِّرون،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المقلّدون،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المكذِّبون،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المُكلَّفون،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المُلحِدون،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مُلوك،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مُلوك العَجَم،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مُلوك العرب و الفُرس،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المُلوك مِن وُلْد العبّاس،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الموحِّدون،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الناقلون،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النحويّون،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وُلد حام،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وُلْد رسول اللّه، </w:t>
      </w:r>
      <w:r>
        <w:rPr>
          <w:rFonts w:eastAsia="Amiri" w:cs="Amiri" w:ascii="Amiri" w:hAnsi="Amiri"/>
          <w:color w:val="111111"/>
          <w:sz w:val="28"/>
          <w:szCs w:val="28"/>
          <w:lang w:bidi="ar-SA"/>
        </w:rPr>
        <w:t>265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هاشميَّيْن،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549" w:name="pg7486_97815"/>
    </w:p>
    <w:p>
      <w:pPr>
        <w:pStyle w:val="Heading3"/>
        <w:numPr>
          <w:ilvl w:val="2"/>
          <w:numId w:val="1"/>
        </w:numPr>
        <w:rPr/>
      </w:pPr>
      <w:bookmarkStart w:id="550" w:name="__RefHeading___Toc2226278_1051229030"/>
      <w:bookmarkStart w:id="551" w:name="_Toc199"/>
      <w:bookmarkEnd w:id="549"/>
      <w:bookmarkEnd w:id="550"/>
      <w:r>
        <w:rPr>
          <w:rtl w:val="true"/>
        </w:rPr>
        <w:t>(</w:t>
      </w:r>
      <w:r>
        <w:rPr/>
        <w:t>8</w:t>
      </w:r>
      <w:r>
        <w:rPr>
          <w:rtl w:val="true"/>
        </w:rPr>
        <w:t xml:space="preserve">) </w:t>
      </w:r>
      <w:r>
        <w:rPr>
          <w:rtl w:val="true"/>
        </w:rPr>
        <w:t>فهرس الأيّام و الوقائع</w:t>
      </w:r>
      <w:bookmarkEnd w:id="551"/>
    </w:p>
    <w:p>
      <w:pPr>
        <w:pStyle w:val="BookText"/>
        <w:rPr/>
      </w:pPr>
      <w:r>
        <w:rPr>
          <w:rFonts w:ascii="Amiri" w:hAnsi="Amiri" w:eastAsia="Amiri" w:cs="Amiri"/>
          <w:color w:val="111111"/>
          <w:sz w:val="28"/>
          <w:sz w:val="28"/>
          <w:szCs w:val="28"/>
          <w:rtl w:val="true"/>
          <w:lang w:bidi="ar-SA"/>
        </w:rPr>
        <w:t xml:space="preserve">استلام الحَجَر،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أيّام الحَسَن بن عليّ أبي القائم عليهم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أيّام القائم،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أيّام بَني العَبّاس،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أيّام بَني أُمَيّة،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بِعثة الرسول،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حياة الرسول،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رَمي الحِجارة،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زمان مولد النبيّ،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سنة اثنتين و خَمسين و مائتَين،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سنة ثلاث و سَبعين و ثَلاثمائة،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سنة خَمس و خَمسين و مائتَين،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سنة ستّين و مائتَين،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سَنَة عِشرين و أربَعِمِائة،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عَهد موسى، </w:t>
      </w:r>
      <w:r>
        <w:rPr>
          <w:rFonts w:eastAsia="Amiri" w:cs="Amiri" w:ascii="Amiri" w:hAnsi="Amiri"/>
          <w:color w:val="111111"/>
          <w:sz w:val="28"/>
          <w:szCs w:val="28"/>
          <w:lang w:bidi="ar-SA"/>
        </w:rPr>
        <w:t>300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قيام المهديّ عليه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مَوت النبي،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وفاة الرسول،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وفاة الصادق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وفاة أمير المؤمنين عليه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وفاة أبي محمّد،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وفاة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وفاة موسَى بن جعفر عليه 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وفاة موسى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ولادة صاحبنا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الهَروَلة، </w:t>
      </w:r>
      <w:r>
        <w:rPr>
          <w:rFonts w:eastAsia="Amiri" w:cs="Amiri" w:ascii="Amiri" w:hAnsi="Amiri"/>
          <w:color w:val="111111"/>
          <w:sz w:val="28"/>
          <w:szCs w:val="28"/>
          <w:lang w:bidi="ar-SA"/>
        </w:rPr>
        <w:t>301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552" w:name="pg7486_97821"/>
    </w:p>
    <w:p>
      <w:pPr>
        <w:pStyle w:val="Heading3"/>
        <w:numPr>
          <w:ilvl w:val="2"/>
          <w:numId w:val="1"/>
        </w:numPr>
        <w:rPr/>
      </w:pPr>
      <w:bookmarkStart w:id="553" w:name="__RefHeading___Toc2226280_1051229030"/>
      <w:bookmarkStart w:id="554" w:name="_Toc200"/>
      <w:bookmarkEnd w:id="552"/>
      <w:bookmarkEnd w:id="553"/>
      <w:r>
        <w:rPr>
          <w:rtl w:val="true"/>
        </w:rPr>
        <w:t>(</w:t>
      </w:r>
      <w:r>
        <w:rPr/>
        <w:t>9</w:t>
      </w:r>
      <w:r>
        <w:rPr>
          <w:rtl w:val="true"/>
        </w:rPr>
        <w:t xml:space="preserve">) </w:t>
      </w:r>
      <w:r>
        <w:rPr>
          <w:rtl w:val="true"/>
        </w:rPr>
        <w:t>فهرس الأشياء و الحيوانات</w:t>
      </w:r>
      <w:bookmarkEnd w:id="554"/>
    </w:p>
    <w:p>
      <w:pPr>
        <w:pStyle w:val="BookText"/>
        <w:rPr/>
      </w:pP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الأشجار،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قِرْد، </w:t>
      </w:r>
      <w:r>
        <w:rPr>
          <w:rFonts w:eastAsia="Amiri" w:cs="Amiri" w:ascii="Amiri" w:hAnsi="Amiri"/>
          <w:color w:val="111111"/>
          <w:sz w:val="28"/>
          <w:szCs w:val="28"/>
          <w:lang w:bidi="ar-SA"/>
        </w:rPr>
        <w:t>259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555" w:name="pg7486_97824"/>
    </w:p>
    <w:p>
      <w:pPr>
        <w:pStyle w:val="Heading3"/>
        <w:numPr>
          <w:ilvl w:val="2"/>
          <w:numId w:val="1"/>
        </w:numPr>
        <w:rPr/>
      </w:pPr>
      <w:bookmarkStart w:id="556" w:name="__RefHeading___Toc2226282_1051229030"/>
      <w:bookmarkStart w:id="557" w:name="_Toc201"/>
      <w:bookmarkEnd w:id="555"/>
      <w:bookmarkEnd w:id="556"/>
      <w:r>
        <w:rPr>
          <w:rtl w:val="true"/>
        </w:rPr>
        <w:t>(</w:t>
      </w:r>
      <w:r>
        <w:rPr/>
        <w:t>10</w:t>
      </w:r>
      <w:r>
        <w:rPr>
          <w:rtl w:val="true"/>
        </w:rPr>
        <w:t xml:space="preserve">) </w:t>
      </w:r>
      <w:r>
        <w:rPr>
          <w:rtl w:val="true"/>
        </w:rPr>
        <w:t>فهرس الكتب الواردة في المتن</w:t>
      </w:r>
      <w:bookmarkEnd w:id="557"/>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تنزيه الأنبياء و الأئمّة عليهم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جواب المَسائل التُّبّانيّات،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جَواب المَسائل الحَلَبيّات،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الجواب عن المسائل التبّانيّات،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جَواب مَسائِل أبي عَبد اللّه ابن التُّبّان،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جَواب مَسائِل أهل الموصِل الفقهيّة،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جواب مسائل أبي عبدالله بن التبّان،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جواب مسائل أهل المَوْصِل الواردة،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جواب مسألة وَرَدَت مِن المَوصِل،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الغُرَر و الدُّرَر،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كتاب الإمامة،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الكِتاب الشافي،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كِتابنا في الغَيبَة،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كُتُب الإمامة،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كُتُب المُخَالِفين،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كُتُب أصحَاب أبي حَنيفَة،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كُتُب حَديث الشيعة،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نُصرة ما انفَرَدَت به الإماميّة في المَسائل الفقهيّة،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558" w:name="pg7486_97827"/>
    </w:p>
    <w:p>
      <w:pPr>
        <w:pStyle w:val="Heading3"/>
        <w:numPr>
          <w:ilvl w:val="2"/>
          <w:numId w:val="1"/>
        </w:numPr>
        <w:rPr/>
      </w:pPr>
      <w:bookmarkStart w:id="559" w:name="__RefHeading___Toc2226284_1051229030"/>
      <w:bookmarkStart w:id="560" w:name="_Toc202"/>
      <w:bookmarkEnd w:id="558"/>
      <w:bookmarkEnd w:id="559"/>
      <w:r>
        <w:rPr>
          <w:rtl w:val="true"/>
        </w:rPr>
        <w:t>(</w:t>
      </w:r>
      <w:r>
        <w:rPr/>
        <w:t>11</w:t>
      </w:r>
      <w:r>
        <w:rPr>
          <w:rtl w:val="true"/>
        </w:rPr>
        <w:t xml:space="preserve">) </w:t>
      </w:r>
      <w:r>
        <w:rPr>
          <w:rtl w:val="true"/>
        </w:rPr>
        <w:t>فهرس مصادر التحقيق</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بالنصوص و المعجزات،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أبو القاسم جار اللّه محمود بن عمر الزمخشري الخوازمي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مطابع الشعب، الطبعة الأُولى،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الايمان، عبد القاهر بن محمّد بن عبد اللّه التميمي الشافعي، شرح و مراجعه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محمّد رمضان،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مكتبة الهلال،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أبو منصور أحمد بن عليّ بن أبي طالب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في أُصول الأحكام، الشيخ عليّ بن محمّد الآمدي،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الرزاق عفيفي،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أبو محمّد عليّ بن حزم الأندلسي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عليّ يوسف،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الإذاعة، محمّد صديق حسن القنوجي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الارنووط،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أسماء الأصحاب، أبو عمر يوسف بن عبد اللّه بن محمّد بن عبد 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 عادل أحمد عبد الموجود،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الأُولى،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في إمامة أمير المؤمنين عليه السلام،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في ما يتعلّق بالاعتقاد، محمّد بن حسن الطوسي،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أبو جعفر محمّد بن عليّ بن الحسين بن موسى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مركز الطباعة و النشر في مؤسّسة البعثة قم المقدّسة،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الشريف المرتضى علم الهدى، عليّ بن الحسين العلوي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النعساني الحلبي، مكتبة آية اللّه المرعشي النجفي، الطبعة الأُولى،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التبصرة من الحيرة، أبو الحسن عليّ بن الحسين بن بابويه القمّي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الإنتصار، الشريف المرتضى عليّ بن الحسين الموسوي البغدادي المعروف بعلم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الأشراف،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مهدي موجود موعود، عبد اللّه جوادي آملي، تحقيق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حسن مخبر،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اسراء،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في علماء جبل عامل، 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احمد الحسيني، مكتبة الأندلس بغداد،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المكنون في الذيل على الكشف الظنون عن أسامي الكتب و الفنون، إسماعيل پاشا البغدادي،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الدين يالتقايا، رفعت بيلگه الكليسي،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العلّامة المجلسي،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حول المهدي، السيّد محمّد باقر الصدر،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أبو عبداللّه محمّد بن يوسف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الملل و النحل، جعفر السبحاني،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الاسلاميّة،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أبو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الطلب في تاريخ حلب، ابن العديم الصاحب كمال الدين عمر بن أحمد بن أبي جرادة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طبعة دمشق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فى أخبار صاحب الزمان عليه السلام، محمّد بن يوسف الگنجي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هادي الأميني،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تراث أهل البيت عليهم السلام،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السيّد محمّد المرتضى بن محمّد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الأئمّة، بيوك آقا واعظ التبريزي،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بن واضح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أهل البيت عليهم السلام، نصر بن علي الجهضمي،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أبو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 عساكر أبو القاسم عليّ بن الحسن بن هبة اللّه بن عبد 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مكتب الإعلام الإسلامي،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 في خصائص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فُرغليّ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باُصول الفقه، محمّد بن محمّد بن 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النجفي،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رضوان الدايه،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غرائب القرآن و رغائب الفرقان، نظام الدين الحسن بن محمّد بن حسين القمّي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عميرات،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نقد و تحليل مثنوي، جلال الدين محمّد البلخي،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الجعفري، تهران،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ابو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بحر 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الطبعة الثالثة،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المحصّل، خواجه نصير الدين محمّد بن محمّد بن الحسن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نوراني،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اسلامى دانشگاه مك 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 الأُصول في علم الكلام،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مشكوة الديني، تهران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مؤسسه انتشارات و چاپ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منشورات و طباعة 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 الأئمّة عليهم السلام، أبو القاسم عليّ بن الحسين الموسويّ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عبداللّه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محمّدرضا المامقاني،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حسن الموسوي الخرسان،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و ازاحه الاشتباهات، محمّد بن علي اردبيلي،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العمل، أبو القاسم عليّ بن الحسين الموسويّ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الآداب،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أبو بكر محمّد بن الحسن بن دريد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رمزي منير بعلبكي،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العقدين في فضل الشرفين،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اسلامي، كاظم موسوي بجنوردي، تهران، مركز دائرة المعارف بزرگ اسلامي،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في طبقات الشيعة، صدر الدين عليّ بن أحمد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التونجي،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شمس تبريزي، شمس تبريزي، كتابفروشي أدبيه،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عطّار، محمّد بن ابراهيم عطّار،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في علم الكلام، الشريف المرتضى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الشريعة،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كرجي،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 العلّامة الشيخ آقا بزرگ الطهراني،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 تقديم و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المولى عبد اللّه الأفندي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 محمّدعليّ المدرّس التبريزي،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السلسلة العلويّة، أبو نصر سهل بن عبد اللّه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الشافي في الإمامة، أبو القاسم عليّ بن الحسين الموسويّ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الزهراء حسينى خطيب،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أبو الفلاح عبد الحيّ بن أحمد بن محمّد بن العماد العَكريّ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الأرناؤوط، 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الكافي، لصدر الدين محمّد بن إبراهيم الشيرازيّ المعروف بملّا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الخواجويّ،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المطالعات و التحقيقات الثقافيّة، الطبعة الاُولى،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عليهم السلام، قاضي 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عضد الدين عبد الرحمن بن أحمد الايجي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عميره،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العلم والعمل، السيد المرتضى علي بن الحسين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مدير شانه جي،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النبوّة، عبد الرحمن الجامي،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أمين،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زين الدين أبو محمّد عليّ بن يونس العاملى البياضي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أحمد بن حجر الهيثمي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عبداللطيف،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أعلام الشيعة، الشيخ آقا 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علينقي المنزوي،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الأُولى،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المعتزلة، أحمد بن يحيى بن المرتضى،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المنتظر،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السيّد عليّ بن موسى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قم،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لأهل الخلوة و الجلوة، أحمد بن محمّد علاء الدوله سمناني،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يوسف بن يحيى بن عليّ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العلماء،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القارئ، محمود بن أحمد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أبو جعفر محمّد بن الحسن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الطهراني و أحمد عليّ الناصح،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أبو عبد اللّه محمّد بن إبراهيم بن جعفر الكتّاب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المكّيّة، محمّد بن عليّ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يحيى و إبراهيم مدكور،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أبو محمّد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عبد القاهر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حسين زرزور،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فصوص الحكم، محيي الدين محمّد بن عليّ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العفيفي،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العشرة في الغيبة،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من العيون و المحاسن، أبو عبداللّه محمّد بن محمّد 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منه أبو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و علم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الجعفريان و يعقوب الجعفري و محسن الأحمدي،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الألفيّة الشيخ المفيد،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الطبعة الثانيه،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العلّامة السيّد محمّد مهدي بحر العلوم،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السيّد حسين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أبو الفرج محمّد بن أبي يعقوب إسحاق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أبو العبّاس أحمد بن عليّ النجاشي الأسدي،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موسى الشبيري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الطبعة الثامنة،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فهرستگان نسخه هاى خطّي حديث و علوم حديث، علي صدرايي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الشيخ محمّد تقي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أبو طاهر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الهوريني،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الشيخ أبو العبّاس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w:t>
      </w:r>
    </w:p>
    <w:p>
      <w:pPr>
        <w:pStyle w:val="BookText"/>
        <w:rPr/>
      </w:pPr>
      <w:r>
        <w:rPr>
          <w:rFonts w:ascii="Amiri" w:hAnsi="Amiri" w:eastAsia="Amiri" w:cs="Amiri"/>
          <w:color w:val="111111"/>
          <w:sz w:val="28"/>
          <w:sz w:val="28"/>
          <w:szCs w:val="28"/>
          <w:rtl w:val="true"/>
          <w:lang w:bidi="ar-SA"/>
        </w:rPr>
        <w:t xml:space="preserve">البيت عليهم السلام لإحياء التراث،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قواطع الأدلّة في أُصول الفقه، منصور بن محمّد السمناني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ثقة الإسلام أبو جعفر محمّد بن يعقوب بن إسحاق الكليني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الطبعة الثالثة،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أبو عبد 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الخزومي و الدكتور إبراهيم السامرائي،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كتابنامه حضرت مهدي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كتب عن الإمام المهدي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اكبر مهدي پور،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الظنون عن أسامي الكتب و الفنون، المولى مصطفى بن عبداللّه القسطنطيني الرومي الحنفي، المعروف بحاجي خليفة، و الملّا كاتب 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غير مؤرّخة،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الاثني عشر، أبو القاسم 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عبداللطيف الحسينيّ الكوه كمره اي،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أبو جعفر محمّدبن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على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المصطفوي،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أبو الفضل محمّد بن مكرّم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لبنان،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أبي نصر عبد اللّه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محمود و طه عبد الباقي سرور،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الثقافيّة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 في المباحث الكلاميّة، جمال الدين مقداد بن عبد اللّه الأسدي السيوري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محمّدعليّ القاضي الطباطبائي، مركز النشر التابع لمكتب الإعلام الإسلامي، 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المتبقّى من التراث المفقود للشريف المرتضى، جمع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البياتي، إشراف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محمّدحسين الدرايتي،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مثنوي معنوي، جلال الدين محمّد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تراثنا، مؤسسة آل البيت، 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الأوّل، السنة الثانية محرّم الحرام،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 مطلع النيّرين،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الإشكوري،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النشر الثقافيّة الإسلاميّة،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أمين الإسلام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 المحقّقين مع تقديم السيّد محسن الأمين العاملي،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في معرفة أحوال الرجال، عناية اللّه بن عليّ بن محمود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مؤسّسة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المحكم و المحيط الأعظم في اللغة، أبو الحسن عليّ بن إسماعيل 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في اللغة، أبو القاسم إسماعيل الصاحب بن عبّاد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آل ياسين،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 محمّد بن أبي بكر بن عبدالقادر الرازي، ضبط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بيروت،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داود الطيالسي، سليمان بن داود بن الجارود الفارسي البصري الشهير بأبي داود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للرافعي، 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صادق آل بحر العلوم، 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بالأُفست عن 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المعتمد في أُصول الفقه، أبو الحسين محمّد بن عليّ بن الطيّب البصري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الأديب إلى معرفة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شهاب الدين أبو عبد اللّه ياقوت بن عبد اللّه الحموي،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مجمع اللغة العربيّة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مصطفى و أحمد الزيّات و حامد عبد القادر و محمّد النجّار، دار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أُمّهات الأفعال، أحمد عبد الوهّاب بكير،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مدينة العلم،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المغرّب في ترتيب المعرّب، أبو الفتح ناصر بن عبد السيّد بن عليّ المطرزي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أبو محمّد عبد 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 محمّد حسين الراغب الإصفهاني،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فروشي مرتضوي،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 النحل، أبو الفتح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الهوّاري،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الهلال، الطبعة الأُولى،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أبو عبداللّه 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في الإمام الثاني العشر، شيخ لطف اللّه الصافيّ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المقال فى تحقيق احوال الرجال، محمّد بن عليّ الاسترآبادي،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آل البيت عليهم السلام،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الموضح عن جهة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المحقّقين،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الثاقب، حسين بن محمّدتقي النوري،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الموسوي،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النعيم المقيم لعترة النبأ العظيم، عمر بن محمّد الموصلي،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انتشارات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المبارك بن محمّد الشيباني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جمع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جعفر الشهيدي،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الطبعة الرابعة عشر،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الدين خليل بن ايبك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الأرناؤوط و تركي مصطفى،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وانباء ابناء الزمان، أبو العبّاس أحمد بن محمّد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العارفين أسماء المؤلّفين و آثار المصنّفين، إسماعيل پاشا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بالأُفست عن طبعة إسطانبول بتاريخ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 الجواهر، عبد الوهّاب بن أحمد الشعراني،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و أولاده،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61" w:name="pg7486_97868"/>
    </w:p>
    <w:p>
      <w:pPr>
        <w:pStyle w:val="Heading3"/>
        <w:numPr>
          <w:ilvl w:val="2"/>
          <w:numId w:val="1"/>
        </w:numPr>
        <w:rPr/>
      </w:pPr>
      <w:bookmarkStart w:id="562" w:name="__RefHeading___Toc2226286_1051229030"/>
      <w:bookmarkStart w:id="563" w:name="_Toc203"/>
      <w:bookmarkEnd w:id="561"/>
      <w:bookmarkEnd w:id="562"/>
      <w:r>
        <w:rPr>
          <w:rtl w:val="true"/>
        </w:rPr>
        <w:t>(</w:t>
      </w:r>
      <w:r>
        <w:rPr/>
        <w:t>12</w:t>
      </w:r>
      <w:r>
        <w:rPr>
          <w:rtl w:val="true"/>
        </w:rPr>
        <w:t xml:space="preserve">) </w:t>
      </w:r>
      <w:r>
        <w:rPr>
          <w:rtl w:val="true"/>
        </w:rPr>
        <w:t>فهرس المطالب</w:t>
      </w:r>
      <w:bookmarkEnd w:id="563"/>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المهدويّة بين المسلمين؛ تاريخها و مناهجها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المصنّفات المهدويّة في القرن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المصنَّفات المهدويَّة في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الموجودة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المفقودة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المصنّفات المهدويّة في 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الموجودة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المفقودة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المناهج في الدراسات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إيماء العرفاء إلى روايات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و منهجه في الأبحاث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فهرسة الأبحاث المهدويّة في مصنّفات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منهج الشريف المرتضى في الأبحاث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بكتاب 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اسمه و نسبته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ترجمة الوزير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تاريخ تأليفه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حول تكملة 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بين المقنع و رسالة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جهود 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طبعاته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مخطوطاته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مخطوطات الزيادة المكمّلة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كلمة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نماذج من تصاوير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المقنع في الغيبة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العقل على وجود الإمام و اتّصافه بالعصمة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دلالة العقل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العقل على وجوب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تمييز الإمام الغائب عن غيره ممّن يدَّعي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غيبة الإمام و الوجه الذي يحسِّنها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بحكمة الغيبة لا ينافي صحَّتها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الأُصول على الكلام 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في الاستدلال على الفروع قبل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شيوخ المعتزلة على 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الإمامة أصلٌ للكلام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 في استعمال تلك الطريقة في بحث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المحافظة على المنهج الموضوعيِّ للبحث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سبب الغيبة و حكمتها على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استتار النبيِّ و غيبة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عدم استتار الأئمّة السابقين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الغيبة و عدم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ظهور الإمام بحفْظ اللّه تعالى له من الآفات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إقامة الحدود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فيما لو احتيج إلى بيان الإمام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عدم ظهور الإمام عليه السلام لأوليائه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الظهور ليس دليلاً على كفر المكلَّف و 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الزيادة المكمَّل بها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استلهام الأولياء من وجود الإمام و لو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الغيبة تمنع الإمام من التأثير و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الاستلهام من وجود الأئمّة بين الغيبة و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للأولياء ليس بواجبٍ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علم الإمام حال الغيبة بما يجري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عند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بعد الإمام و قربه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استخلاف الإمام لغيره في الغيبة و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الغيبة و الظهور في الانتفاع بوجود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يقوم شيءٌ مقام الإمام في أداء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يعلم الإمام بوقت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يعتمد الإمام على الظنِّ في أسباب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يساوى بين حكم الظهور و الغيبة مع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الملحقات</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وجه الانتفاع به عليه السلام في زمن الغيبة و ما يتعلّق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السهو عن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حكم الحدود و الأحكام في زمن الغيبة و ما يتعلّق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الإمام من الحدود و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الحدود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الفرق بين عدم إقامة الحدود من قبل الظلمة، و من قبله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حفظ الشريعة بالإمام عليه السلام في زمن الغيبة، و وجود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كون امام الزمان عليه السلام وراء الناقلين للشريعة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الحديث بأنّ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النصّ على الإمام عليه السلام مع غيبته و أنّ الخوف هل يكفي للغيبة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في 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القائم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غيبته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بوجوده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وجود الإمام و هو غائبٌ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الحدود في الشريعة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كشف الحقّ مع غيبة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عدم كونه عليه السلام ظاهراً لأوليائه و شيعته مع عدم خوفه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التبّانيّات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أنّ الإمام عليه السلام داخل 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فلسفة الغيبة و حفظ الشريعة بوجود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الإمام من العدوّ و الوليّ و لطف الغيبة في حقّ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الثامن و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في الغيبة للإمام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مناظرة الشيخ المفيد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الفصل الثامن و 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المفيد افتراق الشيعة بعد الإمام أبي محمّد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الفصل الرابع و 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افتراق الشيعة بعد وفاة الإمام الحسن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الفصل الخامس و 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الفرق الضالّة عن طريق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الفصل السادس و 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غيبة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الغيبة عن الأئمّة الماضين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صحّة إمامة باقي الأئمّة الاثني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الغيبة و فائدة وجوده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غيبة الإمام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ضياع الشرع مع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غيبته عليه السلام و زيادة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جوابان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فصلٌ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 بعد قائمنا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الرازية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الطرابلسيّات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 المذهّبة للسيّد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الموصليّات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إبطال العمل بأخبار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الرسية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المسألة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إجماع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باب الكلام 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هل هو حجّةٌ في شيءٍ مخصوصٍ أو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يدخل في الإجماع الذي هو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الميّافارقيات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يوم الظهور و أنّه عليه السلام هل يشاهدنا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مسألةٌ ثانيةٌ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الزمان عليه السلام يومٌ معلومٌ يظهر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المسألة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في الرجعة عند ظهور القائم عليه السلام و ما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الأديان و الفرق و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الجماعات و 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الأيّام و 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الأشياء و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كتابنامه حضرت مهدي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الإذاعة،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مجلة تراثنا،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 ورد مرّة بعنوان المناري، و أُخرى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و في 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مسجد الأعظم،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مجلس الشورى الإسلامي،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 خطي حديث و علوم 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جواد عليّ الطاهر في كتاب 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ختام البحث عن مسألة غيبة إمام العصر في القرآن و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 المصادر القديمة أيَّة إشارة إلى هذين التاريخين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 خطي حديث و علوم 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الفهرست للنجاشي،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الرقم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امام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نامه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عن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تأمّل من وهب اللّه تعالى له حسن الصورة، و فتح مسامع قلبه، و منحه جودة القريحة، و أتحفه بالفهم و صحّة الرواية بما جاء عن الهداة الطاهرين صلوات اللّه عليهم على قديم الأيّام و حديثها من الروايات المتّصلة فيها، الموجبة لحدوثها، المقتضية لكونها ممّا قد أوردناه في هذا الكتاب حديثاً حديثاً، و روي فيه، و فكر فكراً ممعناً، و لم يجعل قراءته و نظره فيه صفحاً دون شافي التأمّل، و لم يطمح ببصره عن حديث منها يشبه ما تقدّمه دون إمعان النظر فيه و التبيين له، و لما يحوي من زيادة المعاني بلفظة من كلام الإمام عليه السلام بحسب ما حمله واحد من الرواة عنه علم أنّ هذه الغيبة لو لم تكن و لم تحدث مع ذلك و مع ما روي على مرّ الدهور فيها لكان مذهب الإمامة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العشر،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مهدي موجود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 الموجود 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في الفتوحات المكّيّة،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فصوص الحكم، الفص الشيثي؛ و مصنّفات مستقلّة أُخرى، لاحظ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ببليوغرافيا المهدويّة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طبعة عثمان يحيى، القاهرة، و في بعض الطبعات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لا يتوافق مع عقيدة الشيعة الإماميّة، و مرويّات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كثير من مخطوطات الكتاب في مكتبات تركيا و إيران و شمال أفريقيا كما في المتن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عطّار، مظهر العجائب، حكايت در تمثيل حال نادانان كه به خود گمان دانائى 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عطّار، مظهر العجائب، در نعت اولاد مرتضى عليهم السلام كه قرّة العين رسولند، بيت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نقد و تحليل مثنوي،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حاول بعض الشرّاح تأويل كلامه هذا، و تطبيقه على الإمام المهدي،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تبريزي، مخطوطة مدرسة سپسهالار في طهران، 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اقصى،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لأهل الخلوة و الجلوة،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الطبعة القديمة؛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طبعة دار صادر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النعيم المقيم لعترة النبأ العظيم،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الجدير بالذكر أنّ كثيراً من متصوّفي أهل السنّة كالقشيري، و السنائي، و العطار، و المولوي، و روزبهان البقلي، و عبد القادر الجيلاني، و السيوطي، و السخاوي، و المناوي يرون للأئمّة الاثني عشر منزلة سامية و مكانة رفيعة، حتّى عرف بعضهم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 الاثني عشري، من قبيل إبراهيم الحموي صاحب فرائد السمطين، و معين الدين الحويني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نگارستان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عمر بن شجاع الموصلي مؤلف النعيم المقيم، و الشبراوي صاحب إتحاف الإشراف، و غيرهم من العلماء ممّن يرون أهل البيت عليهم السلام أئمّة و معصومين، و إن عدّوا الخلافة و الحكومة شأناً آخر غير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التشيّع في إيران،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لأهل الخلوة و الجلوة،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من نظرات و معتقدات العرفاء و الصوفيّة عن الإمام المهدي عليه السلام، راجع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گونه شناسي انديشه موعود در عرفان و تصوّف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فكرة الموعود في العرفان و التصوّف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في كتاب گونه شناسي انديشه منجي موعود در اديان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فكرة الموعود في الأديان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قد استفدت منه في هذه المقدّمة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لملاحظة المنهج العرفاني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في موضوع المهدويّة راجع مثلاً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عشر صفحات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التبّانيّات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جمل العلم،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أرقام المصنّفات المتقدّمة حسب الترقيم الموجود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المتبقّى من التراث المفقود للشريف المرتضى،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أُطروحة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وزير مغربي وروش شناسي المصابيح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دكتوراه، مرتضي كريمي نيا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الشريف المرتضى،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 يسّر و لا تعسّر، الحمد للّه ربّ العالمين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 الإذلال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كبَتَ اللّهُ العدوَّ؛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أذَلَّه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فألممت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أحار عليه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أحرتُ له جواباً، و ما أحار 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أحارَ إليّ جواباً؛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ردّ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احتُمل أن يُقرأ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يحر تحيّر عاندٍ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لا تساعده النسخ الموجودة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صحيح بشرط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قاصداً إلى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يكون المعنى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رادٌّ قاصداً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الحقّ عن الطريق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الأولى و الأنسب بسياق الكلام أن تقرأ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يَعِد عامداً عن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ينحرف عن الطريق المستقيم متعمّداً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تهدى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الأوّل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يجيء بعد السابقِ؛ لأنّ رأسَه يَلي صَلا المتقدّم، و هو تالي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مأخوذ من الصِّلَوَيْن لا مَحالة، و هما مُكتنفا ذَنَبِ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بقاءه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 لي رأي في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اللَّهاة، بمعنى الهَنَة المطبقة في أقصى سقف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ترضي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الشيء،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بَهْرَجَهُ؛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التي قوبلت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سهولته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 و سهولته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نجد له وجهاً، و الظاهر أنّه من سهو النسّاخ، و نظير الكلام عن المصنّف رحمه اللّه في رسالة له في غيبة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المخالفين لنا في الاعتقاد يتوهّمون صعوبة الكلام علينا في الغيبة و سهولته عليهم، و ليس بأوّل اعتقاد جهل اعتقدوه، و عند التأمّل يبيّن عكس ما توهّموه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يستصعب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خلوّه من إمام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بسواه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يبقى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 التي يحتاج في حلّها إلى ضروب من التكلّف، و الطريقة التي أوضحناها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متصرّفاً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يفسد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ينحلّ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الذي يدلّ على وجوب عصمة الإمام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مع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في تعرّفِ ما عند الكيسانيّة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في تعرّف ما عند الناووسيّة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المنتظر أبو عبد اللّه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في تعرّف الواقفة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يعلم ضرورة أنّه لا ولد 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 و هو المطروح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الدعوى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بطل قول من راعى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وجوهاً صحيحة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يطابق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للعقل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يجوز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تجوّز أن يكون للغيبة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تجويز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تجويزك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تجويز أن تكون الغيبة 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تجويزك أن يكون للغيبة سبب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ينافي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يجتمع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نسلّم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لنعرف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المواضع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موضحها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نجز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يجز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دلائل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لفرعه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الغيبة مع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الغيبة مع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الخبر؛ لأنّه ليس أحدهما أصلاً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الغيبة مع الكلام في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من المعلوم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هذا واضح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غور الشيء، و التجربة، و 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يعوّلون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ننتزع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 نتبرّع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نسأل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يجيب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التفريع ليس له محلّ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جعل إليه التصرّف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الغار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اُخرى في الغار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معانده و مكابره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معاند مكابر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إمام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لائم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آبائهم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لولا قلّة التأمّل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بسببه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مواسدتهم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معضوب اللسان، إذا كان مقطوعًا عيَيّاً خَدماً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المعضوب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عَضَبَ فلاناً عن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و مَنَعُه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رسالة المصنّف رحمه اللّه في الغيبة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وجودالإمام من أجل الخوف من أعدائه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يتوقّع في هذه الحالة أن يمكّنوه فيظهر و يقوم بما فُوّض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عدمه جليّ واضح؛ لأنّه إذا كان معدومًا كان ما يفوت العباد من مصالحهم و يعدمونه من مراشدهم و يحرمونه من لطفهم منسوباً إلى اللّه سبحانه، لا حجّة فيه على العباد و لا لوم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يتمسّك به في الجدل، أو أصل يعوّل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بموتهم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كتم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على هذا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لهاوجهاً، و الظاهر أنّها سهو من النسّاخ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تقوم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بالإمام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يبسط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موجب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يرجع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يلحق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محترفة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يتفرّد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اعتقد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بالفراق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لهم مخالفون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لهم مخالفوهم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لهم مخالفونا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يختلّوننا في الاختلال 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تحيلوننا في الإخلال بشروط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 تقويته ممّا فيه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 تفويته ما فيه مصلحته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 تفويته فيما فيه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لسيت له ضرورة؛ لأنّ الكلام 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يلزم أن يكون كفرًا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يلزم أن يلحق الوليّ بالعدوّ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 و تعالى و نبيّه و أهل بيته الطاهرين عليهم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يتّفقون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يظهر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بسده فعلم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يستسلم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يتمحّل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المتعلّل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أضيافنا و الداخلين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أضيافنا أو الداخلين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شاهد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الذي يمنع من قال بغيبة الإمام من مثل ذلك؟ فنقول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فيتمكّنوا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نصّاره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 الأُمنيّةُ؛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أرَبَه، و نالَ أرَبَه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دفعاً للعيان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تمّت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وردت بدل العبارات التالية في المتن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أعلم ببقيّة النسخة إلى هنا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معلوم ضرورة، بل طريقه الدليل؛ فقد استوت حال الغيبة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بالمنفيّ، لا النفي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عدم وجوده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ما فعلوه و قد منعوا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تركهم لذلك التكليف إنّما وقع في حال فقدانهم اللطف فيه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قانعاً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تقدّم على الإمام الغائب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فساد بعض المكلّفين أو أكثرهم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 هو خلاف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إنّما يلزم إذا لم يتمكّنوا من ذلك الفعل بدون ذلك اللطف، و مع</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ورد أنّ الإمام في غيبته كالشمس يوم الغيم؛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نفعه لا ينقطع عن الأُمّة و الأولياء؛ كيف؟ و هم لاعتقادهم وجوده و تجويزهم ظهوره في كلّ وقت، و لعرض الأعمال عليه عليه السلام في كلّ غدوّ و رواح، يخافون منه و من تأديبه، فيكون ذلك لطفاً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كما ترى أنّ بعض الشيعة لا يجتهد في التقيّة في بلادالمخالفين، و لا يتحمّل أعباءها، فتصدر عنه أفعال و أقوال تُطير الرءوس و تذهب بالنفوس؛ و قد يصدر مثل ذلك من غير تعمّد و لا تقصير، بل لسبق اللسان و الجوارح إلى ما يُثمر ذلك، مع جدّه و اجتهاده في التستّر و الاتّقاء من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أجاب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بالقلب باستتار النبيّ صلّى اللّه عليه و آله في الغار فلم يعرف مكانه غير أبي بكر من أصحابه المؤمنين، و الجواب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بأنّ أولياءه عليه السلام فرقتان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تؤتمن عن الارتداد فيكون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خفائه عليه السلام عنهم زيادة في مثوبتهم و علوّ منزلة لاكتسابهم الأعمال بالمشاقّ الشديدة، و فرقة يعتقدون الديانة على ظاهر القول بالتقليد و الاسترسال دون النظر في الأدلّة فليسوا بمأمونين لو ظهر عليهم الإمام أو عرفوا مكانه من أن يدعوهم حبّهم للعاجلة إلى الإغراء به و السعي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عاند قوم موسى إمامهم هارون و ارتدّوا و اتّبعوا السامريّ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خفائه عنهم صيانة لنفسه و دينهم؛ فتبصَّر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يجب دوام استتاره لئلّا ينتقص أجر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يعلم اللّه من حال كثير من أوليائه في بعض الأعصار ارتكاب فسوق يستحقّون بها من العقاب ما لا يفي به أضعاف ما يفوتهم من الثواب فيقتضي اللطف ظهوره، أو يعلم من حال كثير من أعدائه أنّهم يؤمنون به عند ظهوره و يعترفون بالحقّ عند مشاهدته فيظهره لعموم الصلاح؛ فتثبَّت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يرضى بهذا التفصيل، كما مرّ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المنحرفين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المخرّفين من الخرافة، و المخرّف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بما يُستملح و لا يصدَّق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السهو</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زمان الغيبة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و المستحدث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يتبيّنه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ما فيه من الخبط؛ إذ التواتر إنّما يفيد العلم الضروريّ ببيان الرسول و الحجّة، و إذا لم يستقلّ البيان بل يفتقر إلى النظر و الاستدلال كان الافتقار باقياً مع التواتر أيضاً؛ و هذا مع تواتر البيان، لا إذا تواتر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افتقار البيان مطلقاً إلى النظر نظر؛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ريب أنّ العمل بجميع التكاليف واجب، فيجب تحصيل العلم بها، كما 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أنّ الوثوق غير واجب؛ إذ ليس لنا إلّاالعمل بما وصل إلينا و وثقنا به؛ إذ لا تكليف بما لا 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أنّا مكلّفون بكلّ ما أتى به الرسول؛ فتأمّل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الحجّة الواحدة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وجوب قطع الاختلاف بواسطة الإمام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يقيم الحدود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تفعيل من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رَجَمَه؛ أي قذفه و شتمه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رَجَم بالظنّ و رَجَّم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 ثم كثر حتّى وضعوا الرَّجم و الترجيم موضع الظنّ،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رَجماً؛ أي ظنّاً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مُرَجَّم؛ أي مظنون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يعرف الإمام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الأحكام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امتحنته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 و 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مؤدّيها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خلوّ التكليف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تغيير الشريعة و تبديل الأحكام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بكر الأصمّ من المعتزلة و الخوارج، فقد كانوا يقولون بذلك و يذهبون إلى أنّه لا حاجة إلى الإمام، و جعلوا شعارهم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إمرة إلّاللّه، فقال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حقّ يراد بها باطل، نعم إنّه لا حكم إلّاللّه، و لكن هؤلاء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إمرة إلّاللّه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أُصول الايمان،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شرح المواقف للايجي،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اللوامع الالهية للفاضل المقداد،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كان واصلاً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صارت واصلة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ليؤدّيه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الناس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نحدو، أي نحثّ، كأنّه مأخوذ من حدو الإبل، أي سوقها و الغناء لها و زجرها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حفظ الشريعة بوجود الإمام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واضح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أي سارَ على غير هُدىً،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عشواء، و هي الناقة التي في بصرها ضعف إذامشت لا تتوقّى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يجوز عدوله عن النقل بعد ذلك، فلا يعلم ذلك المنقول في المستقبل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الاستغناء عن الإمام بالتواتر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أيضاً في الموارد الآتية في العبارة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ما نقلته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ما تلقّته الأُمّة بالقبول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ما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أيضاً في الموارد الآتية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بخبر تقام صحّته بالاستدلال و 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بخبر يعلم صحّته باستدلال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 المغني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باستدلال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ترى أنّ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منعه عن إحضار الدواة و الكتف بحضرة النبيّ صلّى اللّه عليه و آله، مخافة كتابته النصّ على الوصيّ، معتذراً بكفاية كتاب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كثير من الحوادث متحيّراً؛ إمّا سائلاً و إمّا مخترعاً؟ و اشتمال الكتاب لكلّ حكم من الأحكام لا ينافي ذلك؛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الأحكام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فلانٌ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بيّنه و أوضحه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 ينقله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فتحيل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جعلته محالاً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هناك داعٍ و لا غرضٌ يُعرَفُ للعقلاء في تعمُّدِ الكتمان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الإخبار عن كون الرسول صلّى اللّه عليه و آله كان موجوداً في 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هذاالكلام في نهاية عبارة المغني الأخيرة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معجزات الرسول صلّى اللّه عليه و آله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بالنقل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لَذكرها مخالفونا من اليهود و النصارى في كتبهم، و لاشتهر فيهم و في أهل الإفرنج؛ و ليس، فليس؛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حاشية بعض النسخ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لازم عليكم في اعتلالكم؛ فما هو جوابكم فهو جوابنا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حاشية بعض النسخ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 أشار محقّق المغني في الهامش إلى أنّها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نصبها على التمييز، و إلّافكونها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الزمان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نرجع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ما تقدّم في عبارة المغني السابقة من العدول في باب الأحكام إلى الصلح و التراضي عند سقوط الحدود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مأخوذ من القول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ذنبه في جنبه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يلزم من سقوط الحدود حال تعذُّر إقامة الإمام سقوطها حال التمكّن من إقامته، فكذا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من سقوطها حال غيبة الإمام و إخافة الظالمين له سقوطها حال عدم الإمام و فقده، فوجب عليه تعالى نصبُه توسّلاً إلى ما أوجبه من إقامة الحدود و تنفيذ الأحكام؛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القول بأنّ الشريعة يمكن أن تكون محفوظة بالتواتر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علي الجبّائي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نطلب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نقول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نجعل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ألزمناهم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الخبر، أي عَدَّه سالماً من الطعن و الخدش</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الابتداء بالاستدلال بإجماع النصارى أو اليهود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يتعاطى كذا، أي يخوض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كلّ حال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نعلم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نعرف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9803</w:t>
      </w:r>
      <w:r>
        <w:rPr>
          <w:rFonts w:ascii="IRNazanin" w:hAnsi="IRNazanin" w:eastAsia="IRNazanin"/>
          <w:b w:val="false"/>
          <w:b w:val="false"/>
          <w:bCs w:val="false"/>
          <w:i w:val="false"/>
          <w:i w:val="false"/>
          <w:iCs w:val="false"/>
          <w:color w:val="333333"/>
          <w:sz w:val="20"/>
          <w:sz w:val="20"/>
          <w:szCs w:val="20"/>
          <w:rtl w:val="true"/>
        </w:rPr>
        <w:t xml:space="preserve">؛ جواهر العقدين،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تبطل 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النصّ عليه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دلّت لم تدلّ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متوازية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للمكلّف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الدار و يسمّى يوم الإنذار أيضاً، و المراد بالدار دار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ذلك لمّا أنزل اللّه تعالى على نبيّه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فدعاهم صلّى اللّه عليه و آله إلى دار عمّه أبي طالب، و هم يومئذ أربعون رجلاً يزيدون رجلاً أو ينقصون رجلاً، و فيهم أعمامه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و العبّاس، و حمزة، و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فكلّمهم رسول اللّه صلّى اللّه عليه و آله و كان من جملة ما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عبد المطلب، إنّي و اللّه ما أعلم شابّاً في العرب جاء قومه بأفضل ممّا جئتكم به، جئتكم بخير الدنيا و الآخرة، و قد أمرني اللّه أن أدعوكم إليه، فأيّكم يؤازرني على أمري هذا على أن يكون أخي و وصيّي و خليفتي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فأحجم القوم غير عليّ عليه السلام و كان أصغرهم إذ قام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يا نبيّ اللّه أكون وزيرك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فأخذ رسول اللّه صلّى اللّه عليه و آله برقبته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أخي و وصيّي و خليفتي فيكم، فاسمعوا له و أطيعوا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القوم يضحكون و يقولون لأبي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أمرك أن تسمع لابنك و 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تهذيب الآثار،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 الأخير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الكافي للكليني،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إثبات الهداة بالنصوص و المعجزات للحرّ العاملي، و غيرها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الفرقة التي ساقت الإمامة بعد أمير المؤمنين عليه السلام إلى ابنه محمّد بن الحنفيّة مباشرة، و سمّاها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رِزام بن رِزام، و هي إحدى فرق الكيسانيّة التي قالت كلّها بإمامة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شاهدوا محمّداً رحمه اللّه في جميع أحواله بعد أمير المؤمنين عليه السلام راجعاً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بيّنّا مقولة محمّد رحمه اللّه في جميع أحواله بعد أمير المؤمنين عليه السلام راجعاً إليهما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كالمعتزلة، و منهم القاضي عبد الجبّار، فقد أثبت إمامة الإمام الحسن عليه السلام ببيعة فريق من الناس له بعد موت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مستقيماً مستوياً، أو واضحاً،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طريق 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مستوياً لاحَدَب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الطراز،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قول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تصريح المصنّف رحمه اللّه بذلك بعد قليل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اليسيرة من الشراب تبقى في أسفل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 أحداً من الأئمّة يدّعى 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بَوَّأتَها بيتاً، و هي فُعْلِيَّة، منسوبة إلى السرّ، و هو الجماع أوالإخفاء؛ لأنّ الإنسان كثيراً ما يُسِرُّها و يَستُرُها من حُرّته، و إنّما ضُمّت سينُه لأنّ الأبنية قد تُغيّر في النسبة خاصّة، كما قالوا في النسبة إلى الدهر دُهْرِيّ، و إلى الأرض السَّهلة سُهليّ،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الأخفش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مشتقّة من السرور؛ لأنّه يُسَرُّ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تَسَرَّرْتُ جارية، و تَسَرَّيتُ أيضاً،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تَظَنَّنْتُ و تَظَنَّيْتُ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من عبارة المغني المتقدّمة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في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الهشيمة، و هي الشجرة اليابسة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هُوج العاصفات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الشديدة العاصفة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يُلبس من قميص أو 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الدوافن للآثار الطامسة لرسوم الديار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السحائب الممطرة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المهجة، و هي دم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سَراة القوم و سرواتهم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أشرافهم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الهاء وتخفيفها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الجسم، و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والمرهَفات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المرهَفة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أقتاد أنجب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خشب الرحل،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قتب، و هو الرحل بكماله، إلّاأنّه كان يستعمل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يجيء فى أوّل قصيدةٍ ثائيّة من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النجيب، و هو من الإبل كريمها السريع، و سُكّنت الجيم للتخفيف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الناجية، مثل النجب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أجواز 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لغويّ للشواة، و هي جلدة الرأس، و الشّوى الأعضاء أيضاً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صهوة، و هي مقعد الفارس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النافرات أو الشامسات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السرب و هو القطيع من الغنم و غيره، واستعاره لجماعاتهم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الشاقّات؛ من فرَى الأديمَ أي شَقّه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عصائب و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السائرات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الدآدي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الدأدأة، و هي آخر ليالي الشهر المظلمة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المقيّد بالغلّ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ومَفلول 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منثلم الحدّ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التِّرَة، و هي الذحل والثأر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فى الأصل،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المُرصِدات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المترقّبات، من التَّرصُّد و هو التَّرقُّب، و الرَّصَد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الحارس و المراقب، يستوي فيه المفرد و الجمع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الراميات المصيبات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تعثر،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الخيلُ تردي ردياً وردياناً؛ أي رجمت الأرضَ بحوافرها في عَدوِها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الكميت، و هو من الخيل أو الإبل بَينَ الأشقر و 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الكميّ، و هو الشجاع لابس السلاح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القوّة والشدّة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اشتدّت شهوتُه إلى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المعتدي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 و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أفواه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واليَعملات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 النوق، مفردها يَعمَلة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الآسي، و هو الطبيب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السِّنَة، و هي أوّل النوم أو الفتور الذي يتقدّمه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الممطِرة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الوَكْف والوَكيف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تقاطُر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عبق به الطيب؛ أي 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 ريح الطيب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قال يرثى جدّه الحسين عليه السلام و يستنهض المهديّ عليه السلام لثأره في الأنام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عليهم السلام،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وعر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 لم يسهل السير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الدهريّين القائلين بأنّ طريق حصول العلم الحسّ فقط؛ و هم يعبدون الأصنام، و يقولون بالتناسخ، و تنكرون حصول العلم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سومنات، بلدة من الهند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المعتمدتين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وفقاً لقول النحو و لبعض النسخ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المعتمدتين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جميع النسخ الموجودة عندنا، و العبارة ناقصة كما هو الظاهر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الرسالة المسمّاة بالمسائل الموصليّات من الكتاب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هو المفيد رحمه اللّه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يكون في تقيّة منّي بعد معرفته أنّي على حقيقة المعرفة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المَهارةُ في كلّ عمل و معرفةُ غَوامضها و دَقائقها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تقيّته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ترد هذه العبارة في بعضها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أنّما اثبت في المطبوع تصحيف، و لا مفرّ منه؛ لأنّ الكلمة غير مقروءة، و ظاهرها غير موجّه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الأَنْفَعُ</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الاختلاط، و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الكثرة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اللبس، و الفساد، و الاختلاط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 هَرْجٌ و 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فتُسكِنُ المَرْجَ مع الهَرْجَ مزاوجة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و فتنة و تهويش و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 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مصدر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الفصل السابق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الناقص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الإفصاح في الإمامة،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 الخديعة، و الاغتيال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السيّد قدّس اللّه روحه سألين الشيخ أبو الحسن بن محمّد بن الحسين البصريّ إملاء كلام مختصر في تفصيل الأنبياء عليهم السلام على الملائكة و أنا أجب إلى ذلك إيجاباً بالمسئلته و رغبته و من اللّه تعالى أستمدّ المعونة و التوفيق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يقولون بإمامة محمّد بن الحنفيّة بعد أبيه أمير المؤمنين عليه السلام أوبعد أخويه الحسنين عليهما السلام، و الكيسانيّة منسوبة إلى كيسان، و هو إمّا اسم لمحمّد بن الحنفيّة، أو اسم للمختار بن أبي عُبيد الثقفيّ نفسه، أو هو اسم لصاحب شرطته المكنّى بأبي عمرة، أو اسم مولى لأميرالمؤمنين عليه السلام و هو الذي حمل المختار على الطلب بدم سيّد الشهداء أبي عبد اللّه الحسين عليه السلام و دلّه على قتلته و كان صاحب سرّه و مؤامرته و الغالب على أمره؛ على اختلاف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يفترقون إلى فِرق شتّى بعضهم أنّها إلى إحدى عشرة فرقة، و هم على كثرة فِرقهم يجمعهم شيئان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القول بإمامة محمّد ابن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طائفة منهم بأنّه المهديّ المنتظر في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ثانيهما القول بالبداء على اللّه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رجل من أهل البصرة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أتباع ابنه عَجلان، أو أتباع رجل كان ينتسب إلى ناووس بالبصرة،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إلى قرية ناووس، أو ناووسا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يسوقون الإمامة إلى مولانا الإمام الصادق عليه السلام بنصّ الإمام الباقر عليه السلام عليه،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الصادق عليه السلام حيّ بعدُ و لن يموت حتّى يَظهر فيُظهر أمره، و هو القائم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رووا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رأيتم رأسي تدهده عليكم من الجبل فلا تصدّقوا؛ فإنّي صاحبكم صاحب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الفرقة الإسماعيليّة، و ربّما يُعبَّر عنهم بالقرامطة تارة، و بالخطّابيّة أُخرى؛ أصحاب أبي الخطّاب محمّد بن أبي زينب الأسديّ الأجدع، و هم القائلون بإمامة إسماعيل بن جعفر عليه السلام، و لمّا مات إسماعيل في حياة أبيه عليه السلام جعلوا الإمامة في ابنه 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إسماعيل لم يمت، و لكنّه أظهر موته تقيّة عليه حتّى لا يُقصد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فرقة كبيرة في العصر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 أو 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توقّفوا عند إمامة الإمام موسى الكاظم عليه السلام، و لم يعترفوا بإمامة ابنه عليّ بن موسى الرضا عليه السلام، و هؤلاء المعروفون بالواقفيّة، و قد اختصّت بهم هذه التسمية، فلا تتبادر منها إلّاهذه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لقَّب هذه الطائفةَ بعضُ مخالفيها ممّن قال بإمامة عليّ بن موسى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غلب عليها هذا الاسم و شاع لها، و كان سبب ذلك أنّ عليّ بن إسماعيل الميثميّ و يونس بن عبد الرحمن ناظرا بعضهم، فقال له عليّ بن إسماعيل و قد اشتدّ الكلام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إلّاكلاب 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زعموا أنّ من دعا إلى طاعة اللّه عزّو جلّ من آل محمّد صلّى اللّه عليه و آله فهو إمام مفترض الطاعة،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إماماً حين دعا الناس إلى نفسه، ثمّ الحسن و الحسين عليهما السلام، ثمّ زين العابدين عليه السلام، ثمّ زيد بن عليّ، ثمّ يحيى بن زيد، ثمّ عيسى بن زيد، ثمّ محمّد بن عبد اللّه بن الحسن بن عليّ بن أبي طالب عليهم السلام؛ فهؤلاء عندهم أئمّة قاموا و دعوا الناس إلى أنفسهم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مزاحي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غير مُزالي العلّة،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زاح الشيءَ يزوحه، و أزاحه إزاحةً، أي أزاله عن مكانه، و هو مَزوح و 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مقتضى السياق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سيبيّنه و يُرجِع الأمرَ إلى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سيُشير إليه و يُرجِع الأمر إلى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الأصل؛ فإنّ الكذب قد يستعمل في غير الإنسان،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الظنُّ و البرقُ و الرجاءُ و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 المحيط الأعظم،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مقتضى السياق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كُفينا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سلكه و ركبه من غير قصد و لا 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تنزيه الأنبياء،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الطرابلسيّات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غيبة الحجّة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كقصيرها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بين المعقوفين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تصنيف كتُب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عدّة من المؤرّخين،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السِّجِستانيّ، و أبو مِخنَف الأزديّ، و أبو مُنذِر هشام بن محمّد الكلبيّ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اتّفاقَ الرجعة و التكليف و اجتماعَهما أمراً مُحالاً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أقلام النُّسّاخ ظاهراً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يختارون تَركَ القبيح و فعلَ الواجب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حاشية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مسألة في الرجعة من جملة الدمشقيات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الأُولى من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المَسَائل الطَّرَابُلُسيَّات الأُولى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وُجُوبِ جِنسِ الإمَامَةِ مِن الرِّئاسَةِ في كُلِّ زَمَانٍ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الظاهر أنّه خطأ و تصحيف؛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المُقنع في الغَيبة،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في رسالة في غيبة الحجّة ورسائل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جمل العلم و العمل،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ورد في معجم أُمّهات الأفعال،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الحسين بن 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أسأتُ الأدَبَ فقوّمني أميرالمؤمنين،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عاقبني تأديباً لي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الإفصاح،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غشمه يغشُمه غَشما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أشدَّ الظُلم،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غاشمٌ و 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غشَم الراعى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خبَطهم بعَسفه و أخذ ما 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بعضُهم بعضاً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المُثْلى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الأَشْبَهُ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و الاسْتِحالة و الاضْمِحْلال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ورد في معجم أُمّهات الأفعال،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الحسين بن 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أسأتُ الأدَبَ فقوّمني أميرالمؤمنين،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عاقبني تأديباً لي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أبواب التوحيد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عبدالجبّار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إلي قول السائل فيما سبق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في تِلكَ الحَادِثةِ حُكمٌ مَعَ غَيبتِه خِلافَ‌الحُكمِ مَعَ ظُهُورِه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فلانٌ بكذا،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يَحوجُ حَوْجاً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فانّ ذلك يوجب الاستغناءبالرّسول إذا بيّن بياناً يشتهر بطريقة التواتر هذه الأُمور التي ذكروها، كما يستغنى الآن عن الإمام في وجوب الصّلوات، فانّ الفرض أن يستقبل القبلة و يصلّي بطهارة إلى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بيّنّا ما يصحّ أن يستغنى فيه بالتواتر و ما لا يصحُّ أن يستغنى بذلك فيه و فصّلنا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الإمام فليس يستغنى عنه في وجوب الصلوات إلى سائر ما ذكره على ما ظنّه، لأنّ أصحابنا قد ذكروا وجوه الحاجة إليه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تأكيد العلوم و إزالة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أنّه يبيّن ذلك و يفصّله، و ينبّه على مشكله و غامضه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كونه من وراء الناقلين ليأمن المكلّفون من أن يكون شيء من الشرع لم يصل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وجب أن يطلق الاستغناء عن الإمام في هذه الأُمور من حيث كان لنا طريق يوصل إلى العلم بها من غير جهة لوجب على صاحب الكتاب و أهل مذهبه أن يطلقوا الاستغناء عن الرسول في جميع ما أدّاه إلينا ممّا علّمناه قبل أدائه بالعقل، و من أطلق ذلك خرج من جملة المسلمين، و ليس يمكن أن يمتنع منه و يحتجّ فيه إلّابمثل ما احتججنا به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ورد أيضاً هذا الضبط،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بعض نسخ تنزيه الأنبياء،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المقنع في الغيبة،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شَبِعْتُ من هذَا الأَمْرِ و رَوِيتُ، إِذا كَرِهْتَه و مَلِلْتَه، نَقَلَه الجَوْهَرِيُّ، و هو مَجَازٌ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يُخنَق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أشْكَلَ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 و اخْتَلَطَ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أَشْكَلَ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أكثر النسخ، و هو الأصحّ و الأرجح في كتابة هذه الكلمة كما كتبت بهذه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شَرِكَه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و الجمع نُسَباءُ و أَنْسِباء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يناسِبُ فلاناً، فهو نَسِيبه،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نَسِيبٌ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حَسَبٍ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المنسوب إلى الصفّار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في ذكر الأبواب التي علّم رسول اللّه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عليهما و على أولادهما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وردت روايات عديدة بالطُرُق المتعدّدة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الإشارةِ والنصِّ عَلى أميرالمؤمنينَ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هذا المستدرك كثيراً ممّا ذكره في هذه المواضع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 و اخْتَلَطَ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اشْتَبه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ثابت، التيمي بالولاء،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الحنفيّة، أحد الأئمّة الأربعة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أبناء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نشأ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يبيع الخز و يطلب العلم في صباه، ثمّ انقطع للتدريس و 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جمعه تلاميذه، 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صغير، رواه عنه تلميذه 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تنسب إليه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 و أخباره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 المجرور 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إظهارهم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تَقتَضِ حِكمَتُه حينئذٍ إظهارَهُم بِالقَهرِو الإعزَازِ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به جِهَاراً مُفَرِّقاً بينَه و بَيْنَ الباطِلِ، و هُوَ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التفخيمُ، و التعظيمُ، ضِدٌّ، و الإِعانَةُ، و ضَرْبٌ دونَ الحَدِّ، أو هو أشَدُّ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معني لما في النسخ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هاهنا تصحيفاً، و الصحيح ظاهراً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ما سيأتي بعد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كَذلِكَ إذا أخَافُوه عَلى نفسِه فَاستَتَرَ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أظْهُرِهِم،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وسَطَهُم و في مُعْظَمِهِم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أَطالَ الفِكْرةَ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مِن جهة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 من 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كَذَا بالبِناءِ للمَفْعُول إِذَا تَمَسَّكَ بِهِ وَ لَمْ يَصْلُحْ للتَّمَسُّكِ فأَخْطَأ</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 بن عدي بن عبد الرحمن الثعلبي الطائي البحتري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عالمٌبالأدب و النسب، أصله من منبج، و إقامته و شهرته بالكوفة، اختصّ بمجالسة المنصور و المهدي و الهادي و الرشيد، و روى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بيوتات العرب، بيوتات قريش، ولاة الكوفة، خطط الكوفة، أخبار الحسن بن عليّ،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عبيد معمّر بن المثنّى التميمي بالولاء، البصري، النحوي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العلم بالأدب و اللغة، مولده و وفاته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استقدمه الهارون إلى بغداد سنة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قرأ عليه أشياء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مئتي مؤلَّف،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نقائض جرير و الفرزدج، و مجاز القرآن، و العقة و البررة،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عليهم السلام برواية الجهضمي،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عليهم السلام برواية الجهضمي،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عليهم السلام برواية الجهضمي،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بمذاهبه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أقلام النُّسّاخ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الكلمة إنما هي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اللازم أن تؤنّث</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يعتقدون، و لا يذهبون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المنبسطة التي لا تبلُغ الهَضْبة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يسيلُ إلى اللينِ و قلّةِ الخشونة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 و الأصحّ 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المعبَّد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سَلَكَ الجَدَدَ أَمِنَ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قطب الدين الراوندي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إجماعها حجّة 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 ذكره في مقدّمة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السيّد المرتضى رحمه اللّه إلى هذا في رسائله، و قال بعد ذكر جواب التبّانيّات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كتاب نصرة ما انفردت به الشيعة الإماميّة من المسائل الفقهيّة، فإنّ هذا الكتاب مبنيّ على صحّة هذا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نقله الطبرسي في الاحتجاج، و كذلك الراوندي في فقه القرآن من غير إشارة إلى نقله عن المرتضى، و حذف نهاية كلام السيّد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الطريقة واضحة مشروحة في غير موضع من كتبنا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ابن التبّان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الملك بن محمّد التبّان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معتزليّاً ثمّ أظهر الانتقال و لم يكن ساكناً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درس الشريف المرتضى و انتفع به، و سأله مسائل، أجاب عنها المرتضى، و عرفت بالمسائل التبّانيّات، و هي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 عن مسائله و هو يجيب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وجدتها عند التصفّح و التأمّل دالّة على فكر دقيق التوصّل، لطيف التغلغل، فكم من شبهة لقوّتها و دقّتها أدلّ على الفطنة من حجّة جليّة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الطهراني في طبقات أعلام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يظهر من تشقيقاته لمسائله كمال تبحّره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للتبّان كتاب في تكليف من علم اللّه أنّه يكفر، و كتاب في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جوابات المسائل التبّانيّات، و 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كتابه المعروف بالانتصار؛ قد تكلّم فيه عن هذه المسئلة مفصّلاً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 المطبوع ما أثبتناه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الاتّفاق في الفصول،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العدّة لأبي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العدّة للشيخ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جعفر بن حرب و جعفر بن مبشِّر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النظّام من المعتزلة إلى أنّ الإجماع كلّ قول يجب اتّباعه سواء صدر من جمع أو من واحد، و سمّى لذلك خبر النبيّ صلّى اللّه عليه و آله و سلّم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بداية الخلاف في حجّيّة الإجماع إليه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الصيرفيّ عن بعضهم و لم يسمّه، انظر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التبخيت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 الواقع في سبيل الابتداء من غير نظر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الرازيّ و الآمديّ عن بعض من غير تسمية، و وافقه الرازيّ في غير عصر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الإحكام للآمديّ،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أحمد بن حنبل أنّه قال في رواية ابنه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ادّعى الإجماع فقد كذب، لعلّ الناس قد اختلفوا، و لكن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 الناس اختلفوا، إذ لم يبلغه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الإحكام للآمديّ،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في إجماع الأُمّة حجّة من حيث كان إجماعاً، و لكن من حيث كان فيها الإمام المعصوم، فإذا ثبت أنّها كلّها على قول فلا شبهة في أنّ ذلك القول هو قول المعصوم؛ إذ لو لم يكن كذلك كان الخبر عنها بأنّها مجمعة باطل، فلا تصحّ الحجّة بإجماعها لهذا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الفائدة في ذكر غير الإمام معه و الحجّة في قوله بعينه، فإنّما يُسأل عنها من استعمل هذه اللفظة مبتدئاً مع تميّز قول الإمام، و نحن لا نكاد نستعملها في مثل هذه الحال، و إنّما نجيب بالصحيح عندنا فيه عند سؤال المخالف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كونه حجّة توجب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تعدّي حكمه إلى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التلخيص،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أُمور الدين فإنّه يكون اتّفاقهم حجّة فيه، سواء كان عقليّاً نحو رؤية اللّه تعالى لا في جهة و نفي ثان مثله، أو كان شرعيّاً؛ لأنّه يمكن العلم بصحّة الإجماع قبل العلم بذلك، إذ الشكّ في ذلك لا يُخلّ بالعلم باللّه تعالى و حكمته و صدق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قواطع الأدلّة،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عبد الجبّار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الإجماع في كونه حجّة فرع على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بعض المتكلّمين، و اختاره القاضي عبد الجبّار في كتاب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قواطع الأدلّة،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تفصيل الخلاف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اختيار القاضي عبد الجبّار و بعض من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الهارونيّ القولين و الأدلّة بتفصيل أكثر من دون تسمية أصحابهما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الإحكام للآمديّ،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تحطّ من درجته و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تفصيله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ثمّ قال الهارونيّ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 صحّة ما ذكرناه لبطل أكثر الإجماعات؛ لأنّ الإجماع الذي يظهر فيه إطباقهم على الحكم من طريق القول يقلّ وجوده، و أكثر الإجماعات إنّما تُعلم بأن يقول بعضهم بحكم و يظهر من بعضهم الرضا به بأن سكتوا عن نكيره، أو يظهر من بعضهم الفعل 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عبد الجبّار ما ملخَّصه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 في الإجماع المعتبر، بعد اتّفاقهم على أنّه حجّة؛</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باعتبار قول العوامّ حُكي عن قوم من المتكلّمين و نُسب إلى القاضي أبي بكر الباقلّانيّ على خلاف، و القول بدخول المبتدع غير الكافر اختيار بعضهم و نُسب إلى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التبصرة،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أبي عليّ الجُبّائيّ، و حكاه الجصّاص عن بعضهم و اختاره، و إليه ذهب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أحمد، و ذهب الباقلّانيّ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لم ينتصب للفتوى، و لم يتصدَّ لجمع مسائل الفروع، و لكن لمّا كان من العالمين بأُصول الديانات و أُصول الفقه، و كان يعلم مواقع الأدلّة و موجَبها و وجه إفضائها إلى الأحكام الشرعيّة، و طرق الاستنباط، و وجوه الترجيح عند تعارض الأدلّة، و تقديم بعضها عند التباس الحال، فهو من أهل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حكاه الهارونيّ عن شيوخه المعتزلة و اختاره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العدّة لأبي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العدّة للشيخ،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التلخيص،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الجصّاص، و نُسب إلى أحمد و ابن جرير و أبي الحسين الخيّاط و كثير من شيوخ المعتزلة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الإحكام لابن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العدّة لأبي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التلخيص،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قواطع الأدلّة،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منسوب إلى الأكثرين، و حُكي عن أحمد و الجُبّائيَّين و أبي الحسن الكرخيّ و أبي عبد اللّه البصريّ، و اختاره الباقلّانيّ و القاضي عبد الجبّار و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الشاذّ لا يُعدّ في الخلاف، إذا كان الإجماع قد تقرَّر و ثبت و شذّ البعض، فأمّا إذا لم يثبت الإجماع فقول الواحد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الإحكام لابن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العدّة لأبي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التلخيص،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الإحكام للآمديّ،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التلخيص،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المجزي،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العدّة لأبي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المسألة الستّون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59536</Words>
  <Characters>236435</Characters>
  <CharactersWithSpaces>293767</CharactersWithSpaces>
  <Paragraphs>2484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2026-08-27T09:43:24Z</dcterms:created>
  <dc:creator>ghaemiyeh.com</dc:creator>
  <dc:description/>
  <dc:language>en-US</dc:language>
  <cp:lastModifiedBy/>
  <dcterms:modified xsi:type="dcterms:W3CDTF">2026-08-27T13:13:39Z</dcterms:modified>
  <cp:revision>1</cp:revision>
  <dc:subject/>
  <dc:title>المقنع فی الغیبه و ملحقاته</dc:title>
</cp:coreProperties>
</file>

<file path=docProps/custom.xml><?xml version="1.0" encoding="utf-8"?>
<Properties xmlns="http://schemas.openxmlformats.org/officeDocument/2006/custom-properties" xmlns:vt="http://schemas.openxmlformats.org/officeDocument/2006/docPropsVTypes"/>
</file>