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العقیدة المهدویة اشکالات و معالجات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3481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13483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13485_1051229030">
            <w:r>
              <w:rPr>
                <w:webHidden/>
                <w:rStyle w:val="IndexLink"/>
                <w:rtl w:val="true"/>
              </w:rPr>
              <w:t>مقدّمة المركز</w:t>
            </w:r>
            <w:r>
              <w:rPr>
                <w:rStyle w:val="IndexLink"/>
                <w:rtl w:val="true"/>
              </w:rPr>
              <w:t>:</w:t>
              <w:tab/>
            </w:r>
            <w:r>
              <w:rPr>
                <w:rStyle w:val="IndexLink"/>
              </w:rPr>
              <w:t>8</w:t>
            </w:r>
          </w:hyperlink>
        </w:p>
        <w:p>
          <w:pPr>
            <w:pStyle w:val="Contents2"/>
            <w:tabs>
              <w:tab w:val="clear" w:pos="8743"/>
              <w:tab w:val="right" w:pos="9026" w:leader="dot"/>
            </w:tabs>
            <w:rPr/>
          </w:pPr>
          <w:hyperlink w:anchor="__RefHeading___Toc1013487_1051229030">
            <w:r>
              <w:rPr>
                <w:webHidden/>
                <w:rStyle w:val="IndexLink"/>
                <w:rtl w:val="true"/>
              </w:rPr>
              <w:t>مقدّمة المؤلّف</w:t>
            </w:r>
            <w:r>
              <w:rPr>
                <w:rStyle w:val="IndexLink"/>
                <w:rtl w:val="true"/>
              </w:rPr>
              <w:t>:</w:t>
              <w:tab/>
            </w:r>
            <w:r>
              <w:rPr>
                <w:rStyle w:val="IndexLink"/>
              </w:rPr>
              <w:t>10</w:t>
            </w:r>
          </w:hyperlink>
        </w:p>
        <w:p>
          <w:pPr>
            <w:pStyle w:val="Contents2"/>
            <w:tabs>
              <w:tab w:val="clear" w:pos="8743"/>
              <w:tab w:val="right" w:pos="9026" w:leader="dot"/>
            </w:tabs>
            <w:rPr/>
          </w:pPr>
          <w:hyperlink w:anchor="__RefHeading___Toc1013489_1051229030">
            <w:r>
              <w:rPr>
                <w:webHidden/>
                <w:rStyle w:val="IndexLink"/>
                <w:rtl w:val="true"/>
              </w:rPr>
              <w:t>تمهيد</w:t>
            </w:r>
            <w:r>
              <w:rPr>
                <w:rStyle w:val="IndexLink"/>
                <w:rtl w:val="true"/>
              </w:rPr>
              <w:t>:</w:t>
              <w:tab/>
            </w:r>
            <w:r>
              <w:rPr>
                <w:rStyle w:val="IndexLink"/>
              </w:rPr>
              <w:t>12</w:t>
            </w:r>
          </w:hyperlink>
        </w:p>
        <w:p>
          <w:pPr>
            <w:pStyle w:val="Contents2"/>
            <w:tabs>
              <w:tab w:val="clear" w:pos="8743"/>
              <w:tab w:val="right" w:pos="9026" w:leader="dot"/>
            </w:tabs>
            <w:rPr/>
          </w:pPr>
          <w:hyperlink w:anchor="__RefHeading___Toc1013491_1051229030">
            <w:r>
              <w:rPr>
                <w:webHidden/>
                <w:rStyle w:val="IndexLink"/>
                <w:rtl w:val="true"/>
              </w:rPr>
              <w:t>القسم الأوّل</w:t>
            </w:r>
            <w:r>
              <w:rPr>
                <w:rStyle w:val="IndexLink"/>
                <w:rtl w:val="true"/>
              </w:rPr>
              <w:t xml:space="preserve">: </w:t>
            </w:r>
            <w:r>
              <w:rPr>
                <w:rStyle w:val="IndexLink"/>
                <w:rtl w:val="true"/>
              </w:rPr>
              <w:t>تأسيس الأصل</w:t>
            </w:r>
            <w:r>
              <w:rPr>
                <w:rStyle w:val="IndexLink"/>
                <w:rtl w:val="true"/>
              </w:rPr>
              <w:tab/>
            </w:r>
            <w:r>
              <w:rPr>
                <w:rStyle w:val="IndexLink"/>
              </w:rPr>
              <w:t>16</w:t>
            </w:r>
          </w:hyperlink>
        </w:p>
        <w:p>
          <w:pPr>
            <w:pStyle w:val="Contents3"/>
            <w:tabs>
              <w:tab w:val="clear" w:pos="8459"/>
              <w:tab w:val="right" w:pos="9026" w:leader="dot"/>
            </w:tabs>
            <w:rPr/>
          </w:pPr>
          <w:hyperlink w:anchor="__RefHeading___Toc1013493_105122903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013495_1051229030">
            <w:r>
              <w:rPr>
                <w:webHidden/>
                <w:rStyle w:val="IndexLink"/>
                <w:rtl w:val="true"/>
              </w:rPr>
              <w:t>تمهيد</w:t>
            </w:r>
            <w:r>
              <w:rPr>
                <w:rStyle w:val="IndexLink"/>
                <w:rtl w:val="true"/>
              </w:rPr>
              <w:t xml:space="preserve">: </w:t>
            </w:r>
            <w:r>
              <w:rPr>
                <w:rStyle w:val="IndexLink"/>
                <w:rtl w:val="true"/>
              </w:rPr>
              <w:t>طوائف الناس في المجتمعات</w:t>
            </w:r>
            <w:r>
              <w:rPr>
                <w:rStyle w:val="IndexLink"/>
                <w:rtl w:val="true"/>
              </w:rPr>
              <w:t>:</w:t>
              <w:tab/>
            </w:r>
            <w:r>
              <w:rPr>
                <w:rStyle w:val="IndexLink"/>
              </w:rPr>
              <w:t>18</w:t>
            </w:r>
          </w:hyperlink>
        </w:p>
        <w:p>
          <w:pPr>
            <w:pStyle w:val="Contents3"/>
            <w:tabs>
              <w:tab w:val="clear" w:pos="8459"/>
              <w:tab w:val="right" w:pos="9026" w:leader="dot"/>
            </w:tabs>
            <w:rPr/>
          </w:pPr>
          <w:hyperlink w:anchor="__RefHeading___Toc1013497_1051229030">
            <w:r>
              <w:rPr>
                <w:webHidden/>
                <w:rStyle w:val="IndexLink"/>
                <w:rtl w:val="true"/>
              </w:rPr>
              <w:t>الأصالة للاحتياط</w:t>
            </w:r>
            <w:r>
              <w:rPr>
                <w:rStyle w:val="IndexLink"/>
                <w:rtl w:val="true"/>
              </w:rPr>
              <w:t>:</w:t>
              <w:tab/>
            </w:r>
            <w:r>
              <w:rPr>
                <w:rStyle w:val="IndexLink"/>
              </w:rPr>
              <w:t>24</w:t>
            </w:r>
          </w:hyperlink>
        </w:p>
        <w:p>
          <w:pPr>
            <w:pStyle w:val="Contents2"/>
            <w:tabs>
              <w:tab w:val="clear" w:pos="8743"/>
              <w:tab w:val="right" w:pos="9026" w:leader="dot"/>
            </w:tabs>
            <w:rPr/>
          </w:pPr>
          <w:hyperlink w:anchor="__RefHeading___Toc1013499_1051229030">
            <w:r>
              <w:rPr>
                <w:webHidden/>
                <w:rStyle w:val="IndexLink"/>
                <w:rtl w:val="true"/>
              </w:rPr>
              <w:t>القسم الثاني</w:t>
            </w:r>
            <w:r>
              <w:rPr>
                <w:rStyle w:val="IndexLink"/>
                <w:rtl w:val="true"/>
              </w:rPr>
              <w:t xml:space="preserve">: </w:t>
            </w:r>
            <w:r>
              <w:rPr>
                <w:rStyle w:val="IndexLink"/>
                <w:rtl w:val="true"/>
              </w:rPr>
              <w:t>النظر في المفردات المهدوية على صعيد التصوّر والتصديق</w:t>
            </w:r>
            <w:r>
              <w:rPr>
                <w:rStyle w:val="IndexLink"/>
                <w:rtl w:val="true"/>
              </w:rPr>
              <w:tab/>
            </w:r>
            <w:r>
              <w:rPr>
                <w:rStyle w:val="IndexLink"/>
              </w:rPr>
              <w:t>32</w:t>
            </w:r>
          </w:hyperlink>
        </w:p>
        <w:p>
          <w:pPr>
            <w:pStyle w:val="Contents3"/>
            <w:tabs>
              <w:tab w:val="clear" w:pos="8459"/>
              <w:tab w:val="right" w:pos="9026" w:leader="dot"/>
            </w:tabs>
            <w:rPr/>
          </w:pPr>
          <w:hyperlink w:anchor="__RefHeading___Toc1013501_1051229030">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1013503_1051229030">
            <w:r>
              <w:rPr>
                <w:webHidden/>
                <w:rStyle w:val="IndexLink"/>
                <w:rtl w:val="true"/>
              </w:rPr>
              <w:t>الفصل الأوّل</w:t>
            </w:r>
            <w:r>
              <w:rPr>
                <w:rStyle w:val="IndexLink"/>
                <w:rtl w:val="true"/>
              </w:rPr>
              <w:t xml:space="preserve">: </w:t>
            </w:r>
            <w:r>
              <w:rPr>
                <w:rStyle w:val="IndexLink"/>
                <w:rtl w:val="true"/>
              </w:rPr>
              <w:t xml:space="preserve">مقام الإمام المهدي </w:t>
            </w:r>
            <w:r>
              <w:rPr>
                <w:rStyle w:val="IndexLink"/>
                <w:rtl w:val="true"/>
              </w:rPr>
              <w:t>(</w:t>
            </w:r>
            <w:r>
              <w:rPr>
                <w:rStyle w:val="IndexLink"/>
                <w:rtl w:val="true"/>
              </w:rPr>
              <w:t>عليه السلام</w:t>
            </w:r>
            <w:r>
              <w:rPr>
                <w:rStyle w:val="IndexLink"/>
                <w:rtl w:val="true"/>
              </w:rPr>
              <w:t>)</w:t>
              <w:tab/>
            </w:r>
            <w:r>
              <w:rPr>
                <w:rStyle w:val="IndexLink"/>
              </w:rPr>
              <w:t>36</w:t>
            </w:r>
          </w:hyperlink>
        </w:p>
        <w:p>
          <w:pPr>
            <w:pStyle w:val="Contents4"/>
            <w:tabs>
              <w:tab w:val="clear" w:pos="8176"/>
              <w:tab w:val="right" w:pos="9026" w:leader="dot"/>
            </w:tabs>
            <w:rPr/>
          </w:pPr>
          <w:hyperlink w:anchor="__RefHeading___Toc1013505_1051229030">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013507_1051229030">
            <w:r>
              <w:rPr>
                <w:webHidden/>
                <w:rStyle w:val="IndexLink"/>
                <w:rtl w:val="true"/>
              </w:rPr>
              <w:t>وصف الأنبياء في القرآن والكتب الأخرى</w:t>
            </w:r>
            <w:r>
              <w:rPr>
                <w:rStyle w:val="IndexLink"/>
                <w:rtl w:val="true"/>
              </w:rPr>
              <w:t>:</w:t>
              <w:tab/>
            </w:r>
            <w:r>
              <w:rPr>
                <w:rStyle w:val="IndexLink"/>
              </w:rPr>
              <w:t>45</w:t>
            </w:r>
          </w:hyperlink>
        </w:p>
        <w:p>
          <w:pPr>
            <w:pStyle w:val="Contents4"/>
            <w:tabs>
              <w:tab w:val="clear" w:pos="8176"/>
              <w:tab w:val="right" w:pos="9026" w:leader="dot"/>
            </w:tabs>
            <w:rPr/>
          </w:pPr>
          <w:hyperlink w:anchor="__RefHeading___Toc1013509_1051229030">
            <w:r>
              <w:rPr>
                <w:webHidden/>
                <w:rStyle w:val="IndexLink"/>
                <w:rtl w:val="true"/>
              </w:rPr>
              <w:t xml:space="preserve">خصائص الإمام المهدي </w:t>
            </w:r>
            <w:r>
              <w:rPr>
                <w:rStyle w:val="IndexLink"/>
                <w:rtl w:val="true"/>
              </w:rPr>
              <w:t>(</w:t>
            </w:r>
            <w:r>
              <w:rPr>
                <w:rStyle w:val="IndexLink"/>
                <w:rtl w:val="true"/>
              </w:rPr>
              <w:t>عليه السلام</w:t>
            </w:r>
            <w:r>
              <w:rPr>
                <w:rStyle w:val="IndexLink"/>
                <w:rtl w:val="true"/>
              </w:rPr>
              <w:t>):</w:t>
              <w:tab/>
            </w:r>
            <w:r>
              <w:rPr>
                <w:rStyle w:val="IndexLink"/>
              </w:rPr>
              <w:t>49</w:t>
            </w:r>
          </w:hyperlink>
        </w:p>
        <w:p>
          <w:pPr>
            <w:pStyle w:val="Contents4"/>
            <w:tabs>
              <w:tab w:val="clear" w:pos="8176"/>
              <w:tab w:val="right" w:pos="9026" w:leader="dot"/>
            </w:tabs>
            <w:rPr/>
          </w:pPr>
          <w:hyperlink w:anchor="__RefHeading___Toc1013511_1051229030">
            <w:r>
              <w:rPr>
                <w:webHidden/>
                <w:rStyle w:val="IndexLink"/>
                <w:rtl w:val="true"/>
              </w:rPr>
              <w:t>النتائج المستفادة</w:t>
            </w:r>
            <w:r>
              <w:rPr>
                <w:rStyle w:val="IndexLink"/>
                <w:rtl w:val="true"/>
              </w:rPr>
              <w:t>:</w:t>
              <w:tab/>
            </w:r>
            <w:r>
              <w:rPr>
                <w:rStyle w:val="IndexLink"/>
              </w:rPr>
              <w:t>55</w:t>
            </w:r>
          </w:hyperlink>
        </w:p>
        <w:p>
          <w:pPr>
            <w:pStyle w:val="Contents3"/>
            <w:tabs>
              <w:tab w:val="clear" w:pos="8459"/>
              <w:tab w:val="right" w:pos="9026" w:leader="dot"/>
            </w:tabs>
            <w:rPr/>
          </w:pPr>
          <w:hyperlink w:anchor="__RefHeading___Toc1013513_1051229030">
            <w:r>
              <w:rPr>
                <w:webHidden/>
                <w:rStyle w:val="IndexLink"/>
                <w:rtl w:val="true"/>
              </w:rPr>
              <w:t>الفصل الثاني</w:t>
            </w:r>
            <w:r>
              <w:rPr>
                <w:rStyle w:val="IndexLink"/>
                <w:rtl w:val="true"/>
              </w:rPr>
              <w:t xml:space="preserve">: </w:t>
            </w:r>
            <w:r>
              <w:rPr>
                <w:rStyle w:val="IndexLink"/>
                <w:rtl w:val="true"/>
              </w:rPr>
              <w:t>آلية معرفة المنظومة المهدوية</w:t>
            </w:r>
            <w:r>
              <w:rPr>
                <w:rStyle w:val="IndexLink"/>
                <w:rtl w:val="true"/>
              </w:rPr>
              <w:tab/>
            </w:r>
            <w:r>
              <w:rPr>
                <w:rStyle w:val="IndexLink"/>
              </w:rPr>
              <w:t>64</w:t>
            </w:r>
          </w:hyperlink>
        </w:p>
        <w:p>
          <w:pPr>
            <w:pStyle w:val="Contents4"/>
            <w:tabs>
              <w:tab w:val="clear" w:pos="8176"/>
              <w:tab w:val="right" w:pos="9026" w:leader="dot"/>
            </w:tabs>
            <w:rPr/>
          </w:pPr>
          <w:hyperlink w:anchor="__RefHeading___Toc1013515_1051229030">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013517_1051229030">
            <w:r>
              <w:rPr>
                <w:webHidden/>
                <w:rStyle w:val="IndexLink"/>
                <w:rtl w:val="true"/>
              </w:rPr>
              <w:t>المصدر المعرفي الأوّل</w:t>
            </w:r>
            <w:r>
              <w:rPr>
                <w:rStyle w:val="IndexLink"/>
                <w:rtl w:val="true"/>
              </w:rPr>
              <w:t xml:space="preserve">: </w:t>
            </w:r>
            <w:r>
              <w:rPr>
                <w:rStyle w:val="IndexLink"/>
                <w:rtl w:val="true"/>
              </w:rPr>
              <w:t>الدليل العقلي</w:t>
            </w:r>
            <w:r>
              <w:rPr>
                <w:rStyle w:val="IndexLink"/>
                <w:rtl w:val="true"/>
              </w:rPr>
              <w:t>:</w:t>
              <w:tab/>
            </w:r>
            <w:r>
              <w:rPr>
                <w:rStyle w:val="IndexLink"/>
              </w:rPr>
              <w:t>68</w:t>
            </w:r>
          </w:hyperlink>
        </w:p>
        <w:p>
          <w:pPr>
            <w:pStyle w:val="Contents4"/>
            <w:tabs>
              <w:tab w:val="clear" w:pos="8176"/>
              <w:tab w:val="right" w:pos="9026" w:leader="dot"/>
            </w:tabs>
            <w:rPr/>
          </w:pPr>
          <w:hyperlink w:anchor="__RefHeading___Toc1013519_1051229030">
            <w:r>
              <w:rPr>
                <w:webHidden/>
                <w:rStyle w:val="IndexLink"/>
                <w:rtl w:val="true"/>
              </w:rPr>
              <w:t>المصدر المعرفي الثاني</w:t>
            </w:r>
            <w:r>
              <w:rPr>
                <w:rStyle w:val="IndexLink"/>
                <w:rtl w:val="true"/>
              </w:rPr>
              <w:t xml:space="preserve">: </w:t>
            </w:r>
            <w:r>
              <w:rPr>
                <w:rStyle w:val="IndexLink"/>
                <w:rtl w:val="true"/>
              </w:rPr>
              <w:t>القرآن الكريم</w:t>
            </w:r>
            <w:r>
              <w:rPr>
                <w:rStyle w:val="IndexLink"/>
                <w:rtl w:val="true"/>
              </w:rPr>
              <w:t>:</w:t>
              <w:tab/>
            </w:r>
            <w:r>
              <w:rPr>
                <w:rStyle w:val="IndexLink"/>
              </w:rPr>
              <w:t>71</w:t>
            </w:r>
          </w:hyperlink>
        </w:p>
        <w:p>
          <w:pPr>
            <w:pStyle w:val="Contents4"/>
            <w:tabs>
              <w:tab w:val="clear" w:pos="8176"/>
              <w:tab w:val="right" w:pos="9026" w:leader="dot"/>
            </w:tabs>
            <w:rPr/>
          </w:pPr>
          <w:hyperlink w:anchor="__RefHeading___Toc1013521_1051229030">
            <w:r>
              <w:rPr>
                <w:webHidden/>
                <w:rStyle w:val="IndexLink"/>
                <w:rtl w:val="true"/>
              </w:rPr>
              <w:t>خصائص القرآن</w:t>
            </w:r>
            <w:r>
              <w:rPr>
                <w:rStyle w:val="IndexLink"/>
                <w:rtl w:val="true"/>
              </w:rPr>
              <w:t>:</w:t>
              <w:tab/>
            </w:r>
            <w:r>
              <w:rPr>
                <w:rStyle w:val="IndexLink"/>
              </w:rPr>
              <w:t>72</w:t>
            </w:r>
          </w:hyperlink>
        </w:p>
        <w:p>
          <w:pPr>
            <w:pStyle w:val="Contents4"/>
            <w:tabs>
              <w:tab w:val="clear" w:pos="8176"/>
              <w:tab w:val="right" w:pos="9026" w:leader="dot"/>
            </w:tabs>
            <w:rPr/>
          </w:pPr>
          <w:hyperlink w:anchor="__RefHeading___Toc1013523_1051229030">
            <w:r>
              <w:rPr>
                <w:webHidden/>
                <w:rStyle w:val="IndexLink"/>
                <w:rtl w:val="true"/>
              </w:rPr>
              <w:t>طبقات المفسّرين</w:t>
            </w:r>
            <w:r>
              <w:rPr>
                <w:rStyle w:val="IndexLink"/>
                <w:rtl w:val="true"/>
              </w:rPr>
              <w:t>:</w:t>
              <w:tab/>
            </w:r>
            <w:r>
              <w:rPr>
                <w:rStyle w:val="IndexLink"/>
              </w:rPr>
              <w:t>83</w:t>
            </w:r>
          </w:hyperlink>
        </w:p>
        <w:p>
          <w:pPr>
            <w:pStyle w:val="Contents4"/>
            <w:tabs>
              <w:tab w:val="clear" w:pos="8176"/>
              <w:tab w:val="right" w:pos="9026" w:leader="dot"/>
            </w:tabs>
            <w:rPr/>
          </w:pPr>
          <w:hyperlink w:anchor="__RefHeading___Toc1013525_1051229030">
            <w:r>
              <w:rPr>
                <w:webHidden/>
                <w:rStyle w:val="IndexLink"/>
                <w:rtl w:val="true"/>
              </w:rPr>
              <w:t>المصدر المعرفي الثالث</w:t>
            </w:r>
            <w:r>
              <w:rPr>
                <w:rStyle w:val="IndexLink"/>
                <w:rtl w:val="true"/>
              </w:rPr>
              <w:t xml:space="preserve">: </w:t>
            </w:r>
            <w:r>
              <w:rPr>
                <w:rStyle w:val="IndexLink"/>
                <w:rtl w:val="true"/>
              </w:rPr>
              <w:t>السُنّة الشريفة</w:t>
            </w:r>
            <w:r>
              <w:rPr>
                <w:rStyle w:val="IndexLink"/>
                <w:rtl w:val="true"/>
              </w:rPr>
              <w:t>:</w:t>
              <w:tab/>
            </w:r>
            <w:r>
              <w:rPr>
                <w:rStyle w:val="IndexLink"/>
              </w:rPr>
              <w:t>83</w:t>
            </w:r>
          </w:hyperlink>
        </w:p>
        <w:p>
          <w:pPr>
            <w:pStyle w:val="Contents4"/>
            <w:tabs>
              <w:tab w:val="clear" w:pos="8176"/>
              <w:tab w:val="right" w:pos="9026" w:leader="dot"/>
            </w:tabs>
            <w:rPr/>
          </w:pPr>
          <w:hyperlink w:anchor="__RefHeading___Toc1013527_1051229030">
            <w:r>
              <w:rPr>
                <w:webHidden/>
                <w:rStyle w:val="IndexLink"/>
                <w:rtl w:val="true"/>
              </w:rPr>
              <w:t>الفوارق بين القرآن والسُنّة</w:t>
            </w:r>
            <w:r>
              <w:rPr>
                <w:rStyle w:val="IndexLink"/>
                <w:rtl w:val="true"/>
              </w:rPr>
              <w:t>:</w:t>
              <w:tab/>
            </w:r>
            <w:r>
              <w:rPr>
                <w:rStyle w:val="IndexLink"/>
              </w:rPr>
              <w:t>84</w:t>
            </w:r>
          </w:hyperlink>
        </w:p>
        <w:p>
          <w:pPr>
            <w:pStyle w:val="Contents5"/>
            <w:tabs>
              <w:tab w:val="clear" w:pos="7892"/>
              <w:tab w:val="right" w:pos="9026" w:leader="dot"/>
            </w:tabs>
            <w:rPr/>
          </w:pPr>
          <w:hyperlink w:anchor="__RefHeading___Toc1013529_1051229030">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1013531_1051229030">
            <w:r>
              <w:rPr>
                <w:webHidden/>
                <w:rStyle w:val="IndexLink"/>
              </w:rPr>
              <w:t>1</w:t>
            </w:r>
            <w:r>
              <w:rPr>
                <w:rStyle w:val="IndexLink"/>
                <w:rtl w:val="true"/>
              </w:rPr>
              <w:t xml:space="preserve"> - </w:t>
            </w:r>
            <w:r>
              <w:rPr>
                <w:rStyle w:val="IndexLink"/>
                <w:rtl w:val="true"/>
              </w:rPr>
              <w:t>أدلة معرفية السُنّة</w:t>
            </w:r>
            <w:r>
              <w:rPr>
                <w:rStyle w:val="IndexLink"/>
                <w:rtl w:val="true"/>
              </w:rPr>
              <w:t>:</w:t>
              <w:tab/>
            </w:r>
            <w:r>
              <w:rPr>
                <w:rStyle w:val="IndexLink"/>
              </w:rPr>
              <w:t>85</w:t>
            </w:r>
          </w:hyperlink>
        </w:p>
        <w:p>
          <w:pPr>
            <w:pStyle w:val="Contents5"/>
            <w:tabs>
              <w:tab w:val="clear" w:pos="7892"/>
              <w:tab w:val="right" w:pos="9026" w:leader="dot"/>
            </w:tabs>
            <w:rPr/>
          </w:pPr>
          <w:hyperlink w:anchor="__RefHeading___Toc1013533_1051229030">
            <w:r>
              <w:rPr>
                <w:webHidden/>
                <w:rStyle w:val="IndexLink"/>
              </w:rPr>
              <w:t>2</w:t>
            </w:r>
            <w:r>
              <w:rPr>
                <w:rStyle w:val="IndexLink"/>
                <w:rtl w:val="true"/>
              </w:rPr>
              <w:t xml:space="preserve"> - </w:t>
            </w:r>
            <w:r>
              <w:rPr>
                <w:rStyle w:val="IndexLink"/>
                <w:rtl w:val="true"/>
              </w:rPr>
              <w:t>التعاضد بين القرآن والسُنّة والتأثير المتبادل بينهما</w:t>
            </w:r>
            <w:r>
              <w:rPr>
                <w:rStyle w:val="IndexLink"/>
                <w:rtl w:val="true"/>
              </w:rPr>
              <w:t>:</w:t>
              <w:tab/>
            </w:r>
            <w:r>
              <w:rPr>
                <w:rStyle w:val="IndexLink"/>
              </w:rPr>
              <w:t>87</w:t>
            </w:r>
          </w:hyperlink>
        </w:p>
        <w:p>
          <w:pPr>
            <w:pStyle w:val="Contents5"/>
            <w:tabs>
              <w:tab w:val="clear" w:pos="7892"/>
              <w:tab w:val="right" w:pos="9026" w:leader="dot"/>
            </w:tabs>
            <w:rPr/>
          </w:pPr>
          <w:hyperlink w:anchor="__RefHeading___Toc1013535_1051229030">
            <w:r>
              <w:rPr>
                <w:webHidden/>
                <w:rStyle w:val="IndexLink"/>
              </w:rPr>
              <w:t>3</w:t>
            </w:r>
            <w:r>
              <w:rPr>
                <w:rStyle w:val="IndexLink"/>
                <w:rtl w:val="true"/>
              </w:rPr>
              <w:t xml:space="preserve"> - </w:t>
            </w:r>
            <w:r>
              <w:rPr>
                <w:rStyle w:val="IndexLink"/>
                <w:rtl w:val="true"/>
              </w:rPr>
              <w:t>بعض الشبهات النافية للآلية المعرفية للسُنّة</w:t>
            </w:r>
            <w:r>
              <w:rPr>
                <w:rStyle w:val="IndexLink"/>
                <w:rtl w:val="true"/>
              </w:rPr>
              <w:t>:</w:t>
              <w:tab/>
            </w:r>
            <w:r>
              <w:rPr>
                <w:rStyle w:val="IndexLink"/>
              </w:rPr>
              <w:t>88</w:t>
            </w:r>
          </w:hyperlink>
        </w:p>
        <w:p>
          <w:pPr>
            <w:pStyle w:val="Contents6"/>
            <w:tabs>
              <w:tab w:val="clear" w:pos="7609"/>
              <w:tab w:val="right" w:pos="9026" w:leader="dot"/>
            </w:tabs>
            <w:rPr/>
          </w:pPr>
          <w:hyperlink w:anchor="__RefHeading___Toc1013537_1051229030">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1013539_1051229030">
            <w:r>
              <w:rPr>
                <w:webHidden/>
                <w:rStyle w:val="IndexLink"/>
                <w:rtl w:val="true"/>
              </w:rPr>
              <w:t>الشبهة الأولى</w:t>
            </w:r>
            <w:r>
              <w:rPr>
                <w:rStyle w:val="IndexLink"/>
                <w:rtl w:val="true"/>
              </w:rPr>
              <w:t xml:space="preserve">: </w:t>
            </w:r>
            <w:r>
              <w:rPr>
                <w:rStyle w:val="IndexLink"/>
                <w:rtl w:val="true"/>
              </w:rPr>
              <w:t xml:space="preserve">بشرية الرسول </w:t>
            </w:r>
            <w:r>
              <w:rPr>
                <w:rStyle w:val="IndexLink"/>
                <w:rtl w:val="true"/>
              </w:rPr>
              <w:t>(</w:t>
            </w:r>
            <w:r>
              <w:rPr>
                <w:rStyle w:val="IndexLink"/>
                <w:rtl w:val="true"/>
              </w:rPr>
              <w:t>صلى الله عليه وآله وسلم</w:t>
            </w:r>
            <w:r>
              <w:rPr>
                <w:rStyle w:val="IndexLink"/>
                <w:rtl w:val="true"/>
              </w:rPr>
              <w:t>):</w:t>
              <w:tab/>
            </w:r>
            <w:r>
              <w:rPr>
                <w:rStyle w:val="IndexLink"/>
              </w:rPr>
              <w:t>89</w:t>
            </w:r>
          </w:hyperlink>
        </w:p>
        <w:p>
          <w:pPr>
            <w:pStyle w:val="Contents6"/>
            <w:tabs>
              <w:tab w:val="clear" w:pos="7609"/>
              <w:tab w:val="right" w:pos="9026" w:leader="dot"/>
            </w:tabs>
            <w:rPr/>
          </w:pPr>
          <w:hyperlink w:anchor="__RefHeading___Toc1013541_1051229030">
            <w:r>
              <w:rPr>
                <w:webHidden/>
                <w:rStyle w:val="IndexLink"/>
                <w:rtl w:val="true"/>
              </w:rPr>
              <w:t>الشبهة الثانية</w:t>
            </w:r>
            <w:r>
              <w:rPr>
                <w:rStyle w:val="IndexLink"/>
                <w:rtl w:val="true"/>
              </w:rPr>
              <w:t xml:space="preserve">: </w:t>
            </w:r>
            <w:r>
              <w:rPr>
                <w:rStyle w:val="IndexLink"/>
                <w:rtl w:val="true"/>
              </w:rPr>
              <w:t xml:space="preserve">تعارضية المنقول عن الرسول </w:t>
            </w:r>
            <w:r>
              <w:rPr>
                <w:rStyle w:val="IndexLink"/>
                <w:rtl w:val="true"/>
              </w:rPr>
              <w:t>(</w:t>
            </w:r>
            <w:r>
              <w:rPr>
                <w:rStyle w:val="IndexLink"/>
                <w:rtl w:val="true"/>
              </w:rPr>
              <w:t>صلى الله عليه وآله وسلم</w:t>
            </w:r>
            <w:r>
              <w:rPr>
                <w:rStyle w:val="IndexLink"/>
                <w:rtl w:val="true"/>
              </w:rPr>
              <w:t>):</w:t>
              <w:tab/>
            </w:r>
            <w:r>
              <w:rPr>
                <w:rStyle w:val="IndexLink"/>
              </w:rPr>
              <w:t>90</w:t>
            </w:r>
          </w:hyperlink>
        </w:p>
        <w:p>
          <w:pPr>
            <w:pStyle w:val="Contents6"/>
            <w:tabs>
              <w:tab w:val="clear" w:pos="7609"/>
              <w:tab w:val="right" w:pos="9026" w:leader="dot"/>
            </w:tabs>
            <w:rPr/>
          </w:pPr>
          <w:hyperlink w:anchor="__RefHeading___Toc1013543_1051229030">
            <w:r>
              <w:rPr>
                <w:webHidden/>
                <w:rStyle w:val="IndexLink"/>
                <w:rtl w:val="true"/>
              </w:rPr>
              <w:t>الشبهة الثالثة</w:t>
            </w:r>
            <w:r>
              <w:rPr>
                <w:rStyle w:val="IndexLink"/>
                <w:rtl w:val="true"/>
              </w:rPr>
              <w:t xml:space="preserve">: </w:t>
            </w:r>
            <w:r>
              <w:rPr>
                <w:rStyle w:val="IndexLink"/>
                <w:rtl w:val="true"/>
              </w:rPr>
              <w:t xml:space="preserve">مسحورية الرسول </w:t>
            </w:r>
            <w:r>
              <w:rPr>
                <w:rStyle w:val="IndexLink"/>
                <w:rtl w:val="true"/>
              </w:rPr>
              <w:t>(</w:t>
            </w:r>
            <w:r>
              <w:rPr>
                <w:rStyle w:val="IndexLink"/>
                <w:rtl w:val="true"/>
              </w:rPr>
              <w:t>صلى الله عليه وآله وسلم</w:t>
            </w:r>
            <w:r>
              <w:rPr>
                <w:rStyle w:val="IndexLink"/>
                <w:rtl w:val="true"/>
              </w:rPr>
              <w:t>):</w:t>
              <w:tab/>
            </w:r>
            <w:r>
              <w:rPr>
                <w:rStyle w:val="IndexLink"/>
              </w:rPr>
              <w:t>90</w:t>
            </w:r>
          </w:hyperlink>
        </w:p>
        <w:p>
          <w:pPr>
            <w:pStyle w:val="Contents6"/>
            <w:tabs>
              <w:tab w:val="clear" w:pos="7609"/>
              <w:tab w:val="right" w:pos="9026" w:leader="dot"/>
            </w:tabs>
            <w:rPr/>
          </w:pPr>
          <w:hyperlink w:anchor="__RefHeading___Toc1013545_1051229030">
            <w:r>
              <w:rPr>
                <w:webHidden/>
                <w:rStyle w:val="IndexLink"/>
                <w:rtl w:val="true"/>
              </w:rPr>
              <w:t>الشبهة الرابعة</w:t>
            </w:r>
            <w:r>
              <w:rPr>
                <w:rStyle w:val="IndexLink"/>
                <w:rtl w:val="true"/>
              </w:rPr>
              <w:t xml:space="preserve">: </w:t>
            </w:r>
            <w:r>
              <w:rPr>
                <w:rStyle w:val="IndexLink"/>
                <w:rtl w:val="true"/>
              </w:rPr>
              <w:t xml:space="preserve">مجتهدية الرسول </w:t>
            </w:r>
            <w:r>
              <w:rPr>
                <w:rStyle w:val="IndexLink"/>
                <w:rtl w:val="true"/>
              </w:rPr>
              <w:t>(</w:t>
            </w:r>
            <w:r>
              <w:rPr>
                <w:rStyle w:val="IndexLink"/>
                <w:rtl w:val="true"/>
              </w:rPr>
              <w:t>صلى الله عليه وآله وسلم</w:t>
            </w:r>
            <w:r>
              <w:rPr>
                <w:rStyle w:val="IndexLink"/>
                <w:rtl w:val="true"/>
              </w:rPr>
              <w:t>):</w:t>
              <w:tab/>
            </w:r>
            <w:r>
              <w:rPr>
                <w:rStyle w:val="IndexLink"/>
              </w:rPr>
              <w:t>91</w:t>
            </w:r>
          </w:hyperlink>
        </w:p>
        <w:p>
          <w:pPr>
            <w:pStyle w:val="Contents6"/>
            <w:tabs>
              <w:tab w:val="clear" w:pos="7609"/>
              <w:tab w:val="right" w:pos="9026" w:leader="dot"/>
            </w:tabs>
            <w:rPr/>
          </w:pPr>
          <w:hyperlink w:anchor="__RefHeading___Toc1013547_1051229030">
            <w:r>
              <w:rPr>
                <w:webHidden/>
                <w:rStyle w:val="IndexLink"/>
                <w:rtl w:val="true"/>
              </w:rPr>
              <w:t>الشبهة الخامسة</w:t>
            </w:r>
            <w:r>
              <w:rPr>
                <w:rStyle w:val="IndexLink"/>
                <w:rtl w:val="true"/>
              </w:rPr>
              <w:t xml:space="preserve">: </w:t>
            </w:r>
            <w:r>
              <w:rPr>
                <w:rStyle w:val="IndexLink"/>
                <w:rtl w:val="true"/>
              </w:rPr>
              <w:t xml:space="preserve">آمرية الرسول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بالمحو</w:t>
            </w:r>
            <w:r>
              <w:rPr>
                <w:rStyle w:val="IndexLink"/>
                <w:rtl w:val="true"/>
              </w:rPr>
              <w:t>:</w:t>
              <w:tab/>
            </w:r>
            <w:r>
              <w:rPr>
                <w:rStyle w:val="IndexLink"/>
              </w:rPr>
              <w:t>92</w:t>
            </w:r>
          </w:hyperlink>
        </w:p>
        <w:p>
          <w:pPr>
            <w:pStyle w:val="Contents5"/>
            <w:tabs>
              <w:tab w:val="clear" w:pos="7892"/>
              <w:tab w:val="right" w:pos="9026" w:leader="dot"/>
            </w:tabs>
            <w:rPr/>
          </w:pPr>
          <w:hyperlink w:anchor="__RefHeading___Toc1013549_1051229030">
            <w:r>
              <w:rPr>
                <w:webHidden/>
                <w:rStyle w:val="IndexLink"/>
              </w:rPr>
              <w:t>4</w:t>
            </w:r>
            <w:r>
              <w:rPr>
                <w:rStyle w:val="IndexLink"/>
                <w:rtl w:val="true"/>
              </w:rPr>
              <w:t xml:space="preserve"> - </w:t>
            </w:r>
            <w:r>
              <w:rPr>
                <w:rStyle w:val="IndexLink"/>
                <w:rtl w:val="true"/>
              </w:rPr>
              <w:t>كيف نستكشف السُنّة النبوية الشريفة في معالم المدرستين؟</w:t>
            </w:r>
            <w:r>
              <w:rPr>
                <w:rStyle w:val="IndexLink"/>
                <w:rtl w:val="true"/>
              </w:rPr>
              <w:tab/>
            </w:r>
            <w:r>
              <w:rPr>
                <w:rStyle w:val="IndexLink"/>
              </w:rPr>
              <w:t>92</w:t>
            </w:r>
          </w:hyperlink>
        </w:p>
        <w:p>
          <w:pPr>
            <w:pStyle w:val="Contents6"/>
            <w:tabs>
              <w:tab w:val="clear" w:pos="7609"/>
              <w:tab w:val="right" w:pos="9026" w:leader="dot"/>
            </w:tabs>
            <w:rPr/>
          </w:pPr>
          <w:hyperlink w:anchor="__RefHeading___Toc1013551_1051229030">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1013553_1051229030">
            <w:r>
              <w:rPr>
                <w:webHidden/>
                <w:rStyle w:val="IndexLink"/>
                <w:rtl w:val="true"/>
              </w:rPr>
              <w:t>أمَّا تدوين الحديث عند أبناء العامّة</w:t>
            </w:r>
            <w:r>
              <w:rPr>
                <w:rStyle w:val="IndexLink"/>
                <w:rtl w:val="true"/>
              </w:rPr>
              <w:t>:</w:t>
              <w:tab/>
            </w:r>
            <w:r>
              <w:rPr>
                <w:rStyle w:val="IndexLink"/>
              </w:rPr>
              <w:t>94</w:t>
            </w:r>
          </w:hyperlink>
        </w:p>
        <w:p>
          <w:pPr>
            <w:pStyle w:val="Contents5"/>
            <w:tabs>
              <w:tab w:val="clear" w:pos="7892"/>
              <w:tab w:val="right" w:pos="9026" w:leader="dot"/>
            </w:tabs>
            <w:rPr/>
          </w:pPr>
          <w:hyperlink w:anchor="__RefHeading___Toc1013555_1051229030">
            <w:r>
              <w:rPr>
                <w:webHidden/>
                <w:rStyle w:val="IndexLink"/>
              </w:rPr>
              <w:t>5</w:t>
            </w:r>
            <w:r>
              <w:rPr>
                <w:rStyle w:val="IndexLink"/>
                <w:rtl w:val="true"/>
              </w:rPr>
              <w:t xml:space="preserve"> - </w:t>
            </w:r>
            <w:r>
              <w:rPr>
                <w:rStyle w:val="IndexLink"/>
                <w:rtl w:val="true"/>
              </w:rPr>
              <w:t>ظاهرة الاجتهاد في فاعلية السُنّة وديمومتها</w:t>
            </w:r>
            <w:r>
              <w:rPr>
                <w:rStyle w:val="IndexLink"/>
                <w:rtl w:val="true"/>
              </w:rPr>
              <w:t>:</w:t>
              <w:tab/>
            </w:r>
            <w:r>
              <w:rPr>
                <w:rStyle w:val="IndexLink"/>
              </w:rPr>
              <w:t>96</w:t>
            </w:r>
          </w:hyperlink>
        </w:p>
        <w:p>
          <w:pPr>
            <w:pStyle w:val="Contents5"/>
            <w:tabs>
              <w:tab w:val="clear" w:pos="7892"/>
              <w:tab w:val="right" w:pos="9026" w:leader="dot"/>
            </w:tabs>
            <w:rPr/>
          </w:pPr>
          <w:hyperlink w:anchor="__RefHeading___Toc1013557_1051229030">
            <w:r>
              <w:rPr>
                <w:webHidden/>
                <w:rStyle w:val="IndexLink"/>
              </w:rPr>
              <w:t>6</w:t>
            </w:r>
            <w:r>
              <w:rPr>
                <w:rStyle w:val="IndexLink"/>
                <w:rtl w:val="true"/>
              </w:rPr>
              <w:t xml:space="preserve"> - </w:t>
            </w:r>
            <w:r>
              <w:rPr>
                <w:rStyle w:val="IndexLink"/>
                <w:rtl w:val="true"/>
              </w:rPr>
              <w:t xml:space="preserve">أطروحة الإمام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في الروايات</w:t>
            </w:r>
            <w:r>
              <w:rPr>
                <w:rStyle w:val="IndexLink"/>
                <w:rtl w:val="true"/>
              </w:rPr>
              <w:t>:</w:t>
              <w:tab/>
            </w:r>
            <w:r>
              <w:rPr>
                <w:rStyle w:val="IndexLink"/>
              </w:rPr>
              <w:t>100</w:t>
            </w:r>
          </w:hyperlink>
        </w:p>
        <w:p>
          <w:pPr>
            <w:pStyle w:val="Contents6"/>
            <w:tabs>
              <w:tab w:val="clear" w:pos="7609"/>
              <w:tab w:val="right" w:pos="9026" w:leader="dot"/>
            </w:tabs>
            <w:rPr/>
          </w:pPr>
          <w:hyperlink w:anchor="__RefHeading___Toc1013559_1051229030">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1013561_1051229030">
            <w:r>
              <w:rPr>
                <w:webHidden/>
                <w:rStyle w:val="IndexLink"/>
                <w:rtl w:val="true"/>
              </w:rPr>
              <w:t>الشبهة الأولى</w:t>
            </w:r>
            <w:r>
              <w:rPr>
                <w:rStyle w:val="IndexLink"/>
                <w:rtl w:val="true"/>
              </w:rPr>
              <w:t xml:space="preserve">: </w:t>
            </w:r>
            <w:r>
              <w:rPr>
                <w:rStyle w:val="IndexLink"/>
                <w:rtl w:val="true"/>
              </w:rPr>
              <w:t>الميزان في قبول الحديث ورودُه في الصحيحين فقط</w:t>
            </w:r>
            <w:r>
              <w:rPr>
                <w:rStyle w:val="IndexLink"/>
                <w:rtl w:val="true"/>
              </w:rPr>
              <w:t>:</w:t>
              <w:tab/>
            </w:r>
            <w:r>
              <w:rPr>
                <w:rStyle w:val="IndexLink"/>
              </w:rPr>
              <w:t>100</w:t>
            </w:r>
          </w:hyperlink>
        </w:p>
        <w:p>
          <w:pPr>
            <w:pStyle w:val="Contents6"/>
            <w:tabs>
              <w:tab w:val="clear" w:pos="7609"/>
              <w:tab w:val="right" w:pos="9026" w:leader="dot"/>
            </w:tabs>
            <w:rPr/>
          </w:pPr>
          <w:hyperlink w:anchor="__RefHeading___Toc1013563_1051229030">
            <w:r>
              <w:rPr>
                <w:webHidden/>
                <w:rStyle w:val="IndexLink"/>
                <w:rtl w:val="true"/>
              </w:rPr>
              <w:t>الشبهة الثانية</w:t>
            </w:r>
            <w:r>
              <w:rPr>
                <w:rStyle w:val="IndexLink"/>
                <w:rtl w:val="true"/>
              </w:rPr>
              <w:t xml:space="preserve">: </w:t>
            </w:r>
            <w:r>
              <w:rPr>
                <w:rStyle w:val="IndexLink"/>
                <w:rtl w:val="true"/>
              </w:rPr>
              <w:t>مدسوسية الروايات</w:t>
            </w:r>
            <w:r>
              <w:rPr>
                <w:rStyle w:val="IndexLink"/>
                <w:rtl w:val="true"/>
              </w:rPr>
              <w:t>:</w:t>
              <w:tab/>
            </w:r>
            <w:r>
              <w:rPr>
                <w:rStyle w:val="IndexLink"/>
              </w:rPr>
              <w:t>102</w:t>
            </w:r>
          </w:hyperlink>
        </w:p>
        <w:p>
          <w:pPr>
            <w:pStyle w:val="Contents6"/>
            <w:tabs>
              <w:tab w:val="clear" w:pos="7609"/>
              <w:tab w:val="right" w:pos="9026" w:leader="dot"/>
            </w:tabs>
            <w:rPr/>
          </w:pPr>
          <w:hyperlink w:anchor="__RefHeading___Toc1013565_1051229030">
            <w:r>
              <w:rPr>
                <w:webHidden/>
                <w:rStyle w:val="IndexLink"/>
                <w:rtl w:val="true"/>
              </w:rPr>
              <w:t>الشبهة الثالثة</w:t>
            </w:r>
            <w:r>
              <w:rPr>
                <w:rStyle w:val="IndexLink"/>
                <w:rtl w:val="true"/>
              </w:rPr>
              <w:t xml:space="preserve">: </w:t>
            </w:r>
            <w:r>
              <w:rPr>
                <w:rStyle w:val="IndexLink"/>
                <w:rtl w:val="true"/>
              </w:rPr>
              <w:t>ضعف الروايات</w:t>
            </w:r>
            <w:r>
              <w:rPr>
                <w:rStyle w:val="IndexLink"/>
                <w:rtl w:val="true"/>
              </w:rPr>
              <w:t>:</w:t>
              <w:tab/>
            </w:r>
            <w:r>
              <w:rPr>
                <w:rStyle w:val="IndexLink"/>
              </w:rPr>
              <w:t>102</w:t>
            </w:r>
          </w:hyperlink>
        </w:p>
        <w:p>
          <w:pPr>
            <w:pStyle w:val="Contents6"/>
            <w:tabs>
              <w:tab w:val="clear" w:pos="7609"/>
              <w:tab w:val="right" w:pos="9026" w:leader="dot"/>
            </w:tabs>
            <w:rPr/>
          </w:pPr>
          <w:hyperlink w:anchor="__RefHeading___Toc1013567_1051229030">
            <w:r>
              <w:rPr>
                <w:webHidden/>
                <w:rStyle w:val="IndexLink"/>
                <w:rtl w:val="true"/>
              </w:rPr>
              <w:t>الشبهة الرابعة</w:t>
            </w:r>
            <w:r>
              <w:rPr>
                <w:rStyle w:val="IndexLink"/>
                <w:rtl w:val="true"/>
              </w:rPr>
              <w:t xml:space="preserve">: </w:t>
            </w:r>
            <w:r>
              <w:rPr>
                <w:rStyle w:val="IndexLink"/>
                <w:rtl w:val="true"/>
              </w:rPr>
              <w:t>المهدوية فكرة شيعية</w:t>
            </w:r>
            <w:r>
              <w:rPr>
                <w:rStyle w:val="IndexLink"/>
                <w:rtl w:val="true"/>
              </w:rPr>
              <w:t>:</w:t>
              <w:tab/>
            </w:r>
            <w:r>
              <w:rPr>
                <w:rStyle w:val="IndexLink"/>
              </w:rPr>
              <w:t>103</w:t>
            </w:r>
          </w:hyperlink>
        </w:p>
        <w:p>
          <w:pPr>
            <w:pStyle w:val="Contents6"/>
            <w:tabs>
              <w:tab w:val="clear" w:pos="7609"/>
              <w:tab w:val="right" w:pos="9026" w:leader="dot"/>
            </w:tabs>
            <w:rPr/>
          </w:pPr>
          <w:hyperlink w:anchor="__RefHeading___Toc1013569_1051229030">
            <w:r>
              <w:rPr>
                <w:webHidden/>
                <w:rStyle w:val="IndexLink"/>
                <w:rtl w:val="true"/>
              </w:rPr>
              <w:t>الشبهة الخامسة</w:t>
            </w:r>
            <w:r>
              <w:rPr>
                <w:rStyle w:val="IndexLink"/>
                <w:rtl w:val="true"/>
              </w:rPr>
              <w:t xml:space="preserve">: </w:t>
            </w:r>
            <w:r>
              <w:rPr>
                <w:rStyle w:val="IndexLink"/>
                <w:rtl w:val="true"/>
              </w:rPr>
              <w:t>المهدوية قضيّة غيبية مشكوك فيها</w:t>
            </w:r>
            <w:r>
              <w:rPr>
                <w:rStyle w:val="IndexLink"/>
                <w:rtl w:val="true"/>
              </w:rPr>
              <w:t>:</w:t>
              <w:tab/>
            </w:r>
            <w:r>
              <w:rPr>
                <w:rStyle w:val="IndexLink"/>
              </w:rPr>
              <w:t>104</w:t>
            </w:r>
          </w:hyperlink>
        </w:p>
        <w:p>
          <w:pPr>
            <w:pStyle w:val="Contents6"/>
            <w:tabs>
              <w:tab w:val="clear" w:pos="7609"/>
              <w:tab w:val="right" w:pos="9026" w:leader="dot"/>
            </w:tabs>
            <w:rPr/>
          </w:pPr>
          <w:hyperlink w:anchor="__RefHeading___Toc1013571_1051229030">
            <w:r>
              <w:rPr>
                <w:webHidden/>
                <w:rStyle w:val="IndexLink"/>
                <w:rtl w:val="true"/>
              </w:rPr>
              <w:t>الشبهة السادسة</w:t>
            </w:r>
            <w:r>
              <w:rPr>
                <w:rStyle w:val="IndexLink"/>
                <w:rtl w:val="true"/>
              </w:rPr>
              <w:t xml:space="preserve">: </w:t>
            </w:r>
            <w:r>
              <w:rPr>
                <w:rStyle w:val="IndexLink"/>
                <w:rtl w:val="true"/>
              </w:rPr>
              <w:t>المهدي فكرة مختلقة</w:t>
            </w:r>
            <w:r>
              <w:rPr>
                <w:rStyle w:val="IndexLink"/>
                <w:rtl w:val="true"/>
              </w:rPr>
              <w:t>:</w:t>
              <w:tab/>
            </w:r>
            <w:r>
              <w:rPr>
                <w:rStyle w:val="IndexLink"/>
              </w:rPr>
              <w:t>105</w:t>
            </w:r>
          </w:hyperlink>
        </w:p>
        <w:p>
          <w:pPr>
            <w:pStyle w:val="Contents6"/>
            <w:tabs>
              <w:tab w:val="clear" w:pos="7609"/>
              <w:tab w:val="right" w:pos="9026" w:leader="dot"/>
            </w:tabs>
            <w:rPr/>
          </w:pPr>
          <w:hyperlink w:anchor="__RefHeading___Toc1013573_1051229030">
            <w:r>
              <w:rPr>
                <w:webHidden/>
                <w:rStyle w:val="IndexLink"/>
                <w:rtl w:val="true"/>
              </w:rPr>
              <w:t>الشبهة السابعة</w:t>
            </w:r>
            <w:r>
              <w:rPr>
                <w:rStyle w:val="IndexLink"/>
                <w:rtl w:val="true"/>
              </w:rPr>
              <w:t xml:space="preserve">: </w:t>
            </w:r>
            <w:r>
              <w:rPr>
                <w:rStyle w:val="IndexLink"/>
                <w:rtl w:val="true"/>
              </w:rPr>
              <w:t>روايات المهدي تصطدم مع العقل</w:t>
            </w:r>
            <w:r>
              <w:rPr>
                <w:rStyle w:val="IndexLink"/>
                <w:rtl w:val="true"/>
              </w:rPr>
              <w:t>:</w:t>
              <w:tab/>
            </w:r>
            <w:r>
              <w:rPr>
                <w:rStyle w:val="IndexLink"/>
              </w:rPr>
              <w:t>105</w:t>
            </w:r>
          </w:hyperlink>
        </w:p>
        <w:p>
          <w:pPr>
            <w:pStyle w:val="Contents6"/>
            <w:tabs>
              <w:tab w:val="clear" w:pos="7609"/>
              <w:tab w:val="right" w:pos="9026" w:leader="dot"/>
            </w:tabs>
            <w:rPr/>
          </w:pPr>
          <w:hyperlink w:anchor="__RefHeading___Toc1013575_1051229030">
            <w:r>
              <w:rPr>
                <w:webHidden/>
                <w:rStyle w:val="IndexLink"/>
                <w:rtl w:val="true"/>
              </w:rPr>
              <w:t>الشبهة الثامنة</w:t>
            </w:r>
            <w:r>
              <w:rPr>
                <w:rStyle w:val="IndexLink"/>
                <w:rtl w:val="true"/>
              </w:rPr>
              <w:t xml:space="preserve">: </w:t>
            </w:r>
            <w:r>
              <w:rPr>
                <w:rStyle w:val="IndexLink"/>
                <w:rtl w:val="true"/>
              </w:rPr>
              <w:t>روايات المهدي تصطدم مع القاعدة الاجتماعية</w:t>
            </w:r>
            <w:r>
              <w:rPr>
                <w:rStyle w:val="IndexLink"/>
                <w:rtl w:val="true"/>
              </w:rPr>
              <w:t>:</w:t>
              <w:tab/>
            </w:r>
            <w:r>
              <w:rPr>
                <w:rStyle w:val="IndexLink"/>
              </w:rPr>
              <w:t>106</w:t>
            </w:r>
          </w:hyperlink>
        </w:p>
        <w:p>
          <w:pPr>
            <w:pStyle w:val="Contents6"/>
            <w:tabs>
              <w:tab w:val="clear" w:pos="7609"/>
              <w:tab w:val="right" w:pos="9026" w:leader="dot"/>
            </w:tabs>
            <w:rPr/>
          </w:pPr>
          <w:hyperlink w:anchor="__RefHeading___Toc1013577_1051229030">
            <w:r>
              <w:rPr>
                <w:webHidden/>
                <w:rStyle w:val="IndexLink"/>
                <w:rtl w:val="true"/>
              </w:rPr>
              <w:t>الشبهة التاسعة</w:t>
            </w:r>
            <w:r>
              <w:rPr>
                <w:rStyle w:val="IndexLink"/>
                <w:rtl w:val="true"/>
              </w:rPr>
              <w:t xml:space="preserve">: </w:t>
            </w:r>
            <w:r>
              <w:rPr>
                <w:rStyle w:val="IndexLink"/>
                <w:rtl w:val="true"/>
              </w:rPr>
              <w:t>اختلاف الشيعة أمارة النفي</w:t>
            </w:r>
            <w:r>
              <w:rPr>
                <w:rStyle w:val="IndexLink"/>
                <w:rtl w:val="true"/>
              </w:rPr>
              <w:t>:</w:t>
              <w:tab/>
            </w:r>
            <w:r>
              <w:rPr>
                <w:rStyle w:val="IndexLink"/>
              </w:rPr>
              <w:t>107</w:t>
            </w:r>
          </w:hyperlink>
        </w:p>
        <w:p>
          <w:pPr>
            <w:pStyle w:val="Contents6"/>
            <w:tabs>
              <w:tab w:val="clear" w:pos="7609"/>
              <w:tab w:val="right" w:pos="9026" w:leader="dot"/>
            </w:tabs>
            <w:rPr/>
          </w:pPr>
          <w:hyperlink w:anchor="__RefHeading___Toc1013579_1051229030">
            <w:r>
              <w:rPr>
                <w:webHidden/>
                <w:rStyle w:val="IndexLink"/>
                <w:rtl w:val="true"/>
              </w:rPr>
              <w:t>الشبهة العاشرة</w:t>
            </w:r>
            <w:r>
              <w:rPr>
                <w:rStyle w:val="IndexLink"/>
                <w:rtl w:val="true"/>
              </w:rPr>
              <w:t xml:space="preserve">: </w:t>
            </w:r>
            <w:r>
              <w:rPr>
                <w:rStyle w:val="IndexLink"/>
                <w:rtl w:val="true"/>
              </w:rPr>
              <w:t>فكرة المهدي موروثة من الأديان المنحرفة</w:t>
            </w:r>
            <w:r>
              <w:rPr>
                <w:rStyle w:val="IndexLink"/>
                <w:rtl w:val="true"/>
              </w:rPr>
              <w:t>:</w:t>
              <w:tab/>
            </w:r>
            <w:r>
              <w:rPr>
                <w:rStyle w:val="IndexLink"/>
              </w:rPr>
              <w:t>108</w:t>
            </w:r>
          </w:hyperlink>
        </w:p>
        <w:p>
          <w:pPr>
            <w:pStyle w:val="Contents6"/>
            <w:tabs>
              <w:tab w:val="clear" w:pos="7609"/>
              <w:tab w:val="right" w:pos="9026" w:leader="dot"/>
            </w:tabs>
            <w:rPr/>
          </w:pPr>
          <w:hyperlink w:anchor="__RefHeading___Toc1013581_1051229030">
            <w:r>
              <w:rPr>
                <w:webHidden/>
                <w:rStyle w:val="IndexLink"/>
                <w:rtl w:val="true"/>
              </w:rPr>
              <w:t>الشبهة الحادية عشرة</w:t>
            </w:r>
            <w:r>
              <w:rPr>
                <w:rStyle w:val="IndexLink"/>
                <w:rtl w:val="true"/>
              </w:rPr>
              <w:t xml:space="preserve">: </w:t>
            </w:r>
            <w:r>
              <w:rPr>
                <w:rStyle w:val="IndexLink"/>
                <w:rtl w:val="true"/>
              </w:rPr>
              <w:t>شبهة الولادة</w:t>
            </w:r>
            <w:r>
              <w:rPr>
                <w:rStyle w:val="IndexLink"/>
                <w:rtl w:val="true"/>
              </w:rPr>
              <w:t>:</w:t>
              <w:tab/>
            </w:r>
            <w:r>
              <w:rPr>
                <w:rStyle w:val="IndexLink"/>
              </w:rPr>
              <w:t>108</w:t>
            </w:r>
          </w:hyperlink>
        </w:p>
        <w:p>
          <w:pPr>
            <w:pStyle w:val="Contents6"/>
            <w:tabs>
              <w:tab w:val="clear" w:pos="7609"/>
              <w:tab w:val="right" w:pos="9026" w:leader="dot"/>
            </w:tabs>
            <w:rPr/>
          </w:pPr>
          <w:hyperlink w:anchor="__RefHeading___Toc1013583_1051229030">
            <w:r>
              <w:rPr>
                <w:webHidden/>
                <w:rStyle w:val="IndexLink"/>
                <w:rtl w:val="true"/>
              </w:rPr>
              <w:t>الشبهة الثانية عشرة</w:t>
            </w:r>
            <w:r>
              <w:rPr>
                <w:rStyle w:val="IndexLink"/>
                <w:rtl w:val="true"/>
              </w:rPr>
              <w:t xml:space="preserve">: </w:t>
            </w:r>
            <w:r>
              <w:rPr>
                <w:rStyle w:val="IndexLink"/>
                <w:rtl w:val="true"/>
              </w:rPr>
              <w:t>لا فائدة من الإمام الغائب</w:t>
            </w:r>
            <w:r>
              <w:rPr>
                <w:rStyle w:val="IndexLink"/>
                <w:rtl w:val="true"/>
              </w:rPr>
              <w:t>:</w:t>
              <w:tab/>
            </w:r>
            <w:r>
              <w:rPr>
                <w:rStyle w:val="IndexLink"/>
              </w:rPr>
              <w:t>109</w:t>
            </w:r>
          </w:hyperlink>
        </w:p>
        <w:p>
          <w:pPr>
            <w:pStyle w:val="Contents6"/>
            <w:tabs>
              <w:tab w:val="clear" w:pos="7609"/>
              <w:tab w:val="right" w:pos="9026" w:leader="dot"/>
            </w:tabs>
            <w:rPr/>
          </w:pPr>
          <w:hyperlink w:anchor="__RefHeading___Toc1013585_1051229030">
            <w:r>
              <w:rPr>
                <w:webHidden/>
                <w:rStyle w:val="IndexLink"/>
                <w:rtl w:val="true"/>
              </w:rPr>
              <w:t>الشبهة الثالثة عشرة</w:t>
            </w:r>
            <w:r>
              <w:rPr>
                <w:rStyle w:val="IndexLink"/>
                <w:rtl w:val="true"/>
              </w:rPr>
              <w:t xml:space="preserve">: </w:t>
            </w:r>
            <w:r>
              <w:rPr>
                <w:rStyle w:val="IndexLink"/>
                <w:rtl w:val="true"/>
              </w:rPr>
              <w:t>الفكرة ومنشأها عوامل نفسية</w:t>
            </w:r>
            <w:r>
              <w:rPr>
                <w:rStyle w:val="IndexLink"/>
                <w:rtl w:val="true"/>
              </w:rPr>
              <w:t>:</w:t>
              <w:tab/>
            </w:r>
            <w:r>
              <w:rPr>
                <w:rStyle w:val="IndexLink"/>
              </w:rPr>
              <w:t>110</w:t>
            </w:r>
          </w:hyperlink>
        </w:p>
        <w:p>
          <w:pPr>
            <w:pStyle w:val="Contents6"/>
            <w:tabs>
              <w:tab w:val="clear" w:pos="7609"/>
              <w:tab w:val="right" w:pos="9026" w:leader="dot"/>
            </w:tabs>
            <w:rPr/>
          </w:pPr>
          <w:hyperlink w:anchor="__RefHeading___Toc1013587_1051229030">
            <w:r>
              <w:rPr>
                <w:webHidden/>
                <w:rStyle w:val="IndexLink"/>
                <w:rtl w:val="true"/>
              </w:rPr>
              <w:t>الشبهة الرابعة عشرة</w:t>
            </w:r>
            <w:r>
              <w:rPr>
                <w:rStyle w:val="IndexLink"/>
                <w:rtl w:val="true"/>
              </w:rPr>
              <w:t xml:space="preserve">: </w:t>
            </w:r>
            <w:r>
              <w:rPr>
                <w:rStyle w:val="IndexLink"/>
                <w:rtl w:val="true"/>
              </w:rPr>
              <w:t>غيبة اللطف</w:t>
            </w:r>
            <w:r>
              <w:rPr>
                <w:rStyle w:val="IndexLink"/>
                <w:rtl w:val="true"/>
              </w:rPr>
              <w:t>:</w:t>
              <w:tab/>
            </w:r>
            <w:r>
              <w:rPr>
                <w:rStyle w:val="IndexLink"/>
              </w:rPr>
              <w:t>110</w:t>
            </w:r>
          </w:hyperlink>
        </w:p>
        <w:p>
          <w:pPr>
            <w:pStyle w:val="Contents6"/>
            <w:tabs>
              <w:tab w:val="clear" w:pos="7609"/>
              <w:tab w:val="right" w:pos="9026" w:leader="dot"/>
            </w:tabs>
            <w:rPr/>
          </w:pPr>
          <w:hyperlink w:anchor="__RefHeading___Toc1013589_1051229030">
            <w:r>
              <w:rPr>
                <w:webHidden/>
                <w:rStyle w:val="IndexLink"/>
                <w:rtl w:val="true"/>
              </w:rPr>
              <w:t>الشبهة الخامسة عشرة</w:t>
            </w:r>
            <w:r>
              <w:rPr>
                <w:rStyle w:val="IndexLink"/>
                <w:rtl w:val="true"/>
              </w:rPr>
              <w:t xml:space="preserve">: </w:t>
            </w:r>
            <w:r>
              <w:rPr>
                <w:rStyle w:val="IndexLink"/>
                <w:rtl w:val="true"/>
              </w:rPr>
              <w:t>المهدي سيولد بعد ذلك</w:t>
            </w:r>
            <w:r>
              <w:rPr>
                <w:rStyle w:val="IndexLink"/>
                <w:rtl w:val="true"/>
              </w:rPr>
              <w:t>:</w:t>
              <w:tab/>
            </w:r>
            <w:r>
              <w:rPr>
                <w:rStyle w:val="IndexLink"/>
              </w:rPr>
              <w:t>111</w:t>
            </w:r>
          </w:hyperlink>
        </w:p>
        <w:p>
          <w:pPr>
            <w:pStyle w:val="Contents6"/>
            <w:tabs>
              <w:tab w:val="clear" w:pos="7609"/>
              <w:tab w:val="right" w:pos="9026" w:leader="dot"/>
            </w:tabs>
            <w:rPr/>
          </w:pPr>
          <w:hyperlink w:anchor="__RefHeading___Toc1013591_1051229030">
            <w:r>
              <w:rPr>
                <w:webHidden/>
                <w:rStyle w:val="IndexLink"/>
                <w:rtl w:val="true"/>
              </w:rPr>
              <w:t>الشبهة السادسة عشرة</w:t>
            </w:r>
            <w:r>
              <w:rPr>
                <w:rStyle w:val="IndexLink"/>
                <w:rtl w:val="true"/>
              </w:rPr>
              <w:t xml:space="preserve">: </w:t>
            </w:r>
            <w:r>
              <w:rPr>
                <w:rStyle w:val="IndexLink"/>
                <w:rtl w:val="true"/>
              </w:rPr>
              <w:t>فكرة الغيبة تنافي أحكاماً فقهية</w:t>
            </w:r>
            <w:r>
              <w:rPr>
                <w:rStyle w:val="IndexLink"/>
                <w:rtl w:val="true"/>
              </w:rPr>
              <w:t>:</w:t>
              <w:tab/>
            </w:r>
            <w:r>
              <w:rPr>
                <w:rStyle w:val="IndexLink"/>
              </w:rPr>
              <w:t>111</w:t>
            </w:r>
          </w:hyperlink>
        </w:p>
        <w:p>
          <w:pPr>
            <w:pStyle w:val="Contents6"/>
            <w:tabs>
              <w:tab w:val="clear" w:pos="7609"/>
              <w:tab w:val="right" w:pos="9026" w:leader="dot"/>
            </w:tabs>
            <w:rPr/>
          </w:pPr>
          <w:hyperlink w:anchor="__RefHeading___Toc1013593_1051229030">
            <w:r>
              <w:rPr>
                <w:webHidden/>
                <w:rStyle w:val="IndexLink"/>
                <w:rtl w:val="true"/>
              </w:rPr>
              <w:t>الشبهة السابعة عشرة</w:t>
            </w:r>
            <w:r>
              <w:rPr>
                <w:rStyle w:val="IndexLink"/>
                <w:rtl w:val="true"/>
              </w:rPr>
              <w:t xml:space="preserve">: </w:t>
            </w:r>
            <w:r>
              <w:rPr>
                <w:rStyle w:val="IndexLink"/>
                <w:rtl w:val="true"/>
              </w:rPr>
              <w:t>ادّعاء مجموعة أنَّهم هم المهدي يستدعي رفض فكرة المهدي</w:t>
            </w:r>
            <w:r>
              <w:rPr>
                <w:rStyle w:val="IndexLink"/>
                <w:rtl w:val="true"/>
              </w:rPr>
              <w:t>:</w:t>
              <w:tab/>
            </w:r>
            <w:r>
              <w:rPr>
                <w:rStyle w:val="IndexLink"/>
              </w:rPr>
              <w:t>111</w:t>
            </w:r>
          </w:hyperlink>
        </w:p>
        <w:p>
          <w:pPr>
            <w:pStyle w:val="Contents6"/>
            <w:tabs>
              <w:tab w:val="clear" w:pos="7609"/>
              <w:tab w:val="right" w:pos="9026" w:leader="dot"/>
            </w:tabs>
            <w:rPr/>
          </w:pPr>
          <w:hyperlink w:anchor="__RefHeading___Toc1013595_1051229030">
            <w:r>
              <w:rPr>
                <w:webHidden/>
                <w:rStyle w:val="IndexLink"/>
                <w:rtl w:val="true"/>
              </w:rPr>
              <w:t>الخلاصة</w:t>
            </w:r>
            <w:r>
              <w:rPr>
                <w:rStyle w:val="IndexLink"/>
                <w:rtl w:val="true"/>
              </w:rPr>
              <w:t>:</w:t>
              <w:tab/>
            </w:r>
            <w:r>
              <w:rPr>
                <w:rStyle w:val="IndexLink"/>
              </w:rPr>
              <w:t>112</w:t>
            </w:r>
          </w:hyperlink>
        </w:p>
        <w:p>
          <w:pPr>
            <w:pStyle w:val="Contents3"/>
            <w:tabs>
              <w:tab w:val="clear" w:pos="8459"/>
              <w:tab w:val="right" w:pos="9026" w:leader="dot"/>
            </w:tabs>
            <w:rPr/>
          </w:pPr>
          <w:hyperlink w:anchor="__RefHeading___Toc1013597_1051229030">
            <w:r>
              <w:rPr>
                <w:webHidden/>
                <w:rStyle w:val="IndexLink"/>
                <w:rtl w:val="true"/>
              </w:rPr>
              <w:t>الفصل الثالث</w:t>
            </w:r>
            <w:r>
              <w:rPr>
                <w:rStyle w:val="IndexLink"/>
                <w:rtl w:val="true"/>
              </w:rPr>
              <w:t xml:space="preserve">: </w:t>
            </w:r>
            <w:r>
              <w:rPr>
                <w:rStyle w:val="IndexLink"/>
                <w:rtl w:val="true"/>
              </w:rPr>
              <w:t>رؤية الإمام الغائب ومشاهدته بين الصدق والدجل</w:t>
            </w:r>
            <w:r>
              <w:rPr>
                <w:rStyle w:val="IndexLink"/>
                <w:rtl w:val="true"/>
              </w:rPr>
              <w:tab/>
            </w:r>
            <w:r>
              <w:rPr>
                <w:rStyle w:val="IndexLink"/>
              </w:rPr>
              <w:t>116</w:t>
            </w:r>
          </w:hyperlink>
        </w:p>
        <w:p>
          <w:pPr>
            <w:pStyle w:val="Contents4"/>
            <w:tabs>
              <w:tab w:val="clear" w:pos="8176"/>
              <w:tab w:val="right" w:pos="9026" w:leader="dot"/>
            </w:tabs>
            <w:rPr/>
          </w:pPr>
          <w:hyperlink w:anchor="__RefHeading___Toc1013599_1051229030">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1013601_1051229030">
            <w:r>
              <w:rPr>
                <w:webHidden/>
                <w:rStyle w:val="IndexLink"/>
                <w:rtl w:val="true"/>
              </w:rPr>
              <w:t>ظاهرة الغيبة وخصائص المرحلة</w:t>
            </w:r>
            <w:r>
              <w:rPr>
                <w:rStyle w:val="IndexLink"/>
                <w:rtl w:val="true"/>
              </w:rPr>
              <w:t>:</w:t>
              <w:tab/>
            </w:r>
            <w:r>
              <w:rPr>
                <w:rStyle w:val="IndexLink"/>
              </w:rPr>
              <w:t>118</w:t>
            </w:r>
          </w:hyperlink>
        </w:p>
        <w:p>
          <w:pPr>
            <w:pStyle w:val="Contents5"/>
            <w:tabs>
              <w:tab w:val="clear" w:pos="7892"/>
              <w:tab w:val="right" w:pos="9026" w:leader="dot"/>
            </w:tabs>
            <w:rPr/>
          </w:pPr>
          <w:hyperlink w:anchor="__RefHeading___Toc1013603_1051229030">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1013605_1051229030">
            <w:r>
              <w:rPr>
                <w:webHidden/>
                <w:rStyle w:val="IndexLink"/>
                <w:rtl w:val="true"/>
              </w:rPr>
              <w:t xml:space="preserve">نماذج من طلب الحاجات من الإمام </w:t>
            </w:r>
            <w:r>
              <w:rPr>
                <w:rStyle w:val="IndexLink"/>
                <w:rtl w:val="true"/>
              </w:rPr>
              <w:t>(</w:t>
            </w:r>
            <w:r>
              <w:rPr>
                <w:rStyle w:val="IndexLink"/>
                <w:rtl w:val="true"/>
              </w:rPr>
              <w:t>عليه السلام</w:t>
            </w:r>
            <w:r>
              <w:rPr>
                <w:rStyle w:val="IndexLink"/>
                <w:rtl w:val="true"/>
              </w:rPr>
              <w:t>):</w:t>
              <w:tab/>
            </w:r>
            <w:r>
              <w:rPr>
                <w:rStyle w:val="IndexLink"/>
              </w:rPr>
              <w:t>120</w:t>
            </w:r>
          </w:hyperlink>
        </w:p>
        <w:p>
          <w:pPr>
            <w:pStyle w:val="Contents5"/>
            <w:tabs>
              <w:tab w:val="clear" w:pos="7892"/>
              <w:tab w:val="right" w:pos="9026" w:leader="dot"/>
            </w:tabs>
            <w:rPr/>
          </w:pPr>
          <w:hyperlink w:anchor="__RefHeading___Toc1013607_1051229030">
            <w:r>
              <w:rPr>
                <w:webHidden/>
                <w:rStyle w:val="IndexLink"/>
                <w:rtl w:val="true"/>
              </w:rPr>
              <w:t>مناقشة روايات وأدعية الرؤية وتحليلها</w:t>
            </w:r>
            <w:r>
              <w:rPr>
                <w:rStyle w:val="IndexLink"/>
                <w:rtl w:val="true"/>
              </w:rPr>
              <w:t>:</w:t>
              <w:tab/>
            </w:r>
            <w:r>
              <w:rPr>
                <w:rStyle w:val="IndexLink"/>
              </w:rPr>
              <w:t>121</w:t>
            </w:r>
          </w:hyperlink>
        </w:p>
        <w:p>
          <w:pPr>
            <w:pStyle w:val="Contents5"/>
            <w:tabs>
              <w:tab w:val="clear" w:pos="7892"/>
              <w:tab w:val="right" w:pos="9026" w:leader="dot"/>
            </w:tabs>
            <w:rPr/>
          </w:pPr>
          <w:hyperlink w:anchor="__RefHeading___Toc1013609_1051229030">
            <w:r>
              <w:rPr>
                <w:webHidden/>
                <w:rStyle w:val="IndexLink"/>
                <w:rtl w:val="true"/>
              </w:rPr>
              <w:t>الخلاصة</w:t>
            </w:r>
            <w:r>
              <w:rPr>
                <w:rStyle w:val="IndexLink"/>
                <w:rtl w:val="true"/>
              </w:rPr>
              <w:t>:</w:t>
              <w:tab/>
            </w:r>
            <w:r>
              <w:rPr>
                <w:rStyle w:val="IndexLink"/>
              </w:rPr>
              <w:t>129</w:t>
            </w:r>
          </w:hyperlink>
        </w:p>
        <w:p>
          <w:pPr>
            <w:pStyle w:val="Contents3"/>
            <w:tabs>
              <w:tab w:val="clear" w:pos="8459"/>
              <w:tab w:val="right" w:pos="9026" w:leader="dot"/>
            </w:tabs>
            <w:rPr/>
          </w:pPr>
          <w:hyperlink w:anchor="__RefHeading___Toc1013611_1051229030">
            <w:r>
              <w:rPr>
                <w:webHidden/>
                <w:rStyle w:val="IndexLink"/>
                <w:rtl w:val="true"/>
              </w:rPr>
              <w:t>الفصل الرابع</w:t>
            </w:r>
            <w:r>
              <w:rPr>
                <w:rStyle w:val="IndexLink"/>
                <w:rtl w:val="true"/>
              </w:rPr>
              <w:t xml:space="preserve">: </w:t>
            </w:r>
            <w:r>
              <w:rPr>
                <w:rStyle w:val="IndexLink"/>
                <w:rtl w:val="true"/>
              </w:rPr>
              <w:t>للمهدي حيرة وغيبة</w:t>
            </w:r>
            <w:r>
              <w:rPr>
                <w:rStyle w:val="IndexLink"/>
                <w:rtl w:val="true"/>
              </w:rPr>
              <w:tab/>
            </w:r>
            <w:r>
              <w:rPr>
                <w:rStyle w:val="IndexLink"/>
              </w:rPr>
              <w:t>134</w:t>
            </w:r>
          </w:hyperlink>
        </w:p>
        <w:p>
          <w:pPr>
            <w:pStyle w:val="Contents4"/>
            <w:tabs>
              <w:tab w:val="clear" w:pos="8176"/>
              <w:tab w:val="right" w:pos="9026" w:leader="dot"/>
            </w:tabs>
            <w:rPr/>
          </w:pPr>
          <w:hyperlink w:anchor="__RefHeading___Toc1013613_1051229030">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013615_1051229030">
            <w:r>
              <w:rPr>
                <w:webHidden/>
                <w:rStyle w:val="IndexLink"/>
                <w:rtl w:val="true"/>
              </w:rPr>
              <w:t>مقوّمات الفكرة المهدوية</w:t>
            </w:r>
            <w:r>
              <w:rPr>
                <w:rStyle w:val="IndexLink"/>
                <w:rtl w:val="true"/>
              </w:rPr>
              <w:t>:</w:t>
              <w:tab/>
            </w:r>
            <w:r>
              <w:rPr>
                <w:rStyle w:val="IndexLink"/>
              </w:rPr>
              <w:t>137</w:t>
            </w:r>
          </w:hyperlink>
        </w:p>
        <w:p>
          <w:pPr>
            <w:pStyle w:val="Contents4"/>
            <w:tabs>
              <w:tab w:val="clear" w:pos="8176"/>
              <w:tab w:val="right" w:pos="9026" w:leader="dot"/>
            </w:tabs>
            <w:rPr/>
          </w:pPr>
          <w:hyperlink w:anchor="__RefHeading___Toc1013617_1051229030">
            <w:r>
              <w:rPr>
                <w:webHidden/>
                <w:rStyle w:val="IndexLink"/>
                <w:rtl w:val="true"/>
              </w:rPr>
              <w:t>الأمر الأوّل</w:t>
            </w:r>
            <w:r>
              <w:rPr>
                <w:rStyle w:val="IndexLink"/>
                <w:rtl w:val="true"/>
              </w:rPr>
              <w:t xml:space="preserve">: </w:t>
            </w:r>
            <w:r>
              <w:rPr>
                <w:rStyle w:val="IndexLink"/>
                <w:rtl w:val="true"/>
              </w:rPr>
              <w:t>المهدي وسماته وانجازاته</w:t>
            </w:r>
            <w:r>
              <w:rPr>
                <w:rStyle w:val="IndexLink"/>
                <w:rtl w:val="true"/>
              </w:rPr>
              <w:t>:</w:t>
              <w:tab/>
            </w:r>
            <w:r>
              <w:rPr>
                <w:rStyle w:val="IndexLink"/>
              </w:rPr>
              <w:t>138</w:t>
            </w:r>
          </w:hyperlink>
        </w:p>
        <w:p>
          <w:pPr>
            <w:pStyle w:val="Contents4"/>
            <w:tabs>
              <w:tab w:val="clear" w:pos="8176"/>
              <w:tab w:val="right" w:pos="9026" w:leader="dot"/>
            </w:tabs>
            <w:rPr/>
          </w:pPr>
          <w:hyperlink w:anchor="__RefHeading___Toc1013619_1051229030">
            <w:r>
              <w:rPr>
                <w:webHidden/>
                <w:rStyle w:val="IndexLink"/>
                <w:rtl w:val="true"/>
              </w:rPr>
              <w:t>الأمر الثاني</w:t>
            </w:r>
            <w:r>
              <w:rPr>
                <w:rStyle w:val="IndexLink"/>
                <w:rtl w:val="true"/>
              </w:rPr>
              <w:t xml:space="preserve">: </w:t>
            </w:r>
            <w:r>
              <w:rPr>
                <w:rStyle w:val="IndexLink"/>
                <w:rtl w:val="true"/>
              </w:rPr>
              <w:t>الغيبة</w:t>
            </w:r>
            <w:r>
              <w:rPr>
                <w:rStyle w:val="IndexLink"/>
                <w:rtl w:val="true"/>
              </w:rPr>
              <w:t>:</w:t>
              <w:tab/>
            </w:r>
            <w:r>
              <w:rPr>
                <w:rStyle w:val="IndexLink"/>
              </w:rPr>
              <w:t>139</w:t>
            </w:r>
          </w:hyperlink>
        </w:p>
        <w:p>
          <w:pPr>
            <w:pStyle w:val="Contents4"/>
            <w:tabs>
              <w:tab w:val="clear" w:pos="8176"/>
              <w:tab w:val="right" w:pos="9026" w:leader="dot"/>
            </w:tabs>
            <w:rPr/>
          </w:pPr>
          <w:hyperlink w:anchor="__RefHeading___Toc1013621_1051229030">
            <w:r>
              <w:rPr>
                <w:webHidden/>
                <w:rStyle w:val="IndexLink"/>
                <w:rtl w:val="true"/>
              </w:rPr>
              <w:t>الأمر الثالث</w:t>
            </w:r>
            <w:r>
              <w:rPr>
                <w:rStyle w:val="IndexLink"/>
                <w:rtl w:val="true"/>
              </w:rPr>
              <w:t xml:space="preserve">: </w:t>
            </w:r>
            <w:r>
              <w:rPr>
                <w:rStyle w:val="IndexLink"/>
                <w:rtl w:val="true"/>
              </w:rPr>
              <w:t>الولادة، وطول الغيبة، ومجهولية التوقيت، واختفاء الهويّة الشخصية</w:t>
            </w:r>
            <w:r>
              <w:rPr>
                <w:rStyle w:val="IndexLink"/>
                <w:rtl w:val="true"/>
              </w:rPr>
              <w:t>:</w:t>
              <w:tab/>
            </w:r>
            <w:r>
              <w:rPr>
                <w:rStyle w:val="IndexLink"/>
              </w:rPr>
              <w:t>143</w:t>
            </w:r>
          </w:hyperlink>
        </w:p>
        <w:p>
          <w:pPr>
            <w:pStyle w:val="Contents5"/>
            <w:tabs>
              <w:tab w:val="clear" w:pos="7892"/>
              <w:tab w:val="right" w:pos="9026" w:leader="dot"/>
            </w:tabs>
            <w:rPr/>
          </w:pPr>
          <w:hyperlink w:anchor="__RefHeading___Toc1013623_1051229030">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1013625_1051229030">
            <w:r>
              <w:rPr>
                <w:webHidden/>
                <w:rStyle w:val="IndexLink"/>
                <w:rtl w:val="true"/>
              </w:rPr>
              <w:t>بعض أوجه الغيبة</w:t>
            </w:r>
            <w:r>
              <w:rPr>
                <w:rStyle w:val="IndexLink"/>
                <w:rtl w:val="true"/>
              </w:rPr>
              <w:t>:</w:t>
              <w:tab/>
            </w:r>
            <w:r>
              <w:rPr>
                <w:rStyle w:val="IndexLink"/>
              </w:rPr>
              <w:t>144</w:t>
            </w:r>
          </w:hyperlink>
        </w:p>
        <w:p>
          <w:pPr>
            <w:pStyle w:val="Contents5"/>
            <w:tabs>
              <w:tab w:val="clear" w:pos="7892"/>
              <w:tab w:val="right" w:pos="9026" w:leader="dot"/>
            </w:tabs>
            <w:rPr/>
          </w:pPr>
          <w:hyperlink w:anchor="__RefHeading___Toc1013627_1051229030">
            <w:r>
              <w:rPr>
                <w:webHidden/>
                <w:rStyle w:val="IndexLink"/>
                <w:rtl w:val="true"/>
              </w:rPr>
              <w:t>الدليل الروائي على الولادة</w:t>
            </w:r>
            <w:r>
              <w:rPr>
                <w:rStyle w:val="IndexLink"/>
                <w:rtl w:val="true"/>
              </w:rPr>
              <w:t>:</w:t>
              <w:tab/>
            </w:r>
            <w:r>
              <w:rPr>
                <w:rStyle w:val="IndexLink"/>
              </w:rPr>
              <w:t>146</w:t>
            </w:r>
          </w:hyperlink>
        </w:p>
        <w:p>
          <w:pPr>
            <w:pStyle w:val="Contents3"/>
            <w:tabs>
              <w:tab w:val="clear" w:pos="8459"/>
              <w:tab w:val="right" w:pos="9026" w:leader="dot"/>
            </w:tabs>
            <w:rPr/>
          </w:pPr>
          <w:hyperlink w:anchor="__RefHeading___Toc1013629_1051229030">
            <w:r>
              <w:rPr>
                <w:webHidden/>
                <w:rStyle w:val="IndexLink"/>
                <w:rtl w:val="true"/>
              </w:rPr>
              <w:t>الفصل الخامس</w:t>
            </w:r>
            <w:r>
              <w:rPr>
                <w:rStyle w:val="IndexLink"/>
                <w:rtl w:val="true"/>
              </w:rPr>
              <w:t xml:space="preserve">: </w:t>
            </w:r>
            <w:r>
              <w:rPr>
                <w:rStyle w:val="IndexLink"/>
                <w:rtl w:val="true"/>
              </w:rPr>
              <w:t>الثقافة المهدوية بين المبالغة والاستخفاف</w:t>
            </w:r>
            <w:r>
              <w:rPr>
                <w:rStyle w:val="IndexLink"/>
                <w:rtl w:val="true"/>
              </w:rPr>
              <w:tab/>
            </w:r>
            <w:r>
              <w:rPr>
                <w:rStyle w:val="IndexLink"/>
              </w:rPr>
              <w:t>150</w:t>
            </w:r>
          </w:hyperlink>
        </w:p>
        <w:p>
          <w:pPr>
            <w:pStyle w:val="Contents4"/>
            <w:tabs>
              <w:tab w:val="clear" w:pos="8176"/>
              <w:tab w:val="right" w:pos="9026" w:leader="dot"/>
            </w:tabs>
            <w:rPr/>
          </w:pPr>
          <w:hyperlink w:anchor="__RefHeading___Toc1013631_1051229030">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1013633_1051229030">
            <w:r>
              <w:rPr>
                <w:webHidden/>
                <w:rStyle w:val="IndexLink"/>
                <w:rtl w:val="true"/>
              </w:rPr>
              <w:t xml:space="preserve">أ </w:t>
            </w:r>
            <w:r>
              <w:rPr>
                <w:rStyle w:val="IndexLink"/>
                <w:rtl w:val="true"/>
              </w:rPr>
              <w:t xml:space="preserve">- </w:t>
            </w:r>
            <w:r>
              <w:rPr>
                <w:rStyle w:val="IndexLink"/>
                <w:rtl w:val="true"/>
              </w:rPr>
              <w:t xml:space="preserve">حكم الدول قبل القائم </w:t>
            </w:r>
            <w:r>
              <w:rPr>
                <w:rStyle w:val="IndexLink"/>
                <w:rtl w:val="true"/>
              </w:rPr>
              <w:t>(</w:t>
            </w:r>
            <w:r>
              <w:rPr>
                <w:rStyle w:val="IndexLink"/>
                <w:rtl w:val="true"/>
              </w:rPr>
              <w:t>عليه السلام</w:t>
            </w:r>
            <w:r>
              <w:rPr>
                <w:rStyle w:val="IndexLink"/>
                <w:rtl w:val="true"/>
              </w:rPr>
              <w:t>):</w:t>
              <w:tab/>
            </w:r>
            <w:r>
              <w:rPr>
                <w:rStyle w:val="IndexLink"/>
              </w:rPr>
              <w:t>152</w:t>
            </w:r>
          </w:hyperlink>
        </w:p>
        <w:p>
          <w:pPr>
            <w:pStyle w:val="Contents4"/>
            <w:tabs>
              <w:tab w:val="clear" w:pos="8176"/>
              <w:tab w:val="right" w:pos="9026" w:leader="dot"/>
            </w:tabs>
            <w:rPr/>
          </w:pPr>
          <w:hyperlink w:anchor="__RefHeading___Toc1013635_1051229030">
            <w:r>
              <w:rPr>
                <w:webHidden/>
                <w:rStyle w:val="IndexLink"/>
                <w:rtl w:val="true"/>
              </w:rPr>
              <w:t xml:space="preserve">ب </w:t>
            </w:r>
            <w:r>
              <w:rPr>
                <w:rStyle w:val="IndexLink"/>
                <w:rtl w:val="true"/>
              </w:rPr>
              <w:t xml:space="preserve">- </w:t>
            </w:r>
            <w:r>
              <w:rPr>
                <w:rStyle w:val="IndexLink"/>
                <w:rtl w:val="true"/>
              </w:rPr>
              <w:t xml:space="preserve">مصير أهل الذمّة في عصر الإمام </w:t>
            </w:r>
            <w:r>
              <w:rPr>
                <w:rStyle w:val="IndexLink"/>
                <w:rtl w:val="true"/>
              </w:rPr>
              <w:t>(</w:t>
            </w:r>
            <w:r>
              <w:rPr>
                <w:rStyle w:val="IndexLink"/>
                <w:rtl w:val="true"/>
              </w:rPr>
              <w:t>عليه السلام</w:t>
            </w:r>
            <w:r>
              <w:rPr>
                <w:rStyle w:val="IndexLink"/>
                <w:rtl w:val="true"/>
              </w:rPr>
              <w:t>):</w:t>
              <w:tab/>
            </w:r>
            <w:r>
              <w:rPr>
                <w:rStyle w:val="IndexLink"/>
              </w:rPr>
              <w:t>153</w:t>
            </w:r>
          </w:hyperlink>
        </w:p>
        <w:p>
          <w:pPr>
            <w:pStyle w:val="Contents4"/>
            <w:tabs>
              <w:tab w:val="clear" w:pos="8176"/>
              <w:tab w:val="right" w:pos="9026" w:leader="dot"/>
            </w:tabs>
            <w:rPr/>
          </w:pPr>
          <w:hyperlink w:anchor="__RefHeading___Toc1013637_1051229030">
            <w:r>
              <w:rPr>
                <w:webHidden/>
                <w:rStyle w:val="IndexLink"/>
                <w:rtl w:val="true"/>
              </w:rPr>
              <w:t xml:space="preserve">جـ </w:t>
            </w:r>
            <w:r>
              <w:rPr>
                <w:rStyle w:val="IndexLink"/>
                <w:rtl w:val="true"/>
              </w:rPr>
              <w:t xml:space="preserve">- </w:t>
            </w:r>
            <w:r>
              <w:rPr>
                <w:rStyle w:val="IndexLink"/>
                <w:rtl w:val="true"/>
              </w:rPr>
              <w:t>أزمة الفكرة المهدوية</w:t>
            </w:r>
            <w:r>
              <w:rPr>
                <w:rStyle w:val="IndexLink"/>
                <w:rtl w:val="true"/>
              </w:rPr>
              <w:t>:</w:t>
              <w:tab/>
            </w:r>
            <w:r>
              <w:rPr>
                <w:rStyle w:val="IndexLink"/>
              </w:rPr>
              <w:t>154</w:t>
            </w:r>
          </w:hyperlink>
        </w:p>
        <w:p>
          <w:pPr>
            <w:pStyle w:val="Contents4"/>
            <w:tabs>
              <w:tab w:val="clear" w:pos="8176"/>
              <w:tab w:val="right" w:pos="9026" w:leader="dot"/>
            </w:tabs>
            <w:rPr/>
          </w:pPr>
          <w:hyperlink w:anchor="__RefHeading___Toc1013639_1051229030">
            <w:r>
              <w:rPr>
                <w:webHidden/>
                <w:rStyle w:val="IndexLink"/>
                <w:rtl w:val="true"/>
              </w:rPr>
              <w:t xml:space="preserve">د </w:t>
            </w:r>
            <w:r>
              <w:rPr>
                <w:rStyle w:val="IndexLink"/>
                <w:rtl w:val="true"/>
              </w:rPr>
              <w:t xml:space="preserve">- </w:t>
            </w:r>
            <w:r>
              <w:rPr>
                <w:rStyle w:val="IndexLink"/>
                <w:rtl w:val="true"/>
              </w:rPr>
              <w:t>الرؤية الدينية بين السلفية والاعتزالية</w:t>
            </w:r>
            <w:r>
              <w:rPr>
                <w:rStyle w:val="IndexLink"/>
                <w:rtl w:val="true"/>
              </w:rPr>
              <w:t>:</w:t>
              <w:tab/>
            </w:r>
            <w:r>
              <w:rPr>
                <w:rStyle w:val="IndexLink"/>
              </w:rPr>
              <w:t>157</w:t>
            </w:r>
          </w:hyperlink>
        </w:p>
        <w:p>
          <w:pPr>
            <w:pStyle w:val="Contents4"/>
            <w:tabs>
              <w:tab w:val="clear" w:pos="8176"/>
              <w:tab w:val="right" w:pos="9026" w:leader="dot"/>
            </w:tabs>
            <w:rPr/>
          </w:pPr>
          <w:hyperlink w:anchor="__RefHeading___Toc1013641_1051229030">
            <w:r>
              <w:rPr>
                <w:webHidden/>
                <w:rStyle w:val="IndexLink"/>
                <w:rtl w:val="true"/>
              </w:rPr>
              <w:t xml:space="preserve">هـ </w:t>
            </w:r>
            <w:r>
              <w:rPr>
                <w:rStyle w:val="IndexLink"/>
                <w:rtl w:val="true"/>
              </w:rPr>
              <w:t xml:space="preserve">- </w:t>
            </w:r>
            <w:r>
              <w:rPr>
                <w:rStyle w:val="IndexLink"/>
                <w:rtl w:val="true"/>
              </w:rPr>
              <w:t>أزمة الخطاب المهدوي</w:t>
            </w:r>
            <w:r>
              <w:rPr>
                <w:rStyle w:val="IndexLink"/>
                <w:rtl w:val="true"/>
              </w:rPr>
              <w:t>:</w:t>
              <w:tab/>
            </w:r>
            <w:r>
              <w:rPr>
                <w:rStyle w:val="IndexLink"/>
              </w:rPr>
              <w:t>158</w:t>
            </w:r>
          </w:hyperlink>
        </w:p>
        <w:p>
          <w:pPr>
            <w:pStyle w:val="Contents5"/>
            <w:tabs>
              <w:tab w:val="clear" w:pos="7892"/>
              <w:tab w:val="right" w:pos="9026" w:leader="dot"/>
            </w:tabs>
            <w:rPr/>
          </w:pPr>
          <w:hyperlink w:anchor="__RefHeading___Toc1013643_1051229030">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1013645_1051229030">
            <w:r>
              <w:rPr>
                <w:webHidden/>
                <w:rStyle w:val="IndexLink"/>
                <w:rtl w:val="true"/>
              </w:rPr>
              <w:t>نماذج من الخطاب المهدوي</w:t>
            </w:r>
            <w:r>
              <w:rPr>
                <w:rStyle w:val="IndexLink"/>
                <w:rtl w:val="true"/>
              </w:rPr>
              <w:t>:</w:t>
              <w:tab/>
            </w:r>
            <w:r>
              <w:rPr>
                <w:rStyle w:val="IndexLink"/>
              </w:rPr>
              <w:t>161</w:t>
            </w:r>
          </w:hyperlink>
        </w:p>
        <w:p>
          <w:pPr>
            <w:pStyle w:val="Contents3"/>
            <w:tabs>
              <w:tab w:val="clear" w:pos="8459"/>
              <w:tab w:val="right" w:pos="9026" w:leader="dot"/>
            </w:tabs>
            <w:rPr/>
          </w:pPr>
          <w:hyperlink w:anchor="__RefHeading___Toc1013647_1051229030">
            <w:r>
              <w:rPr>
                <w:webHidden/>
                <w:rStyle w:val="IndexLink"/>
                <w:rtl w:val="true"/>
              </w:rPr>
              <w:t>الفصل السادس</w:t>
            </w:r>
            <w:r>
              <w:rPr>
                <w:rStyle w:val="IndexLink"/>
                <w:rtl w:val="true"/>
              </w:rPr>
              <w:t xml:space="preserve">: </w:t>
            </w:r>
            <w:r>
              <w:rPr>
                <w:rStyle w:val="IndexLink"/>
                <w:rtl w:val="true"/>
              </w:rPr>
              <w:t>علائم الظهور</w:t>
            </w:r>
            <w:r>
              <w:rPr>
                <w:rStyle w:val="IndexLink"/>
                <w:rtl w:val="true"/>
              </w:rPr>
              <w:tab/>
            </w:r>
            <w:r>
              <w:rPr>
                <w:rStyle w:val="IndexLink"/>
              </w:rPr>
              <w:t>164</w:t>
            </w:r>
          </w:hyperlink>
        </w:p>
        <w:p>
          <w:pPr>
            <w:pStyle w:val="Contents4"/>
            <w:tabs>
              <w:tab w:val="clear" w:pos="8176"/>
              <w:tab w:val="right" w:pos="9026" w:leader="dot"/>
            </w:tabs>
            <w:rPr/>
          </w:pPr>
          <w:hyperlink w:anchor="__RefHeading___Toc1013649_1051229030">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1013651_1051229030">
            <w:r>
              <w:rPr>
                <w:webHidden/>
                <w:rStyle w:val="IndexLink"/>
                <w:rtl w:val="true"/>
              </w:rPr>
              <w:t>مصطلح العلامة</w:t>
            </w:r>
            <w:r>
              <w:rPr>
                <w:rStyle w:val="IndexLink"/>
                <w:rtl w:val="true"/>
              </w:rPr>
              <w:t>:</w:t>
              <w:tab/>
            </w:r>
            <w:r>
              <w:rPr>
                <w:rStyle w:val="IndexLink"/>
              </w:rPr>
              <w:t>166</w:t>
            </w:r>
          </w:hyperlink>
        </w:p>
        <w:p>
          <w:pPr>
            <w:pStyle w:val="Contents4"/>
            <w:tabs>
              <w:tab w:val="clear" w:pos="8176"/>
              <w:tab w:val="right" w:pos="9026" w:leader="dot"/>
            </w:tabs>
            <w:rPr/>
          </w:pPr>
          <w:hyperlink w:anchor="__RefHeading___Toc1013653_1051229030">
            <w:r>
              <w:rPr>
                <w:webHidden/>
                <w:rStyle w:val="IndexLink"/>
                <w:rtl w:val="true"/>
              </w:rPr>
              <w:t>فلسفة ذكر العلائم</w:t>
            </w:r>
            <w:r>
              <w:rPr>
                <w:rStyle w:val="IndexLink"/>
                <w:rtl w:val="true"/>
              </w:rPr>
              <w:t>:</w:t>
              <w:tab/>
            </w:r>
            <w:r>
              <w:rPr>
                <w:rStyle w:val="IndexLink"/>
              </w:rPr>
              <w:t>171</w:t>
            </w:r>
          </w:hyperlink>
        </w:p>
        <w:p>
          <w:pPr>
            <w:pStyle w:val="Contents4"/>
            <w:tabs>
              <w:tab w:val="clear" w:pos="8176"/>
              <w:tab w:val="right" w:pos="9026" w:leader="dot"/>
            </w:tabs>
            <w:rPr/>
          </w:pPr>
          <w:hyperlink w:anchor="__RefHeading___Toc1013655_1051229030">
            <w:r>
              <w:rPr>
                <w:webHidden/>
                <w:rStyle w:val="IndexLink"/>
                <w:rtl w:val="true"/>
              </w:rPr>
              <w:t>بيان الحال في المنظومة المهدوية</w:t>
            </w:r>
            <w:r>
              <w:rPr>
                <w:rStyle w:val="IndexLink"/>
                <w:rtl w:val="true"/>
              </w:rPr>
              <w:t>:</w:t>
              <w:tab/>
            </w:r>
            <w:r>
              <w:rPr>
                <w:rStyle w:val="IndexLink"/>
              </w:rPr>
              <w:t>175</w:t>
            </w:r>
          </w:hyperlink>
        </w:p>
        <w:p>
          <w:pPr>
            <w:pStyle w:val="Contents3"/>
            <w:tabs>
              <w:tab w:val="clear" w:pos="8459"/>
              <w:tab w:val="right" w:pos="9026" w:leader="dot"/>
            </w:tabs>
            <w:rPr/>
          </w:pPr>
          <w:hyperlink w:anchor="__RefHeading___Toc1013657_1051229030">
            <w:r>
              <w:rPr>
                <w:webHidden/>
                <w:rStyle w:val="IndexLink"/>
                <w:rtl w:val="true"/>
              </w:rPr>
              <w:t>الفصل السابع</w:t>
            </w:r>
            <w:r>
              <w:rPr>
                <w:rStyle w:val="IndexLink"/>
                <w:rtl w:val="true"/>
              </w:rPr>
              <w:t xml:space="preserve">: </w:t>
            </w:r>
            <w:r>
              <w:rPr>
                <w:rStyle w:val="IndexLink"/>
                <w:rtl w:val="true"/>
              </w:rPr>
              <w:t>المنقذ العالمي في الأديان</w:t>
            </w:r>
            <w:r>
              <w:rPr>
                <w:rStyle w:val="IndexLink"/>
                <w:rtl w:val="true"/>
              </w:rPr>
              <w:tab/>
            </w:r>
            <w:r>
              <w:rPr>
                <w:rStyle w:val="IndexLink"/>
              </w:rPr>
              <w:t>182</w:t>
            </w:r>
          </w:hyperlink>
        </w:p>
        <w:p>
          <w:pPr>
            <w:pStyle w:val="Contents4"/>
            <w:tabs>
              <w:tab w:val="clear" w:pos="8176"/>
              <w:tab w:val="right" w:pos="9026" w:leader="dot"/>
            </w:tabs>
            <w:rPr/>
          </w:pPr>
          <w:hyperlink w:anchor="__RefHeading___Toc1013659_1051229030">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1013661_1051229030">
            <w:r>
              <w:rPr>
                <w:webHidden/>
                <w:rStyle w:val="IndexLink"/>
                <w:rtl w:val="true"/>
              </w:rPr>
              <w:t>وهاهنا سؤالان</w:t>
            </w:r>
            <w:r>
              <w:rPr>
                <w:rStyle w:val="IndexLink"/>
                <w:rtl w:val="true"/>
              </w:rPr>
              <w:t>:</w:t>
              <w:tab/>
            </w:r>
            <w:r>
              <w:rPr>
                <w:rStyle w:val="IndexLink"/>
              </w:rPr>
              <w:t>187</w:t>
            </w:r>
          </w:hyperlink>
        </w:p>
        <w:p>
          <w:pPr>
            <w:pStyle w:val="Contents3"/>
            <w:tabs>
              <w:tab w:val="clear" w:pos="8459"/>
              <w:tab w:val="right" w:pos="9026" w:leader="dot"/>
            </w:tabs>
            <w:rPr/>
          </w:pPr>
          <w:hyperlink w:anchor="__RefHeading___Toc1013663_1051229030">
            <w:r>
              <w:rPr>
                <w:webHidden/>
                <w:rStyle w:val="IndexLink"/>
                <w:rtl w:val="true"/>
              </w:rPr>
              <w:t>الفصل الثامن</w:t>
            </w:r>
            <w:r>
              <w:rPr>
                <w:rStyle w:val="IndexLink"/>
                <w:rtl w:val="true"/>
              </w:rPr>
              <w:t xml:space="preserve">: </w:t>
            </w:r>
            <w:r>
              <w:rPr>
                <w:rStyle w:val="IndexLink"/>
                <w:rtl w:val="true"/>
              </w:rPr>
              <w:t>أسرار الانتظار</w:t>
            </w:r>
            <w:r>
              <w:rPr>
                <w:rStyle w:val="IndexLink"/>
                <w:rtl w:val="true"/>
              </w:rPr>
              <w:tab/>
            </w:r>
            <w:r>
              <w:rPr>
                <w:rStyle w:val="IndexLink"/>
              </w:rPr>
              <w:t>190</w:t>
            </w:r>
          </w:hyperlink>
        </w:p>
        <w:p>
          <w:pPr>
            <w:pStyle w:val="Contents3"/>
            <w:tabs>
              <w:tab w:val="clear" w:pos="8459"/>
              <w:tab w:val="right" w:pos="9026" w:leader="dot"/>
            </w:tabs>
            <w:rPr/>
          </w:pPr>
          <w:hyperlink w:anchor="__RefHeading___Toc1013665_1051229030">
            <w:r>
              <w:rPr>
                <w:webHidden/>
                <w:rStyle w:val="IndexLink"/>
                <w:rtl w:val="true"/>
              </w:rPr>
              <w:t>الفصل التاسع</w:t>
            </w:r>
            <w:r>
              <w:rPr>
                <w:rStyle w:val="IndexLink"/>
                <w:rtl w:val="true"/>
              </w:rPr>
              <w:t xml:space="preserve">: </w:t>
            </w:r>
            <w:r>
              <w:rPr>
                <w:rStyle w:val="IndexLink"/>
                <w:rtl w:val="true"/>
              </w:rPr>
              <w:t>أزمة الفكر غير الشيعي في المنظومة المهدوية</w:t>
            </w:r>
            <w:r>
              <w:rPr>
                <w:rStyle w:val="IndexLink"/>
                <w:rtl w:val="true"/>
              </w:rPr>
              <w:tab/>
            </w:r>
            <w:r>
              <w:rPr>
                <w:rStyle w:val="IndexLink"/>
              </w:rPr>
              <w:t>194</w:t>
            </w:r>
          </w:hyperlink>
        </w:p>
        <w:p>
          <w:pPr>
            <w:pStyle w:val="Contents4"/>
            <w:tabs>
              <w:tab w:val="clear" w:pos="8176"/>
              <w:tab w:val="right" w:pos="9026" w:leader="dot"/>
            </w:tabs>
            <w:rPr/>
          </w:pPr>
          <w:hyperlink w:anchor="__RefHeading___Toc1013667_1051229030">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1013669_1051229030">
            <w:r>
              <w:rPr>
                <w:webHidden/>
                <w:rStyle w:val="IndexLink"/>
              </w:rPr>
              <w:t>1</w:t>
            </w:r>
            <w:r>
              <w:rPr>
                <w:rStyle w:val="IndexLink"/>
                <w:rtl w:val="true"/>
              </w:rPr>
              <w:t xml:space="preserve"> - </w:t>
            </w:r>
            <w:r>
              <w:rPr>
                <w:rStyle w:val="IndexLink"/>
                <w:rtl w:val="true"/>
              </w:rPr>
              <w:t>أزمة فكر المستشرقين في المنظومة المهدوية</w:t>
            </w:r>
            <w:r>
              <w:rPr>
                <w:rStyle w:val="IndexLink"/>
                <w:rtl w:val="true"/>
              </w:rPr>
              <w:t>:</w:t>
              <w:tab/>
            </w:r>
            <w:r>
              <w:rPr>
                <w:rStyle w:val="IndexLink"/>
              </w:rPr>
              <w:t>196</w:t>
            </w:r>
          </w:hyperlink>
        </w:p>
        <w:p>
          <w:pPr>
            <w:pStyle w:val="Contents4"/>
            <w:tabs>
              <w:tab w:val="clear" w:pos="8176"/>
              <w:tab w:val="right" w:pos="9026" w:leader="dot"/>
            </w:tabs>
            <w:rPr/>
          </w:pPr>
          <w:hyperlink w:anchor="__RefHeading___Toc1013671_1051229030">
            <w:r>
              <w:rPr>
                <w:webHidden/>
                <w:rStyle w:val="IndexLink"/>
              </w:rPr>
              <w:t>2</w:t>
            </w:r>
            <w:r>
              <w:rPr>
                <w:rStyle w:val="IndexLink"/>
                <w:rtl w:val="true"/>
              </w:rPr>
              <w:t xml:space="preserve"> – </w:t>
            </w:r>
            <w:r>
              <w:rPr>
                <w:rStyle w:val="IndexLink"/>
                <w:rtl w:val="true"/>
              </w:rPr>
              <w:t>أزمة فكر أبناء العامّة في المنظومة المهدوية</w:t>
            </w:r>
            <w:r>
              <w:rPr>
                <w:rStyle w:val="IndexLink"/>
                <w:rtl w:val="true"/>
              </w:rPr>
              <w:t>:</w:t>
              <w:tab/>
            </w:r>
            <w:r>
              <w:rPr>
                <w:rStyle w:val="IndexLink"/>
              </w:rPr>
              <w:t>197</w:t>
            </w:r>
          </w:hyperlink>
        </w:p>
        <w:p>
          <w:pPr>
            <w:pStyle w:val="Contents3"/>
            <w:tabs>
              <w:tab w:val="clear" w:pos="8459"/>
              <w:tab w:val="right" w:pos="9026" w:leader="dot"/>
            </w:tabs>
            <w:rPr/>
          </w:pPr>
          <w:hyperlink w:anchor="__RefHeading___Toc1013673_1051229030">
            <w:r>
              <w:rPr>
                <w:webHidden/>
                <w:rStyle w:val="IndexLink"/>
                <w:rtl w:val="true"/>
              </w:rPr>
              <w:t>الفصل العاشر</w:t>
            </w:r>
            <w:r>
              <w:rPr>
                <w:rStyle w:val="IndexLink"/>
                <w:rtl w:val="true"/>
              </w:rPr>
              <w:t xml:space="preserve">: </w:t>
            </w:r>
            <w:r>
              <w:rPr>
                <w:rStyle w:val="IndexLink"/>
                <w:rtl w:val="true"/>
              </w:rPr>
              <w:t>اعتماد الموازين في العقيدة المهدوية</w:t>
            </w:r>
            <w:r>
              <w:rPr>
                <w:rStyle w:val="IndexLink"/>
                <w:rtl w:val="true"/>
              </w:rPr>
              <w:tab/>
            </w:r>
            <w:r>
              <w:rPr>
                <w:rStyle w:val="IndexLink"/>
              </w:rPr>
              <w:t>202</w:t>
            </w:r>
          </w:hyperlink>
        </w:p>
        <w:p>
          <w:pPr>
            <w:pStyle w:val="Contents4"/>
            <w:tabs>
              <w:tab w:val="clear" w:pos="8176"/>
              <w:tab w:val="right" w:pos="9026" w:leader="dot"/>
            </w:tabs>
            <w:rPr/>
          </w:pPr>
          <w:hyperlink w:anchor="__RefHeading___Toc1013675_1051229030">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1013677_1051229030">
            <w:r>
              <w:rPr>
                <w:webHidden/>
                <w:rStyle w:val="IndexLink"/>
                <w:rtl w:val="true"/>
              </w:rPr>
              <w:t>طوائف المدّعين</w:t>
            </w:r>
            <w:r>
              <w:rPr>
                <w:rStyle w:val="IndexLink"/>
                <w:rtl w:val="true"/>
              </w:rPr>
              <w:t>:</w:t>
              <w:tab/>
            </w:r>
            <w:r>
              <w:rPr>
                <w:rStyle w:val="IndexLink"/>
              </w:rPr>
              <w:t>205</w:t>
            </w:r>
          </w:hyperlink>
        </w:p>
        <w:p>
          <w:pPr>
            <w:pStyle w:val="Contents4"/>
            <w:tabs>
              <w:tab w:val="clear" w:pos="8176"/>
              <w:tab w:val="right" w:pos="9026" w:leader="dot"/>
            </w:tabs>
            <w:rPr/>
          </w:pPr>
          <w:hyperlink w:anchor="__RefHeading___Toc1013679_1051229030">
            <w:r>
              <w:rPr>
                <w:webHidden/>
                <w:rStyle w:val="IndexLink"/>
                <w:rtl w:val="true"/>
              </w:rPr>
              <w:t>مناشئ الادّعاء</w:t>
            </w:r>
            <w:r>
              <w:rPr>
                <w:rStyle w:val="IndexLink"/>
                <w:rtl w:val="true"/>
              </w:rPr>
              <w:t>:</w:t>
              <w:tab/>
            </w:r>
            <w:r>
              <w:rPr>
                <w:rStyle w:val="IndexLink"/>
              </w:rPr>
              <w:t>205</w:t>
            </w:r>
          </w:hyperlink>
        </w:p>
        <w:p>
          <w:pPr>
            <w:pStyle w:val="Contents4"/>
            <w:tabs>
              <w:tab w:val="clear" w:pos="8176"/>
              <w:tab w:val="right" w:pos="9026" w:leader="dot"/>
            </w:tabs>
            <w:rPr/>
          </w:pPr>
          <w:hyperlink w:anchor="__RefHeading___Toc1013681_1051229030">
            <w:r>
              <w:rPr>
                <w:webHidden/>
                <w:rStyle w:val="IndexLink"/>
                <w:rtl w:val="true"/>
              </w:rPr>
              <w:t>مناشئ تأثير الادّعاء على القواعد الجماهيرية</w:t>
            </w:r>
            <w:r>
              <w:rPr>
                <w:rStyle w:val="IndexLink"/>
                <w:rtl w:val="true"/>
              </w:rPr>
              <w:t>:</w:t>
              <w:tab/>
            </w:r>
            <w:r>
              <w:rPr>
                <w:rStyle w:val="IndexLink"/>
              </w:rPr>
              <w:t>207</w:t>
            </w:r>
          </w:hyperlink>
        </w:p>
        <w:p>
          <w:pPr>
            <w:pStyle w:val="Contents4"/>
            <w:tabs>
              <w:tab w:val="clear" w:pos="8176"/>
              <w:tab w:val="right" w:pos="9026" w:leader="dot"/>
            </w:tabs>
            <w:rPr/>
          </w:pPr>
          <w:hyperlink w:anchor="__RefHeading___Toc1013683_1051229030">
            <w:r>
              <w:rPr>
                <w:webHidden/>
                <w:rStyle w:val="IndexLink"/>
                <w:rtl w:val="true"/>
              </w:rPr>
              <w:t>الملازمات السلبية للادّعاء</w:t>
            </w:r>
            <w:r>
              <w:rPr>
                <w:rStyle w:val="IndexLink"/>
                <w:rtl w:val="true"/>
              </w:rPr>
              <w:t>:</w:t>
              <w:tab/>
            </w:r>
            <w:r>
              <w:rPr>
                <w:rStyle w:val="IndexLink"/>
              </w:rPr>
              <w:t>209</w:t>
            </w:r>
          </w:hyperlink>
        </w:p>
        <w:p>
          <w:pPr>
            <w:pStyle w:val="Contents4"/>
            <w:tabs>
              <w:tab w:val="clear" w:pos="8176"/>
              <w:tab w:val="right" w:pos="9026" w:leader="dot"/>
            </w:tabs>
            <w:rPr/>
          </w:pPr>
          <w:hyperlink w:anchor="__RefHeading___Toc1013685_1051229030">
            <w:r>
              <w:rPr>
                <w:webHidden/>
                <w:rStyle w:val="IndexLink"/>
                <w:rtl w:val="true"/>
              </w:rPr>
              <w:t>دواعي الانحراف</w:t>
            </w:r>
            <w:r>
              <w:rPr>
                <w:rStyle w:val="IndexLink"/>
                <w:rtl w:val="true"/>
              </w:rPr>
              <w:t>:</w:t>
              <w:tab/>
            </w:r>
            <w:r>
              <w:rPr>
                <w:rStyle w:val="IndexLink"/>
              </w:rPr>
              <w:t>209</w:t>
            </w:r>
          </w:hyperlink>
        </w:p>
        <w:p>
          <w:pPr>
            <w:pStyle w:val="Contents4"/>
            <w:tabs>
              <w:tab w:val="clear" w:pos="8176"/>
              <w:tab w:val="right" w:pos="9026" w:leader="dot"/>
            </w:tabs>
            <w:rPr/>
          </w:pPr>
          <w:hyperlink w:anchor="__RefHeading___Toc1013687_1051229030">
            <w:r>
              <w:rPr>
                <w:webHidden/>
                <w:rStyle w:val="IndexLink"/>
                <w:rtl w:val="true"/>
              </w:rPr>
              <w:t>الوسائل العلاجية للانحراف</w:t>
            </w:r>
            <w:r>
              <w:rPr>
                <w:rStyle w:val="IndexLink"/>
                <w:rtl w:val="true"/>
              </w:rPr>
              <w:t>:</w:t>
              <w:tab/>
            </w:r>
            <w:r>
              <w:rPr>
                <w:rStyle w:val="IndexLink"/>
              </w:rPr>
              <w:t>210</w:t>
            </w:r>
          </w:hyperlink>
        </w:p>
        <w:p>
          <w:pPr>
            <w:pStyle w:val="Contents2"/>
            <w:tabs>
              <w:tab w:val="clear" w:pos="8743"/>
              <w:tab w:val="right" w:pos="9026" w:leader="dot"/>
            </w:tabs>
            <w:rPr/>
          </w:pPr>
          <w:hyperlink w:anchor="__RefHeading___Toc1013689_1051229030">
            <w:r>
              <w:rPr>
                <w:webHidden/>
                <w:rStyle w:val="IndexLink"/>
                <w:rtl w:val="true"/>
              </w:rPr>
              <w:t>مصادر التحقيق</w:t>
            </w:r>
            <w:r>
              <w:rPr>
                <w:rStyle w:val="IndexLink"/>
                <w:rtl w:val="true"/>
              </w:rPr>
              <w:tab/>
            </w:r>
            <w:r>
              <w:rPr>
                <w:rStyle w:val="IndexLink"/>
              </w:rPr>
              <w:t>212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30_68740"/>
      <w:bookmarkStart w:id="1" w:name="pg7330_68740"/>
      <w:bookmarkEnd w:id="1"/>
    </w:p>
    <w:p>
      <w:pPr>
        <w:pStyle w:val="Heading2"/>
        <w:numPr>
          <w:ilvl w:val="1"/>
          <w:numId w:val="1"/>
        </w:numPr>
        <w:rPr/>
      </w:pPr>
      <w:bookmarkStart w:id="2" w:name="pg7330_68740"/>
      <w:bookmarkStart w:id="3" w:name="__RefHeading___Toc1013481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العقیدة المهدویة</w:t>
      </w:r>
    </w:p>
    <w:p>
      <w:pPr>
        <w:pStyle w:val="BookText"/>
        <w:rPr/>
      </w:pPr>
      <w:r>
        <w:rPr>
          <w:rFonts w:ascii="IRNazanin" w:hAnsi="IRNazanin" w:eastAsia="IRNazanin"/>
          <w:color w:val="111111"/>
          <w:sz w:val="28"/>
          <w:sz w:val="28"/>
          <w:szCs w:val="28"/>
          <w:rtl w:val="true"/>
          <w:lang w:bidi="fa-IR"/>
        </w:rPr>
        <w:t>إشکالات و معالجات</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الإشکوري</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3483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جبل الحویش</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332813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IRNazanin" w:hAnsi="IRNazanin" w:eastAsia="IRNazanin"/>
          <w:color w:val="111111"/>
          <w:sz w:val="28"/>
          <w:sz w:val="28"/>
          <w:szCs w:val="28"/>
          <w:rtl w:val="true"/>
          <w:lang w:bidi="fa-IR"/>
        </w:rPr>
        <w:t>العقیدة المهدویة إشکالات و معالجات</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الإشکوري</w:t>
      </w:r>
    </w:p>
    <w:p>
      <w:pPr>
        <w:pStyle w:val="BookText"/>
        <w:rPr/>
      </w:pPr>
      <w:r>
        <w:rPr>
          <w:rFonts w:ascii="IRNazanin" w:hAnsi="IRNazanin" w:eastAsia="IRNazanin"/>
          <w:color w:val="111111"/>
          <w:sz w:val="28"/>
          <w:sz w:val="28"/>
          <w:szCs w:val="28"/>
          <w:rtl w:val="true"/>
          <w:lang w:bidi="fa-IR"/>
        </w:rPr>
        <w:t>تقديم و تحقیق</w:t>
      </w:r>
    </w:p>
    <w:p>
      <w:pPr>
        <w:pStyle w:val="BookText"/>
        <w:rPr/>
      </w:pP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bookmarkStart w:id="7" w:name="pg7330_68744"/>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013485_1051229030"/>
      <w:bookmarkStart w:id="9" w:name="_Toc3"/>
      <w:bookmarkEnd w:id="8"/>
      <w:r>
        <w:rPr>
          <w:rtl w:val="true"/>
        </w:rPr>
        <w:t>مقدّمة المركز</w:t>
      </w:r>
      <w:r>
        <w:rPr>
          <w:rtl w:val="true"/>
        </w:rPr>
        <w:t>:</w:t>
      </w:r>
      <w:bookmarkEnd w:id="9"/>
    </w:p>
    <w:p>
      <w:pPr>
        <w:pStyle w:val="BookText"/>
        <w:rPr/>
      </w:pPr>
      <w:r>
        <w:rPr>
          <w:rFonts w:ascii="Amiri" w:hAnsi="Amiri" w:eastAsia="Amiri" w:cs="Amiri"/>
          <w:color w:val="111111"/>
          <w:sz w:val="28"/>
          <w:sz w:val="28"/>
          <w:szCs w:val="28"/>
          <w:rtl w:val="true"/>
          <w:lang w:bidi="ar-SA"/>
        </w:rPr>
        <w:t xml:space="preserve">تنوَّعت الكتابات في 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وتباينت وجهاتها وأغراضها وقد يعزو البعض سبب ذلك إلى اتّساع الفكرة وشموليّتها بحيث لا يمكن اختزالها في كتاب واحد ولا يمكن الإحاطة بها من قبل كاتب واحد وقد يعود السبب إلى الموقف من أصل الفكرة بين الإنكار والإثبات، والمنكرون على أصناف والمثبتون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ونرى أنَّ كلا الأمرين صحيح، فعظم القضيّة وتنوّع ارتباطاتها من جهة، واختلاف الرؤى والمدارس الفكرية فيها من جهة أخرى، أدّى كلّ ذلك إلى تنوّع الكتابات عنها وتعدّد الأقلام فيها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النادر أن تجد كاتباً يسلّط الأضواء على أكثر من جهة مع استيعاب للفكرة وعمق في المضمون وجزالة في العبارة لاسيّما إذا كان البحث المطروح ليس بحثاً وسرداً تاريخياً وإنَّما بحثاً في الأصول والمباني المعرفية في عقيدة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يجده القارئ لهذا الكتاب فقد عالج الكثير من المفاهيم المهدوية سواء في الدائرة الخاصّة من المؤمنين أو الدائرة الأعمّ ممَّا يشمل المنكرين أيضاً، عالج كلّ ذلك بقلم تفرَّد به المؤلّف ولا نغالي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أصاب كبد الحقيقة في الكثير ممَّا حاول عرضه بأسلوب علمي جادّ، وقد برع في معالجة الإشكاليات الميدانية المتفرّعة من الشبهات الفكرية، وهذا ممَّا ندر النظر إليه في كتب العقيدة المهدوية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والمركز إذ يعتزّ بنشر هذا الكتاب القيّم يتقدَّم بالشكر الجزيل لمؤلّفه سماحة الأستاذ الفاضل السيّد أحمد الإشكوري ولجميع الإخوة العاملين وبالأخصّ الشيخ حازم الحدراوي والشيخ ياسر الصالحي لجهدهما في إرجاع الأحاديث إلى مصادرها لكي يخرج الكتاب بهذه الحلّة القشيبة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المركز</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محمّد القبانچي </w:t>
      </w:r>
      <w:bookmarkStart w:id="10" w:name="pg7330_68747"/>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1013487_1051229030"/>
      <w:bookmarkStart w:id="12" w:name="_Toc4"/>
      <w:bookmarkEnd w:id="11"/>
      <w:r>
        <w:rPr>
          <w:rtl w:val="true"/>
        </w:rPr>
        <w:t>مقدّمة المؤلّف</w:t>
      </w:r>
      <w:r>
        <w:rPr>
          <w:rtl w:val="true"/>
        </w:rPr>
        <w:t>:</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رَبِّي يَعْلَمُ الْقَوْلَ فِي السَّماءِ وَالأَْرْضِ وَهُوَ السَّمِيعُ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على أفضاله ونواله وأنعمه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والصلاة على مقدام السفراء الإلهيين سيّد الكائنات نبيّنا نبيّ الرحمة أبي القاسم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على آله الكرام مصابيح الحوالك والظلم والسرج المضيئة في الدياجي البهم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حرّية الفكر والانتخاب ونزاهة العرض وعذوبته هي مناشئ التكامل العلمي والوصول إلى القلل وإخراج الدرر والمرجان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أنَّه وعلى طول الخطّ هناك أعداء الحقيقة ودعاة الظلام يسعون إلى إطفاء ذلك النور لتنسج العناكب بيوتها وتعيش الضلالة أوكارها ولا يمسكون عن طريق الغواية والتضليل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ربّنا في كتابه المنزل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 لِكُلِّ نَبِيٍّ عَدُوًّا شَياطِينَ الإِْنْسِ وَالْجِنِّ يُوحِي بَعْضُهُمْ إِلى بَعْضٍ زُخْرُفَ الْقَوْلِ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فاحتجنا إلى دعاة حقّ وعلماء هدى وألسنة صدق ومشاعل توحيد ومنابر علم يجدّدون من معالم الدين ما اندرس ويرفعون من منار الإيمان ما طمس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وكانت في طليعة تلك المساعي ولأخطر موضوع عقائدي جوانحياً وجوارحياً 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باعباء تبشير الثقافة المهدوية الأصيلة ببصيرة نافذة وفكر مخلص وأريحية علمية وشفّافية خطابية ونهج حضاري وإخراج رائع وموفَّق ووساطة بين العلماء والقواعد الإيمانية والنخب، فصار من السهل وللجميع أن يتعرَّف 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فيعيشه سلوكاً فقهياً ويحمله فكراً روائياً ويتبنّاه عقيدة عقلية ويتجذَّر فيه عاطفة قلبية ويسعى أن يمهّد له ويحسن الانتظار، فالانتظار ليس حالة من المشاهدة والتفرّج للحدث المستقبلي والتنبّؤ الغدي، بل هو مقدّمة ممهّدة للظهور، بل الفرج معنى سعي يشمل في طيّاته الانتظار الحالي الموصل، فبات المؤمن يقارنه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المخلص العالمي عند الغير وينسجه في منظومة دينية واحدة متكاملة متناسقة من عطر التوحيد فيقرؤه بين أسطر المعالم ويجده بين الركن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المركز شوطاً كبيراً بتوفيق ربّاني وإخلاص من طاقمه وأمامه الكثير وبحاجة إلى همّة عالية لتحقيق أهدافه والإصرار على المواصلة لكسب أطيب النتاج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أحمد الإشكوري </w:t>
      </w:r>
      <w:bookmarkStart w:id="13" w:name="pg7330_68751"/>
    </w:p>
    <w:p>
      <w:pPr>
        <w:pStyle w:val="Heading2"/>
        <w:numPr>
          <w:ilvl w:val="1"/>
          <w:numId w:val="1"/>
        </w:numPr>
        <w:rPr/>
      </w:pPr>
      <w:bookmarkStart w:id="14" w:name="__RefHeading___Toc1013489_1051229030"/>
      <w:bookmarkStart w:id="15" w:name="_Toc5"/>
      <w:bookmarkEnd w:id="13"/>
      <w:bookmarkEnd w:id="14"/>
      <w:r>
        <w:rPr>
          <w:rtl w:val="true"/>
        </w:rPr>
        <w:t>تمهيد</w:t>
      </w:r>
      <w:r>
        <w:rPr>
          <w:rtl w:val="true"/>
        </w:rPr>
        <w:t>:</w:t>
      </w:r>
      <w:bookmarkEnd w:id="15"/>
    </w:p>
    <w:p>
      <w:pPr>
        <w:pStyle w:val="BookText"/>
        <w:rPr/>
      </w:pPr>
      <w:r>
        <w:rPr>
          <w:rFonts w:ascii="Amiri" w:hAnsi="Amiri" w:eastAsia="Amiri" w:cs="Amiri"/>
          <w:color w:val="111111"/>
          <w:sz w:val="28"/>
          <w:sz w:val="28"/>
          <w:szCs w:val="28"/>
          <w:rtl w:val="true"/>
          <w:lang w:bidi="ar-SA"/>
        </w:rPr>
        <w:t>المنظومة المهدوية بتجاذباتها وأجندتها من جهة، وعدم تقبّل البعض لها بسبب الخلفيات الثقافية والتاريخية من جهة أخرى، رغم دقّة وبراعة وترسيم بارئها، ورونق مصمّمها وتقنيّة مقنّنها من جهة أخرى، تعيش شيئاً من الضبابية والغموض والاستتار في ثقافتها وكيفية قراءتها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تنحرف بين حين وآخر عند هذا البعض عن مسارها الإلهي المرسوم والمخطّط لها، إمَّا انحرافاً وشذوذاً فكرياً، وإمَّا سلوكياً وإمَّا 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غرابةَ في ذلك، بل إنَّ الظواهر الفكرية كلَّما ازدادت ثراءً عاشت افتتاناً أشدّ، فالظاهرة الدينية مع فطنة وحكمة مشرّعها ودقَّته وتبصّره وغيبيته لم تأمن من ظاهرة الانحراف، سواء أكان من بداية الولادة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الفترة المشارفة له، أم فيما بعد، فوجدت المذاهب المتكثّرة في الشريعة الواحدة، فتعدّدها وليد إساءة فهمها وانحراف أربابها، ولا عجب في ذلك لأن الافتتان سُنّة إلهية محتومة لكل ظاهرة دينية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فمكونها الداخلي بمقتضى معايشتها لعالم التزاحم يفسح المجال للاختبار ويهيّئ سبل الافتتان والامتحان،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لتمحصنَّ يا معشرَ الشيعة شيعة آل محمّد كمخيض الكحل في </w:t>
      </w:r>
    </w:p>
    <w:p>
      <w:pPr>
        <w:pStyle w:val="BookText"/>
        <w:rPr/>
      </w:pPr>
      <w:r>
        <w:rPr>
          <w:rFonts w:ascii="Amiri" w:hAnsi="Amiri" w:eastAsia="Amiri" w:cs="Amiri"/>
          <w:color w:val="111111"/>
          <w:sz w:val="28"/>
          <w:sz w:val="28"/>
          <w:szCs w:val="28"/>
          <w:rtl w:val="true"/>
          <w:lang w:bidi="ar-SA"/>
        </w:rPr>
        <w:t>العين؛ لأنَّ صاحب الكحل يعلم متى يقع في العين، ولا يعلم متى يذهب فيصبح أحدكم وهو يرى أنَّه على شريعة من أمرنا فيمسي وقد خرج منها، ويمسي وهو على شريعة من أمرنا فيصبح وقد خرج منها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موسى ابتلوا بنهر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مُبْتَلِيكُمْ بِنَهَرٍ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أصحاب القائم يبلتون بمثل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أنَّ أصحاب القائم يشملون حتَّى أصحاب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فقضية اختيار الإنسان وحريته من جانب، وفلسفة خلقه واختباره وامتحانه من جانب آخر، يفرض مساحة من الإيهام فينفتح السبيلُ للشاذّ، لأن يتحرَّك بسوء اختياره نحو الظلام،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 بارئه أن يتابع الشرّ بمفتاح المتشابه،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فِي قُلُوبِهِمْ زَيْغٌ فَيَتَّبِعُونَ ما تَشابَهَ مِنْهُ ابْتِغاءَ الْفِتْنَةِ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فالإساءة واتّباع المتشابه من قِبَل الشواذّ الذين في قلوبهم زيغ، ليست منقصة في المنظومة الفكرية، ولا تخدش تأصّلَها وصلابَتها وحقانيّتَها وقدرةَ منظّرها وحكمته، وهكذا جاءت فصول الكون للمؤلف الواحد ذات الهدف والغرض المشترك في رسومها وأشكالها المختلفة في لوحة متكاملة، فإن واكبت المسيرة الفكرية أشواكاً وشوائب استقطعت في بعض مراحلها طابعها الفعال ونهوضها وفارقت طبيعتها التي رسمت لها وأثَّرت في بعض نفوس أتباعها آثاراً سلبية، وأوجبت دخول الشكّ والريب في قلوبهم، وانطفاء نور الشريعة منر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أرواحهم لعدم تعقلهم اتزان الفكرة، فترعرعت المسيرة الفكرية في مناخ موبوء يشوه مظهرها ويُفقدها عافيتها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أخطر ألوان الانحراف هو الانحراف الفكري، لاسيّما إذا صدر بإيحاء أنه من الصميم الداخلي، أو قام على أساس إصلاح في الرؤية الفكرية، أو أرسلت أمواجاً صوتية ممَّن يرتدي ويتمظهر بزي أهل العلم، وطُليت الفكرة المنحرفة بغطاء القداسة، ووصف المعارض لها بأنَّه خارج عن الدين، وبهذا يبدأ ناقوس الانحراف يتجلّى، إلاَّ أنَّه ليس من الضروري أن يكون الانحراف تامّاً، بل قد يكون واقعاً في بعض المفردات،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الْكِتابِ وَتَكْفُرُونَ بِبَعْضٍ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وعقيدة الإمام المهدي والفكرة المهدوية وظاهرة الغيبة ربَّما عاشت هذه الأزمة أيضاً، فسارت بين محور الافراط ومحور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نحن بصدده هو الوقوف على بعض مناشئ هذه الأزمة وكيفية توفير المناعات لصونها من الاستغلال، ولعرض هذه العقيدة في ساحات العلم والفكر عرضاً مقبولاً لا يكون مورداً للاستخفاف والاستهانة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وبتصنيفٍ أوّلي سنتحدَّث في قسمين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7330_68758"/>
      <w:bookmarkStart w:id="17" w:name="pg7330_68758"/>
      <w:bookmarkEnd w:id="17"/>
    </w:p>
    <w:p>
      <w:pPr>
        <w:pStyle w:val="Heading2"/>
        <w:numPr>
          <w:ilvl w:val="1"/>
          <w:numId w:val="1"/>
        </w:numPr>
        <w:rPr/>
      </w:pPr>
      <w:bookmarkStart w:id="18" w:name="pg7330_68758"/>
      <w:bookmarkStart w:id="19" w:name="__RefHeading___Toc1013491_1051229030"/>
      <w:bookmarkStart w:id="20" w:name="_Toc6"/>
      <w:bookmarkEnd w:id="18"/>
      <w:bookmarkEnd w:id="19"/>
      <w:r>
        <w:rPr>
          <w:rtl w:val="true"/>
        </w:rPr>
        <w:t>القسم الأوّل</w:t>
      </w:r>
      <w:r>
        <w:rPr>
          <w:rtl w:val="true"/>
        </w:rPr>
        <w:t xml:space="preserve">: </w:t>
      </w:r>
      <w:r>
        <w:rPr>
          <w:rtl w:val="true"/>
        </w:rPr>
        <w:t>تأسيس الأصل</w:t>
      </w:r>
      <w:bookmarkEnd w:id="20"/>
    </w:p>
    <w:p>
      <w:pPr>
        <w:pStyle w:val="Heading3"/>
        <w:numPr>
          <w:ilvl w:val="2"/>
          <w:numId w:val="1"/>
        </w:numPr>
        <w:rPr/>
      </w:pPr>
      <w:bookmarkStart w:id="21" w:name="__RefHeading___Toc1013493_1051229030"/>
      <w:bookmarkStart w:id="22" w:name="_Toc7"/>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تمهيد طوائف الناس في المجتمعات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الأصالة للاحتياط</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7330_68762"/>
      <w:bookmarkStart w:id="24" w:name="pg7330_68762"/>
      <w:bookmarkEnd w:id="24"/>
    </w:p>
    <w:p>
      <w:pPr>
        <w:pStyle w:val="Heading3"/>
        <w:numPr>
          <w:ilvl w:val="2"/>
          <w:numId w:val="1"/>
        </w:numPr>
        <w:rPr/>
      </w:pPr>
      <w:bookmarkStart w:id="25" w:name="pg7330_68762"/>
      <w:bookmarkStart w:id="26" w:name="__RefHeading___Toc1013495_1051229030"/>
      <w:bookmarkStart w:id="27" w:name="_Toc8"/>
      <w:bookmarkEnd w:id="25"/>
      <w:bookmarkEnd w:id="26"/>
      <w:r>
        <w:rPr>
          <w:rtl w:val="true"/>
        </w:rPr>
        <w:t>تمهيد</w:t>
      </w:r>
      <w:r>
        <w:rPr>
          <w:rtl w:val="true"/>
        </w:rPr>
        <w:t xml:space="preserve">: </w:t>
      </w:r>
      <w:r>
        <w:rPr>
          <w:rtl w:val="true"/>
        </w:rPr>
        <w:t>طوائف الناس في المجتمعات</w:t>
      </w:r>
      <w:r>
        <w:rPr>
          <w:rtl w:val="true"/>
        </w:rPr>
        <w:t>:</w:t>
      </w:r>
      <w:bookmarkEnd w:id="27"/>
    </w:p>
    <w:p>
      <w:pPr>
        <w:pStyle w:val="BookText"/>
        <w:rPr/>
      </w:pPr>
      <w:r>
        <w:rPr>
          <w:rFonts w:ascii="Amiri" w:hAnsi="Amiri" w:eastAsia="Amiri" w:cs="Amiri"/>
          <w:color w:val="111111"/>
          <w:sz w:val="28"/>
          <w:sz w:val="28"/>
          <w:szCs w:val="28"/>
          <w:rtl w:val="true"/>
          <w:lang w:bidi="ar-SA"/>
        </w:rPr>
        <w:t>هناك قضية بديهية وجدانية وهي أنَّ الناس في كلّ مجتمع وعصر يصنَّفون إلى طوائف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طائفة السُذّج، وهم بسيطوا الفكر، إذ ليس لهم بضاعة فكرية يلجُون بها ساحات الفكر، فعن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ومتعلّم على سبيل النجاة، وهمج رعاع، أتباع كلّ ناعق</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طائفة الحمقى، وهم الذين يظنّون أنَّهم يحسنون صنعاً، فحركاتهم العملية والعلمية ليست قائمة على أسس ومناهج عقلائية، بل هم إلى النهج السفهي أقرب، فإنَّهم فضلاً عن عدم استجلاب ربح يستجلبون ضرراً عليهم أو على غيرهم،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 الله بن عطاء قد أخذت تفرش أذنيك للنوكى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شرعت تفتح وتبسط أذنيك للحمقى تسمع منهم </w:t>
      </w:r>
      <w:r>
        <w:rPr>
          <w:rFonts w:eastAsia="Amiri" w:cs="Amiri" w:ascii="Amiri" w:hAnsi="Amiri"/>
          <w:color w:val="111111"/>
          <w:sz w:val="28"/>
          <w:szCs w:val="28"/>
          <w:rtl w:val="true"/>
          <w:lang w:bidi="ar-SA"/>
        </w:rPr>
        <w:t>_)</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طائفة أصحاب الجهل المركب، وهم الذين يكثرون في قطوعاتهم غير المصيبة للواقع، فيرون أنفسَهم أنَّهم تزيّوا بزيّ العلم وهم أقرب إلى الجهل والخطأ منه إلى الواقع، ولا يرتضون لأنفسهم أنَّهم قد أخطأوا، بل تأخذهم العزّة بالإثم، لأنَّه لازم لا ينفك عن هذه الطائفة، فتكون حركتهم العملية الخارجية على وفق ما هو المحفوظ في أذهانهم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تَوَلَّى سَعى فِي الأَْرْضِ لِيُفْسِدَ فِيها وَيُهْلِكَ الْحَرْثَ </w:t>
      </w:r>
    </w:p>
    <w:p>
      <w:pPr>
        <w:pStyle w:val="BookText"/>
        <w:rPr/>
      </w:pPr>
      <w:r>
        <w:rPr>
          <w:rFonts w:ascii="Amiri" w:hAnsi="Amiri" w:eastAsia="Amiri" w:cs="Amiri"/>
          <w:color w:val="111111"/>
          <w:sz w:val="28"/>
          <w:sz w:val="28"/>
          <w:szCs w:val="28"/>
          <w:rtl w:val="true"/>
          <w:lang w:bidi="ar-SA"/>
        </w:rPr>
        <w:t xml:space="preserve">وَالنَّسْلَ وَاللَّهُ لا يُحِبُّ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 اتَّقِ اللَّهَ أَخَذَتْهُ الْعِزَّةُ بِالإِْثْمِ فَحَسْبُهُ جَهَنَّمُ وَلَبِئْسَ الْمِهادُ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طائفة المستضعفين، وهم المسلّمون للواقع الاجتماعي الخارجي الفاسد، وينعقون مع كلّ ناعق، وأتباع كلّ مذهب، فنهجهم التسليم للآخر من دون الوقوف على حقيقته،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الَّذينَ كَفَرُوا لَنْ نُؤْمِنَ بِهذَا الْقُرْآنِ وَلا بِالَّذي بَيْنَ يَدَيْهِ وَلَوْ تَرى‏ إِذِ الظَّالِمُونَ مَوْقُوفُونَ عِنْدَ رَبِّهِمْ يَرْجِعُ بَعْضُهُمْ إِلى‏ بَعْضٍ الْقَوْلَ يَقُولُ الَّذينَ اسْتُضْعِفُوا لِلَّذينَ اسْتَكْبَرُوا لَوْ لا أَنْتُمْ لَكُنَّا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لِلَّذينَ اسْتُضْعِفُوا أَ نَحْنُ صَدَدْناكُمْ عَنِ الْهُدى‏ بَعْدَ إِذْ جاءَكُمْ بَلْ كُنْتُمْ 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اسْتُضْعِفُوا لِلَّذينَ اسْتَكْبَرُوا بَلْ مَكْرُ اللَّيْلِ وَالنَّهارِ إِذْ تَأْمُرُونَنا أَنْ نَكْفُرَ بِاللَّهِ وَنَجْعَلَ لَهُ أَنْداداً وَأَسَرُّوا النَّدامَةَ لَمَّا رَأَوُا الْعَذابَ وَجَعَلْنَا الْأَغْلالَ في‏ أَعْناقِ الَّذينَ كَفَرُوا هَلْ يُجْزَوْنَ إِلاَّ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طائفة التقليديين المتعصبين، وهم الذين انقادوا لتعصّبهم وولائهم الأعمى للآخرين المقتضي لتقليدهم والترويج لهم والذوبان فيهم، والعبودية الكاملة لكبرائهم، أعمّ من أن تكون نكتة التقليد تعصّب العشيرة أو التعصّبات القبلية والقومية والفئوية ونحو ذلك، فعن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فَالْحَذَرَ الْحَذَرَ مِنْ طَاعَةِ سَادَاتِكُمْ وَكُبَرَائِكُمْ الَّذِينَ تَكَبَّرُوا عَنْ حَسَبِهِمْ وَتَرَفَّعُوا فَوْقَ نَسَبِهِمْ وَألْقَوُا الْهَجِينَةَ عَلَى رَبَّهِمْ،‏ وَجَاحَدُوا اللَّهَ عَلَى مَا صَنَعَ بِهِمْ</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طائفة المعاندين وأصحاب اللجّة ممَّن لا يُجدي الإنذار معهم، فليس لهم همٌّ إلاَّ مخالفة الآخر، ولم يكن مقصودهم كشف الحقّ، بل ليس لهم منافع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سوى إرادة الظهور من خلال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 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سَواءٌ عَلَيْهِمْ أَأَنْذَرْتَهُمْ أَمْ لَمْ تُنْذِرْهُمْ لا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طائفة الماديين والشهوانيين وطلاّب الدنيا ممَّن لم يكن لهم غرض إلاَّ النفعية الحيوانية الدنيوية، وهم لأجل الوصول إلى هذا المقصد مستعدّون ليسلكوا أيّ سبيل كان، فلا تحكمهم المعايير ولا تضبطهم المقاييس، بل أصبحت المدرسة النفعية الآن ذات أسسٍ إدراكية وأدلجةٍ فكرية، بل لم يكن لدُعاتها أدنى استحياء في عرضها، بل المعروض في ساحة القيم أسوأ من ذلك بكثير، فعن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ليغشينَّ أمّتي من بعدي فتنٌ كقطع الليل المظلم يصبح الرجل فيها مؤمناً ويمسي كافراً، ويمسي مؤمناً ويصبح كافراً يبيعُ أقوامٌ دينَهم بعرضٍ من الدنيا قليل</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في‏ قَرْيَةٍ مِنْ نَذيرٍ إِلاَّ قالَ مُتْرَفُوها إِنَّا بِما أُرْسِلْتُمْ بِهِ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نَحْنُ أَكْثَرُ أَمْوالاً وَأَوْلاداً وَما نَحْنُ بِمُعَذَّبينَ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طائفة الاُحادية والاستحواذ الفكري، وتهميش وإلغاء فكر الآخر، فهم لا يأذنون للآخر في الحديث، ويسدّون الأبواب عن الحوارات العلمية، ويرون لأنفسهم أنَّهم يملكون كلّ شيء بما في ذلك فكر الآخر، بل يسعون لرسم مفردات فكر الآخر وكيف يفكّر، ويلزمونهم بأن لا يتعدّوا ولا يتجاوزوا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إِنِّي دَعَوْتُ قَوْمِي لَيْلاً وَنَهاراً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يَزِدْهُمْ دُعائِي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كُلَّما دَعَوْتُهُمْ لِتَغْفِرَ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لَهُمْ جَعَلُوا أَصابِعَهُمْ فِي آذانِهِمْ وَاسْتَغْشَوْا ثِيابَهُمْ وَأَصَرُّوا وَاسْتَكْبَرُوا اسْتِكْباراً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طائفة المنافقين، وهم الذين يحملون المعايير المزدوجة، فخطابهم غيرُ واقعهم، ويضمرون في قلوبهم غيرَ ما يظهرونه على ألسنتهم،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يَقُولُ آمَنَّا بِاللَّهِ وَبِالْيَوْمِ الآْخِرِ وَما هُمْ بِمُؤْمِنِينَ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مَثَلُهُمْ كَمَثَلِ الَّذِي اسْتَوْقَدَ ناراً فَلَمَّا أَضاءَتْ ما حَوْلَهُ ذَهَبَ اللَّهُ بِنُورِهِمْ وَتَرَكَهُمْ فِي ظُلُماتٍ لا يُبْصِرُونَ صُمٌّ بُكْمٌ عُمْيٌ فَهُمْ لا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طائفة المتخبّطين لا إلى هؤلاء ولا إلى هؤلاء، وهم المتذبذبون، فكلّ يوم يصطفّون في معسكر، فلم يكن لهم مسيرة محدّدة فضلاً عن أن تكون لهم بداية معيّنة ونهاية معلومة، وبهذا لم يكن لهم ميزان في المتابعة والملاحقة فلم يستضيؤوا بعلم ولم يسيروا على منهج، فيزدادون ضلالاً كلَّما مشوا،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مُذَبْذَبينَ بَيْنَ ذلِكَ لا إِلى‏ هؤُلاءِ وَلا إِلى‏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طائفة الإيغال الفكري العبثي، الذين لا يحملون هاجساً وهمّاً إلاَّ الفكر، فلم يدرسوا الفكر لأجل الواقع، وإنَّما درسوا الفكر للفكر، فهمّهم المصطلحُ والعنوانُ لا الواقع والمعنون، فيفترضون فروضاً علمية هي أقرب إلى الخيال الموهوم منه إلى الحقيقة والصواب، فليس مقصودهم بيان المعالجات وحلّ المشكلات، وإنَّما مقصودهم زيادة الشكوك والفروض، والإكثار في بيان الفكر الفارغ المنطلق من الذهن البارد ذي الجسد الخالي من الروح، فقد جاء في شرح الأسماء الحسنى للملاّ هادي 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فانحراف القوّة الدرّاكة منه إلى جانبي الإفراط </w:t>
      </w:r>
    </w:p>
    <w:p>
      <w:pPr>
        <w:pStyle w:val="BookText"/>
        <w:rPr/>
      </w:pPr>
      <w:r>
        <w:rPr>
          <w:rFonts w:ascii="Amiri" w:hAnsi="Amiri" w:eastAsia="Amiri" w:cs="Amiri"/>
          <w:color w:val="111111"/>
          <w:sz w:val="28"/>
          <w:sz w:val="28"/>
          <w:szCs w:val="28"/>
          <w:rtl w:val="true"/>
          <w:lang w:bidi="ar-SA"/>
        </w:rPr>
        <w:t>والتفريط يسمّى جربزة وبلاهة واعتدالها حكمة</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وقال في الأسفار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أتمّ حالات النفس الشيطانية أن تكون مكّارة محيّلة جربزة كذوبة مظهرة للأمور على غير ما هي عليه، شأنها التدليس والتلبيس بإبراز المقدّمات الباطلة في صورة الحقّ، وإظهار الأكاذيب الواهية بهيأة الصدق، فهي أبداً عاشقة للمكر والحيلة والوسوسة والمواعيد الكاذبة والأماني الباطلة، كما قال تعالى في صفة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يَعِدُهُمْ وَيُمَنِّيهِمْ وَما يَعِدُهُمُ الشَّيْطانُ إِلاَّ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طائفة السوفسطائيين، وهم الذين لا يرون وجود واقع وثبات قيم أو أنَّ الحقّ عندهم أن يكون الحقّ متغيّراً، فلا حقيقة ولا صواب ولا واقع، فواقعيّة الواقع عندهم أن لا واقع له، فالذي لا يرى أن يكون لنفسه حقّ وواقع فبطريق أولى أن لا يرى لفكره حقّاً وواقعاً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اعتبار ووهم وظلّ وخيال، فقد نقل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الرئيس الآتي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لأنّا لو جوَّزنا أن يرى الإنسان صوراً ويشاهدها ويتكلَّم معها ويسمع أصواتها ويرى أشكالها ثمّ إنَّها لا تكون موجودة البتة في الخارج، جاز أيضاً في كلّ هذه الأشياء التي نراها ونسمعها من صور الناس والجبال والبحار وأصوات الرعود أن لا يكون لشيء منها وجود في الخارج، بل يكون محض الخيالات ومحض الصور المرتسمة في الحسّ المشترك، ومعلوم أنَّ القول به محض السفسطة</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طائفة العبيد، وهم الذين يرون كمالهم أن يكونوا خدماً وأذرعاً للآخرين، فهم الأسوء في نوعهم، إذ أنَّ محرّكيتهم وباعثيتهم في أفعالهم الخارجية عبوديتهم لغيرهم، فصاروا محرقة ومطحنة ووقوداً لدنيا غيرهم،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تَعالَوْا إِلى‏ ما أَنْزَلَ اللَّهُ وَإِلَى الرَّسُولِ قالُوا حَسْبُنا ما وَجَدْنا عَلَيْهِ آباءَنا أَوَلَوْ كانَ آباؤُهُمْ لا يَعْلَمُونَ شَيْئاً وَلا يَهْتَدُونَ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طائفة المؤمنين، وهي الطائفة التي نظَّمت مسيرتها الفكرية والعملية، وحدَّدت غاياتها، ورسمت طريقها، وترفَّعت عن عالم المادة والمحسوس، وعاشت في الأفق الوسيع والمناخ الطبيعي، واستنشقت من عبير عطر رسالات الأنبياء والمصلحين والأحرار، فوقَّروا العلم والفكر، وكرَّموا أهله، وعملوا به، وجدّوا في المسيرة، وترفَّعوا عن الحدود المرسومة والفواصل والحجب المانعة عن الظفر بالخير المنشود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يُؤْمِنُونَ بِالْغَيْبِ وَيُقِيمُونَ الصَّلاةَ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يُؤْمِنُونَ بِما أُنْزِلَ إِلَيْكَ وَما أُنْزِلَ مِنْ قَبْلِكَ وَبِالآْخِرَةِ هُمْ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 وَأُولئِكَ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فوجود مثل هذه الطوائف قضيّة وجدانية فطرية لا يختلف فيها اثنان، إلاَّ إذا صار المبنى التنظير بالقيم المثالية، لئلاَّ نجرح عواطف أمّتنا ومجتمعنا، لكنّنا نريد أن نكون واقعيين ونعمل الوقاية والعلاج في الثقافة المهدوية قدر المستطاع، فنعالج ما يمكن علاجه من الانحرافات من خلال سد الثغرات، وإيجاد السبل للفهم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باشتمال المجتمع على هذه الطوائف بأشكالها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وتأسيس الأصل، والمرجع الذي يُلتجأ إليه عند عدم تحصيل الحلّ والجواب، والعلاج الشافي</w:t>
      </w:r>
      <w:r>
        <w:rPr>
          <w:rFonts w:eastAsia="Amiri" w:cs="Amiri" w:ascii="Amiri" w:hAnsi="Amiri"/>
          <w:color w:val="111111"/>
          <w:sz w:val="28"/>
          <w:szCs w:val="28"/>
          <w:rtl w:val="true"/>
          <w:lang w:bidi="ar-SA"/>
        </w:rPr>
        <w:t xml:space="preserve">. </w:t>
      </w:r>
      <w:bookmarkStart w:id="28" w:name="pg7330_68772"/>
    </w:p>
    <w:p>
      <w:pPr>
        <w:pStyle w:val="BookText"/>
        <w:rPr/>
      </w:pPr>
      <w:bookmarkEnd w:id="28"/>
      <w:r>
        <w:rPr>
          <w:rFonts w:ascii="Amiri" w:hAnsi="Amiri" w:eastAsia="Amiri" w:cs="Amiri"/>
          <w:color w:val="111111"/>
          <w:sz w:val="28"/>
          <w:sz w:val="28"/>
          <w:szCs w:val="28"/>
          <w:rtl w:val="true"/>
          <w:lang w:bidi="ar-SA"/>
        </w:rPr>
        <w:t>إذ لا بدَّ لنجاح الطبيب قبل النهوض في تشخيص المرض ومعالجته من الاعتراف بأنَّ مجتمعه حامل ومعايش للمكروب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مولانا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آذانا جهلاءُ الشيعةِ وحمقاؤهم، ومَن دينُه جناحُ البعوضة أرجحُ منه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1013497_1051229030"/>
      <w:bookmarkStart w:id="30" w:name="_Toc9"/>
      <w:bookmarkEnd w:id="29"/>
      <w:r>
        <w:rPr>
          <w:rtl w:val="true"/>
        </w:rPr>
        <w:t>الأصالة للاحتياط</w:t>
      </w:r>
      <w:r>
        <w:rPr>
          <w:rtl w:val="true"/>
        </w:rPr>
        <w:t>:</w:t>
      </w:r>
      <w:bookmarkEnd w:id="30"/>
    </w:p>
    <w:p>
      <w:pPr>
        <w:pStyle w:val="BookText"/>
        <w:rPr/>
      </w:pPr>
      <w:r>
        <w:rPr>
          <w:rFonts w:ascii="Amiri" w:hAnsi="Amiri" w:eastAsia="Amiri" w:cs="Amiri"/>
          <w:color w:val="111111"/>
          <w:sz w:val="28"/>
          <w:sz w:val="28"/>
          <w:szCs w:val="28"/>
          <w:rtl w:val="true"/>
          <w:lang w:bidi="ar-SA"/>
        </w:rPr>
        <w:t xml:space="preserve">بعد قبول هذه المقدّمة الوجدانية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اشتمال المجتمع على تلك الطوائف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وأنَّنا نعيش مرحلة الاختبار والافتتان، وبعد ملاحظة التاريخ والإذعان بسقوط وفشل الكثير في الامتحان، ولا بدَّ من الاعتراف أنَّ الأمر صعبٌ يحتاج إلى الاجتهاد البليغ في الفهم، وإلى الذوق الحسن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الدنيا بحرٌ واسع لا يقطعه كلّ سابح طامع، وهدف سام لا يُصيبه كلّ 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الإمام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طويلة مخاطباً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لقمان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للحقّ تكن أعقلَ الناس، وأنَّ الكيّس لدى الحقّ يسير، يا بُني إنَّ الدنيا بحرٌ عميق قد غرق فيها عالم كثير، فلتكن سفينتُك فيها تقوى الله وحشوُها الإيمانَ وشراعُها التوكّلَ وقيمُها العقلَ ودليلُها العلمَ وسكّانُها الصبرَ</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واتَّضح أنَّه لا بدَّ أن يندرج كلّ فرد تحت طائفة من الطوائف السابقة، بل ربَّما أكثر من طائفة سواء أقصد هو ذلك أم لا، وسواء أعلم </w:t>
      </w:r>
    </w:p>
    <w:p>
      <w:pPr>
        <w:pStyle w:val="BookText"/>
        <w:rPr/>
      </w:pPr>
      <w:r>
        <w:rPr>
          <w:rFonts w:ascii="Amiri" w:hAnsi="Amiri" w:eastAsia="Amiri" w:cs="Amiri"/>
          <w:color w:val="111111"/>
          <w:sz w:val="28"/>
          <w:sz w:val="28"/>
          <w:szCs w:val="28"/>
          <w:rtl w:val="true"/>
          <w:lang w:bidi="ar-SA"/>
        </w:rPr>
        <w:t xml:space="preserve">بذلك أم لا، حيث إنَّ الإنسان لا بدَّ له من حركة وسير، ولا بَّد لكلّ حركة غاية حتَّى ولو كانت الغاية هي التقاليد والأعراف والانصياع للشهوة والتحرّك نحو ملائمات الطبع، فعن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عثمان بن حنيف الأنصاري وهو عامله على البصرة وقد بلغه أنَّه دُعي إلى وليمة قوم من أهلها فمضى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إِلَى مَا تَقْضَمُهُ‏ مِنْ هَذَا الْمَقْضَم، فَمَا اشْتَبَهَ عَلَيْكَ عِلْمُهُ فَالْفِظْهُ، وَمَا أيْقَنْتَ بِطِيبِ وُجُوهِهِ فَنَلْ مِنْهُ، ألاَ وَإِنَّ لِكُلّ مَأمُوم إِمَاماً يَقْتَدِي بِهِ وَيَسْتَضِيءُ بِنُورِ عِلْمِهِ، ألاَ وَإِنَّ إِمَامَكُمْ قَدِ اكْتَفَى مِنْ دُنْيَاهُ بِطِمْرَيْهِ، وَمِنْ طُعْمِهِ بِقُرْصَيْهِ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وَإِنَّكُمْ لاَ تَقْدِرُونَ عَلَى ذَلِكَ وَلَكِنْ أعِينُوني بِوَرَع وَاجْتِهَادٍ، وَعِفَّةٍ وَسَدَادٍ</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فلتحقيق الغاية لا بدَّ من اختيار مدرسة فكرية وإيدلوجية خاصَّة ذات رؤية كونية جليّة تُدرس وتقيَّم ضمن أقرانها ونظائرها، وهكذا لا بدَّ من انتخاب قائد روحي وفكري يرسم طريقنا في القيم والعمل ويؤمَّن سلامة الطريق ويحفظ لنا الوصول إلى المنتهى والغاية السليمة السعيدة، ولا بدَّ أن يتَّجه الماشي ويعرج إلى الصرح المتشامخ الجلي وأن لا تخفى عن بصره الكليل نهاية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فلا بدَّ من تأسيس الأصل في تحديد الفكر وانتخاب القائد، فهل الأصل هو الاحتياط أم الترخيص؟</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الأصل هو عدم التسليم بسهولة، وعدم التسامح وعدم الانقياد، فالأصل الجاري هو أصالة التفحّص والتحقيق والاختبار والتدقيق، وأصالة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التوقّف للترويّ والتأمّل، وأصالة التفكّر والتعلّم والتحفّظ، فالأصل هو الاحتياط وليس الترخيص، والبساطة والتسامح والركون لكلّ داع، والتعجّل والذوبان السريع ورخص الثمن، فلا ينبغي له الدخول في صفقة معاوضها ومبيعها تافه أو محقَّر، وضعف بضاعة المفكّر إمَّا لوهن دليله، وإمَّا لضعف معطياته وخسَّتها، وإمَّا لموهوميّة 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 الْفِتْنَةِ كَابْن اللَّبُونِ لاَ ظَهْرٌ فَيُرْكَبَ وَلاَ ضَرْعٌ فَيُحْلَبَ</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ينفع التمسّك بسلوكية التفرّج وعدم التدخّل والتحاشي والابتعاد عن العراك، ولا ينفع طلب حركة وفكر خالٍ من رؤية كونية وبعيدٍ عن الفلسفة والتفلسف، والاكتفاء بنظرية سطحية بعيدة عن التعقيدات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ما نحن فيه سلاح ذو حدّين لخضوعه لأمور متنافية، فهو لا يفسح المجال لمحض المشاهدة واللامبالاة، لما تقدَّم من أنَّ كلّ حركة وخطوة لا بدَّ لها من محرّك ووقود دافع، وهو مجموعة من الأمور الفكرية والرؤى الكونية والحالات النفسية، فتخلق هذه المجموعة منسوجاً متقارباً من الطموح واختيار الحياة وأنماطها والملبس والمأكل ونوع العلاقات والارتباطات الاجتماعية، بل الفردية أيضاً، وبالتالي فلا مفرَّ من اختيار القائد الروحي الفكري، ولا بدَّ أن يكون الاختيار وفق معايير خاصَّة ومشخَّصة، بل لا بدَّ من اختباره في مرحلة التأسيس وما بعدها وأن يكون الاختبار شمولياً، وهذا ما كنّا نعنيه بأصالة التفحّص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ويدلّنا على هذا الأصل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مضافاً إلى حكم العقل الفطري الوجداني فإنَّ العقلاء يلومون من يسير في وادٍ مجهول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بيّن، وحرام بيّن، وبينهما شبهات، لا يعلمها كثير من الناس، فمن اتَّقى الشبهات فقد استبرى لدينه وعرضه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وقع في الشبهات، وقع في الحرام، كالراعي حول الحمى، يوشك أن يقع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لكلّ ملك حمى، وإنَّ حمى الله محارمه</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فإنَّ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حقَّق في الحال والأحوال، أو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يسعكم فيما ينزل بكم ممَّا لا تعلمون إلاَّ الكف عنه والتثبّت والردّ إلى أئمّة الهدى حتَّى يحملوكم فيه على القصد ويجلوا عنكم فيه العمى، ويعرّفوكم فيه الحقّ،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تجري أصالة السلامة في اختيار القائد، وفي اختيار لوحة الفكر، لاسيّما إذا كان شأن الفكر شمولياً داخلاً في كلّ حركات وسكنات الفرد، وفي جميع الأزمنة حتَّى لما بعد هذه النشأة، فالمحتمل قوي يستدعي شدّة الاحتياط</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ورد من حمل فِعل الغير على الصحَّة كما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أمر أخيك على أحسنه حتَّى يأتيك ما يغلبك منه، ولا تظننَّ بكلمة خرجت من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أخيك سوءً وأنت تجد لها في الخير محملاً</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وغيرها من الروايات في هذا المضمون، فإنَّما يراد بها رسمُ خارطة الحياة والتنظيم على مستوى التعايش السلمي والتآخي، لا على أساس تحديد القائد والنموذج في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فرد لا بدَّ له من أسوة وإمام وميزان لتحديد نموذجه ومساره السلوكي،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هجم على أمر بغير علم جدع أنف نفسه</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فلا بدَّ أن يستند إلى ركن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خطبة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سُمَّيَتِ الشُّبْهَةُ شُبْهَةً لأنَّهَا تُشْبِهُ الْحَقَّ فَأمَّا أوْلِيَاءُ اللَّهِ فَضِيَاؤُهُمْ فِيهَا الْيَقِينُ وَدَلِيلُهُمْ سَمْتُ الْهُدَى، وَأمَّا أعْدَاءُ اللَّهِ فَدُعَاؤُهُمْ فِيهَا الضَّلاَلُ وَدَلِيلُهُمُ الْعَمَى، فَمَا يَنْجُو مِنَ الْمَوْتِ مَنْ خَافَهُ، وَلاَ يُعْطَى الْبَقَاءَ مَنْ أحَبَّهُ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فَالْحَذَرَ الْحَذَرَ مِنْ طَاعَةِ سَادَاتِكُمْ وَكُبَرَائِكُمْ الَّذِينَ تَكَبَّرُوا عَنْ حَسَبِهِمْ وَتَرَفَّعُوا فَوْقَ نَسَبِهِمْ وَألْقَوُا الْهَجِينَةَ عَلَى رَبَّهِمْ‏ وَجَاحَدُوا اللَّهَ عَلَى مَا صَنَعَ بِهِمْ مُكَابَرَةً لِقَضَائِهِ وَمُغَالَبَةً لآلاَئِهِ، فَإنَّهُمْ قَوَاعِدُ أسَاس الْعَصَبِيَّةِ، وَدَعَائِمُ أرْكَانِ الْفِتْنَةِ، وَسُيُوفُ اعْتِزَاءِ الْجَاهِلِيَّةِ، فَاتَّقُوا اللَّهَ وَلاَ تَكُونُوا لِنعَمِهِ عَلَيْكُمْ أضْدَاداً، وَلاَ لِفَضْلِهِ عِنْدَكُمْ حُسَّاداً، وَلاَ تُطِيعُوا الأدْعِيَاءَ الَّذِينَ شَربْتُمْ بِصَفْوكُمْ كَدَرَهُمْ، وَخَلَطْتُمْ بِصِحَّتِكُمْ مَرَضَهُمْ، وَأدْخَلْتُمْ فِي حَقّكُمْ بَاطِلَهُمْ، وَهُمْ أسَاسُ الْفُسُوقِ، وَأحْلاَسُ الْعُقُوقِ، اتَّخَذَهُمْ إِبْلِيسُ مَطَايَا ضَلاَلٍ، وَجُنْداً بِهِمْ يَصُولُ عَلَى النَّاس،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وَتَرَاجِمَةً يَنْطِقُ عَلَى ألْسِنَتِهِمْ، اسْتِرَاقاً لِعُقُولِكُمْ، وَدُخُولاً فِي عُيُونكُمْ، وَنَفْثاً فِي أسْمَاعِكُمْ، فَجَعَلَكُمْ مَرْمَى نَبْلِهِ، وَمَوْطِئَ قَدَمِهِ، وَمَأخَذَ يَدِهِ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أخْوَفَ الْفِتَن عِنْدِي عَلَيْكُمْ فِتْنَةُ بَني اُمَيَّةَ</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والظاهر أنَّ المراد من فتنة بني أميّة معالمُ هذه الفتنة المتحقّقة في كلّ عصر، فتشمل فتنة بني العبّاس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الناس ليس له تصوّرٌ ورؤية فلا يحتاج إلى تأسيس الأصل وإتعاب النفس وإرهاقها، وصرف العمر في مثل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لا يأتي، لأنَّا نرى أنَّه حتَّى هؤلاء لهم منهج، وهو عدم الاهتمام بما وراء الغيب، وعدم التأمّل في إعداد زاد السفر، والمكث إلى المحسوس وطلب العاجلة وترك الآجلة، وإشباع الغرائز الحيوانية الشهوانية،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 لا يشذُّ عنها أحد قطّ، إنَّه ما من أحد إلاَّ وله رؤية وفلسفة وقواعد فكرية وإن لم يصرّح بها، أو خادع نفسه بعدمها،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أَلْقى مَعاذِيرَهُ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اتَّضح أيضاً أنَّ فلسفة البعض القائمة على أصالة الطوبائية واستحسان الأفكار المتضادة والقيادات المتناحرة مردّها إلى أصالة التسامح وخمول الفكر وعدم إتعاب العقل، وإلى الزهد في حديث الآخرة وعدم تكيّف النفس على قبول ساعة الحساب والجزاء، ومؤشّر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أنَّهم لا يُجرون هذه القواعد في أمورهم الدنيوية، فإزدواجية المعيار بين النشأتين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بأن يعملوا تمام العناية والدقّة في الأمور الحقيرة من أمور الدنيا، مع عدم الخوض في جزء من معرفة مصير الآخرة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كافية عندهم في الخوض في المسلك الانحرافي الشططي، فعن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يقول للعبد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أكنتَ عالماً؟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عملتَ بما علمت؟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جاهلاً،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تعلَّمتَ حتَّى تعمل؟ فيخصمه، وذلك الحجّة البالغة</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فإنَّ مخاصمة الله للعبد غير المتعلّم دليلٌ على وجوب المعرفة وعدم معذورية الجاهل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7330_68788"/>
      <w:bookmarkStart w:id="32" w:name="pg7330_68788"/>
      <w:bookmarkEnd w:id="32"/>
    </w:p>
    <w:p>
      <w:pPr>
        <w:pStyle w:val="Heading2"/>
        <w:numPr>
          <w:ilvl w:val="1"/>
          <w:numId w:val="1"/>
        </w:numPr>
        <w:rPr/>
      </w:pPr>
      <w:bookmarkStart w:id="33" w:name="pg7330_68788"/>
      <w:bookmarkStart w:id="34" w:name="__RefHeading___Toc1013499_1051229030"/>
      <w:bookmarkStart w:id="35" w:name="_Toc10"/>
      <w:bookmarkEnd w:id="33"/>
      <w:bookmarkEnd w:id="34"/>
      <w:r>
        <w:rPr>
          <w:rtl w:val="true"/>
        </w:rPr>
        <w:t>القسم الثاني</w:t>
      </w:r>
      <w:r>
        <w:rPr>
          <w:rtl w:val="true"/>
        </w:rPr>
        <w:t xml:space="preserve">: </w:t>
      </w:r>
      <w:r>
        <w:rPr>
          <w:rtl w:val="true"/>
        </w:rPr>
        <w:t>النظر في المفردات المهدوية على صعيد التصوّر والتصديق</w:t>
      </w:r>
      <w:bookmarkEnd w:id="3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1013501_1051229030"/>
      <w:bookmarkStart w:id="37" w:name="_Toc11"/>
      <w:bookmarkEnd w:id="36"/>
      <w:r>
        <w:rPr>
          <w:rtl w:val="true"/>
        </w:rPr>
        <w:t>اشارة</w:t>
      </w:r>
      <w:bookmarkEnd w:id="3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لا بدَّ من الاعتراف مسبقاً أنَّ هناك غموضاً بدوياً في المعايشة مع القضيّة المهدوية ولذا لمستها يد الطامع، واخترقتها من مناطق الفراغ الكامنة في الثقافة المهدوية لدى جمهرة من الناس، وأثَّرت أثرها، وسرقت رونقها، وصوَّرتها في زاوية من الرهبانية المنحرفة، وسلبت جمالها، وعطَّلت العقل فيها، وفسحت المجال لفقراء العلم أن يدلوا بدلوهم فيها، وضعافِ العقل أن يتجوَّلوا في أزقَّتها، وأصحاب النفوس الواهية التنظير لها، وألَّبوا أتباعهم على مقاطعة مجالس العلم، وأوحوا إلى أوليائهم مفاهيم مقلوبة، فضاعت القيم واختلطت الأوراق، فتنعَّل الحافي، وقُدَّم وتقدَّم المفضول، ودخلوا البيوت من غير أبوابها، وقرَّبوا الشريد والطريد، وصار النكرة معرفة، والبوّال على عقبيه فقيه الأمّة، ورعاة المعزى نُخَب الفكر، ولبسَ العاري جلباب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من فتح الطريق باستضاءة المصابيح وكشف الستار، وتوضيح المفاهيم وشرح المفردات ودفع الغموض، وبيان الصورة وإملاء الفراغ وتحديد المعيار، وطريق الارتواء وكيف تسقى الأرض الخصبة بماء الحياة من العترة الطاهرة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بعض المفردات التي أردنا توضيحها، ورفع الغموض عنها، وسنذكر كلاً منها في فصل مستقل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7330_68796"/>
      <w:bookmarkStart w:id="39" w:name="pg7330_68796"/>
      <w:bookmarkEnd w:id="39"/>
    </w:p>
    <w:p>
      <w:pPr>
        <w:pStyle w:val="Heading3"/>
        <w:numPr>
          <w:ilvl w:val="2"/>
          <w:numId w:val="1"/>
        </w:numPr>
        <w:rPr/>
      </w:pPr>
      <w:bookmarkStart w:id="40" w:name="pg7330_68796"/>
      <w:bookmarkStart w:id="41" w:name="__RefHeading___Toc1013503_1051229030"/>
      <w:bookmarkStart w:id="42" w:name="_Toc12"/>
      <w:bookmarkEnd w:id="40"/>
      <w:bookmarkEnd w:id="41"/>
      <w:r>
        <w:rPr>
          <w:rtl w:val="true"/>
        </w:rPr>
        <w:t>الفصل الأوّل</w:t>
      </w:r>
      <w:r>
        <w:rPr>
          <w:rtl w:val="true"/>
        </w:rPr>
        <w:t xml:space="preserve">: </w:t>
      </w:r>
      <w:r>
        <w:rPr>
          <w:rtl w:val="true"/>
        </w:rPr>
        <w:t xml:space="preserve">مقام الإمام المهدي </w:t>
      </w:r>
      <w:r>
        <w:rPr>
          <w:rtl w:val="true"/>
        </w:rPr>
        <w:t>(</w:t>
      </w:r>
      <w:r>
        <w:rPr>
          <w:rtl w:val="true"/>
        </w:rPr>
        <w:t>عليه السلام</w:t>
      </w:r>
      <w:r>
        <w:rPr>
          <w:rtl w:val="true"/>
        </w:rPr>
        <w:t>)</w:t>
      </w:r>
      <w:bookmarkEnd w:id="4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 w:name="__RefHeading___Toc1013505_1051229030"/>
      <w:bookmarkStart w:id="44" w:name="_Toc13"/>
      <w:bookmarkEnd w:id="43"/>
      <w:r>
        <w:rPr>
          <w:rtl w:val="true"/>
        </w:rPr>
        <w:t>اشارة</w:t>
      </w:r>
      <w:bookmarkEnd w:id="4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ممَّا لا شكَّ فيه أنَّ الفكرة والعقيدة المهدوية عند الشيعة قضيّة خارجية، وليست فرضية فلسفية عقلية ولا توهمات نفسية، فالإمام وجود إنساني بالفعل مرتبط بالسماء على نحو ارتباط سائر الأولياء المنصوبين، وهو حاملٌ لمواصفات أوسع من الأوصاف الجسدية والجسمانية والمادية، فله سمات معنوية وروحانية وهو امتداد لشجرة مباركة،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فربَّما يظهر ولو بمعونة الأخبار</w:t>
      </w:r>
      <w:r>
        <w:rPr>
          <w:rStyle w:val="FootnoteAnchor"/>
          <w:rtl w:val="true"/>
        </w:rPr>
        <w:footnoteReference w:id="22"/>
      </w:r>
      <w:r>
        <w:rPr>
          <w:rFonts w:ascii="Amiri" w:hAnsi="Amiri" w:eastAsia="Amiri" w:cs="Amiri"/>
          <w:color w:val="111111"/>
          <w:sz w:val="28"/>
          <w:sz w:val="28"/>
          <w:szCs w:val="28"/>
          <w:rtl w:val="true"/>
          <w:lang w:bidi="ar-SA"/>
        </w:rPr>
        <w:t>أنَّ المراد من الماء في الآية الكريمة ليس الماءُ بالمعنى الحقيقي فحسب، بل المراد معنى 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الأوصاف هي التي ترسم لنا شخصية الإمام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وتتأكَّد فكرة معرفة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بخصوصه عن طريق ملاحقة أوصافه وصفاته حسب ما ورد في الروايات، لا عن طريق الاستناد التاريخي الذي هو رجوع إلى النهج البشري المتقوّم بالمحسوس والحاضر والمشاهد، فلأنَّ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غيابٍ واستتارٍ وعدم ظهورٍ إلاَّ في ظرف زماني ومكاني ضيّق جدّاً، فلا معنى للرجوع إلى أصحاب السير ليحدّثونا عن سماته ومناقبه، وهذا بخلافه في النهج الروائي، فإنَّه لا يتوقَّف ولا يعتمد على خصوص الحاضر المحسوس، بل يكشف عن المغيَّب، وهذا معناه أنَّ المنهج التاريخي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بل المناهج الوصفية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مثل هذه الأمور ضيق، بل قد يكون مخلاً من جهة، وهذا بخلاف المنهج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الروائي إذ انعكاسه عن الواقع يكون واسعاً دقيقاً، ثمّ إنَّه بالطريقة الروائية تنتظم عندنا رابطة التعرّف به وكيفية الارتباط وحاجتنا إليه، وآفاق التعامل والمسؤوليات وانكشاف بعض الفوائد من وجوده في عصر الغيبة، والتعرّف على المشروع العالمي الناهض بالاصلاح والعدل، والمحيي لقيم السماء والوصول إلى الفصل الأخير لكتاب الكون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وفق هذه الدراسة قد نتحفَّظ على بعض الروايات ونهذّب الآثار عن المدسوس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الإمامية الإثنا عشرية تعتقد أنَّ الخليفة في الأرض لا بَّد أن لا يكون فيه نقص من كلّ كمال ممكن له، وأن لا تكون فيه جوانب عدمية، وأن لا تكون فيه جهة شرّ وحيثيات فقيرة، بل كلّه الخير والجمال الوجودي، فهو الجود والنور في قوله وفعله وأخلاقه ومعارفه، فتهفو وتنجذب النفوس الطيبة إليه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فانتخاب الأولياء ليس عشوائياً، فإنَّهم الأنوار الإلهية قبل خلق الكون، وهم خلق الله الكامل الذي تتجلَّى به صفات الخالق، وهذا لا يعني عينية الصفات، إذ الذات المقدَّسة لا متناهية بذاتها فضلاً عن صفاتها وكمالاتها، فحيث إنَّ بين اللامتناهي والمتناهي بون شاسع فكون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الله لا يستدعي أنَّهم عين الذات المقدَّسة، لذا ورد في 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اُدع في كلّ يوم من أيّام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بِمَعَانِي جَمِيع مَا يَدْعُوكَ بِهِ وُلاةُ أمْركَ الْمَأمُونُونَ عَلَى سِرَّكَ الْمُسْتَبْشِرُونَ بِأمْركَ الْوَاصِفُونَ لِقُدْرَتِكَ الْمُعْلِنُونَ لِعَظَمَتِكَ أسْألُكَ بِمَا نَطَقَ فِيهِمْ مِنْ مَشِيَّتِكَ فَجَعَلْتَهُمْ مَعَادِنَ لِكَلِمَاتِكَ وَأرْكَاناً لِتَوْحِيدِكَ وَآيَاتِكَ وَمَقَامَاتِكَ الَّتِي لا تَعْطِيلَ لَهَا فِي كُلّ مَكَانٍ </w:t>
      </w:r>
    </w:p>
    <w:p>
      <w:pPr>
        <w:pStyle w:val="BookText"/>
        <w:rPr/>
      </w:pPr>
      <w:r>
        <w:rPr>
          <w:rFonts w:ascii="Amiri" w:hAnsi="Amiri" w:eastAsia="Amiri" w:cs="Amiri"/>
          <w:color w:val="111111"/>
          <w:sz w:val="28"/>
          <w:sz w:val="28"/>
          <w:szCs w:val="28"/>
          <w:rtl w:val="true"/>
          <w:lang w:bidi="ar-SA"/>
        </w:rPr>
        <w:t>يَعْرفُكَ بِهَا مَنْ عَرَفَكَ، لا فَرْقَ بَيْنَكَ وَبَيْنَهَا إِلاَّ أنَّهُمْ عِبَادُكَ وَخَلْقُكَ، فَتْقُهَا وَرَتْقُهَا بِيَدِكَ، بَدْؤُهَا مِنْكَ وَعَوْدُهَا إِلَيْكَ، أعْضَادٌ وَأشْهَادٌ وَمُنَاةٌ وَأذْوَادٌ وَحَفَظَةٌ وَرُوَّادٌ، فَبِهِمْ مَلأتَ سَمَاءَكَ وَأرْضَكَ حَتَّى ظَهَرَ أنْ لا إِلَهَ إِلاَّ أنْتَ فَبِذَلِكَ أسْألُكَ وَبمَوَاقِع الْعِزّ مِنْ رَحْمَتِكَ وَبمَقَامَاتِكَ وَعَلامَاتِكَ أنْ تُصَلّيَ عَلَى مُحَمَّدٍ وَآلِهِ، وَأنْ تَزيدَنِي إِيمَاناً وَتَثْبِيتاً يَا بَاطِناً فِي ظُهُورِهِ وَظَاهِراً فِي بُطُونهِ وَمَكْنُونهِ، يَا مُفَرَّقاً بَيْنَ النُّورِ وَالدَّيْجُورِ يَا مَوْصُوفاً بِغَيْر كُنْهٍ وَمَعْرُوفاً بِغَيْر شِبْهٍ، حَادَّ كُلّ مَحْدُودٍ وَشَاهِدَ كُلّ مَشْهُودٍ وَمُوجِدَ كُلّ مَوْجُودٍ وَمُحْصِيَ كُلّ مَعْدُودٍ وَفَاقِدَ كُلّ مَفْقُودٍ، لَيْسَ دُونَكَ مِنْ مَعْبُودٍ أهْلَ الْكِبْريَاءِ وَالْجُودِ يَا مَنْ لا يُكَيَّفُ بِكَيْفٍ وَلا يُؤَيَّنُ بِأيْنٍ، يَا مُحْتَجِباً عَنْ كُلِّ عَيْنٍ يَا دَيْمُومُ يَا قَيُّومُ وَعَالِمَ كُلّ مَعْلُوم</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المقايسة بين اللامتناهي والمتناهي، فمن باب التجوّز والتسامح والتقريب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نقطة في أبحر الفضل الإلهي،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فالظاهر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مخلوقات الله، إذ من الواضح أنَّ الله لا يتكلَّم بشقّ الفمّ وإنَّما قوله فعله وما يفيضه من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أوّلاً تتحدَّث عن أنَّ عالم الوجود ليس محدوداً بما يشاهد منه أو يعلم، بل هو على قدر من السعة والعظمة بحيث لو صار البحر حبراً وكتبت صفاته تعالى فإنَّ البحر سيجف قبل أن تحصى موجودات عالم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تشير إلى عظمة صفات الخالق وأنَّه لا تسعه الكلمات ولو كان البحر مداداً وجاءنا بأبحر مثله، وثانياً 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كلمات الله وإن كانت لا يسعنا فهمها، ولكنَّها هي متناهية وظلّ لذي ظلّ وإن بلغت من العظمة ذروتها، هذا مضافاً إلى أنَّ كمال الأنوار الذين هم خلفاؤه في الأرض هي كمال فقري مستمدٌّ من الغني المطلق، فإنَّ غاية كمال الخلق هو شدّة احتياجه للغني المطلق، وإنَّ الإذعان بذلك يدفع غائلة الغلو والشرك، لكن من جانب آخر فهو مرآة صفات الحقّ، فالخليفة هو روح الله وعبده ووجهه وبابه، وله مقامات وجودية غير قابلة للتعطيل والتوكيل، بل الإمام متصدًّ لها بنفسه سواء أكان غائباً أم كان حاضراً، فهو ليس كسائر البشر وإلاَّ لِمَ كان هو الإمام دون غيره من البشر؟ أيعقل أنَّ طريق القرعة أو الصدفة أو نحوهما هو طريق اصطفائه واختياره؟</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لولا نحن ما خلق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حواء ولا الجنّة ولا النار ولا السماء ولا الأرض، فكيف لا نكون أفضل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سبقناهم إلى معرفة ربّنا وتسبيحه وتهليله وتقديسه لأنَّ أوّل ما خلق الله عز وجل أرواحنا فأنطقها بتوحيده وتمجيده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واستتار الإمام وغيبته لا يعني تعطيل أعماله ومهمّاته ومقاماته، فكما أنَّ الباري عز وجل لتنزّهه وسموّه لا يتصوَّر معه التعطيل عند ذوي الألباب، نعم قد يتعطَّل في العقول المحسوسة التي لا ترتضي أفقاً فوق الملموس والمحسوس، ولكن بعد قيام الدليل على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جهلنا بفائدته، كيف والحكيم القدير هو الذي أعدَّه، بل منظومة الكون قد اُسّست على أساس ومنهج نظمي معيَّن، فكما أنَّ القانون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المادي محفوظ وفق محاسبة علمية مقرَّرة قد جهلها العالم آلاف السنين، فموضع وموقع الشمس من المنظومة الشمسية مثلاً محسوب بشكل دقيق بحيث بتغيّره يلزم فناء النظم، وإن كنّا نجهل ذلك، وقانون الجاذبية سر انتظام الكون، ولقد أنكره العلماء في حقب زمنية متمادية والعلم لا يزال يتقدَّم ويكشف لنا عن الرموز في العالم المادي، إذ العلوم بشتّى أقسامها وأصنافها وتشعّباتها تهدف إلى أمر واحد وهو أنَّ العالم من الذرّة إلى المجرّة عالم منسجم تسوده وتحكمه أدقّ الأنظمة، إلاَّ أنَّ العقل البشري لمحدودية ساحة مدركاته لم يكن قادراً على الإحاطة بفوائد الأشياء من جميع الجهات،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أُوتِيتُمْ مِنَ الْعِلْمِ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فالمهمّ هو تبيّن دليل الوجود والتحاكم إليه، ففي هذا لا بدَّ من الاستعانة بالنقل والوسائل الأخرى لإثباته، وأمَّا ما وراء ذلك فهو من نافلة الكلام وسيأتي مزيد توضيح لذلك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فالحجّة هو السبيل إلى الله وبقيّة الله وهو الشمس الطالعة، والقمر المنير، والنجم الزاهر، فهو من الأئمّة الذين يهدون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تنحصر الهداية بالهداية القولية فهذه الهداية كما في تفسير الميزان بأمر الله حقّاً، لا الهداية التي يعطيها النظر والاعتبار كما أطلق القرآن الكلمة على الأمر الخارجي دون القول،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فالجعل هنا هو الجعل التكويني، وهكذا الهداية فهي بمعنى الايصال إلى المطلوب وهي نوع تصرف تكويني في النفوس لتسيرها في سير الكمال، لا بمعنى الأمر التشريعي الاعتباري، وهذا النمط من الهداية ثابت حتَّى لمثل الإمام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آل يس، </w:t>
      </w:r>
    </w:p>
    <w:p>
      <w:pPr>
        <w:pStyle w:val="BookText"/>
        <w:rPr/>
      </w:pPr>
      <w:r>
        <w:rPr>
          <w:rFonts w:ascii="Amiri" w:hAnsi="Amiri" w:eastAsia="Amiri" w:cs="Amiri"/>
          <w:color w:val="111111"/>
          <w:sz w:val="28"/>
          <w:sz w:val="28"/>
          <w:szCs w:val="28"/>
          <w:rtl w:val="true"/>
          <w:lang w:bidi="ar-SA"/>
        </w:rPr>
        <w:t>وداعي الله، ورباني آياته، وباب الله، وناصر حقّه، ودليل إرادته، وتالي كتابه، وترجمانه، وميثاق الله ووعده، هو العَلَم المنصوب، والعِلْم المصبوب، هو الغوث والرحمة الواسعة، وليّ المؤمنين، وبوار الكافرين، ومجلي الظلمة، ومنير الحقّ الناطق بالحكمة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طامس آثار الزيغ والأهواء، وقاطع حبائل الكذب والافتراء، هو جامع الكلمة على التقوى، هو باب الله الذي منه يؤتى، هو وجه الله الذي إليه يتوجَّه الأولياء، هو السبب المتَّصل بين الأرض والسماء، هو صاحب يوم الفتح، وناشر راية الهدى، ومؤلّف شمل الصلاح والرضا، هو المنتظر لإقامة الأمْتِ والعوج، هو المرتجى لإزالة الجور والعدوان، هو المدّخر لتجديد الفرائض والسنن، هو المتخيّر لإعادة الملّة والشريعة، هو المؤمَّل لإحياء الكتاب وحدوده، هو محيي معالم الدين وأهله، هو قاصم شوكة المعتدين، وهادم أبنية الشرك والنفاق، ومبيد أهل الفسوق والعصيان، وحاصد فروع الغي والشقاق</w:t>
      </w:r>
      <w:r>
        <w:rPr>
          <w:rStyle w:val="FootnoteAnchor"/>
          <w:rtl w:val="true"/>
        </w:rPr>
        <w:footnoteReference w:id="25"/>
      </w:r>
      <w:r>
        <w:rPr>
          <w:rFonts w:ascii="Amiri" w:hAnsi="Amiri" w:eastAsia="Amiri" w:cs="Amiri"/>
          <w:color w:val="111111"/>
          <w:sz w:val="28"/>
          <w:sz w:val="28"/>
          <w:szCs w:val="28"/>
          <w:rtl w:val="true"/>
          <w:lang w:bidi="ar-SA"/>
        </w:rPr>
        <w:t>، بل هو شريك القرآن وعدله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عنقاء قاف العدم مرقاة الهمم الاسم الأعظم الأكبر الحاوي للعلم غير المتناهي قطب رحى الوجود، ومركز دائرة الشهود كمال النشأة ومنشأ الكمال، جمال الجمع ومجمع الجمال المتوشح بالأنوار الإلهية المربى تحت أستار الربوبية مطلع الأنوار المصطفوية ومنبع الأسرار المرتضوية، ناموس الله الأكبر وغاية نوع البشر إلى الوقت ومرج الزمان الذي هو للحقّ أمين وللخلق أمان ناظم المناظم الحجّة القائم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ورد في البحار عن مولانا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فأنا بقيّة من آدم،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خيرة من نوح، ومصطفى من إبراهيم، وصفوة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وارد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وليعلموا أنَّ الحقّ معنا وفينا، لا يقول ذلك سوانا إلاَّ كذّاب مفتر، ولا يدَّعيه غيرُنا إلاَّ ضالّ غوي، فليقتصروا منّا على هذه الجملة دون التفسير، ويقنعوا من ذلك بالتعريض دون التصريح إن شاء الله</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وفي جواب صدر من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عافانا الله وإيّاكم من الضلالة والفتن، ووهب لنا ولكم روح اليقين، وأجارنا وإيّاكم من سوء المنقلب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أنهي إلي ارتياب جماعة منكم في الدين، وما دخلهم من الشكّ والحيرة في ولاة أمورهم، فغمَّنا ذلك لكم لا لنا، وساءنا فيكم لا فينا، لأنَّ الله معنا ولا فاقة بنا إلى غيره، والحقّ معنا فلن يوحشنا من قعد عنّا، ونحن صنائع ربّنا، والخلق بعد صنائعنا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أثر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قلوبنا أوعية لمشيئة الله فإذا شاء شئنا</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المهدي أنا قائم الزمان أنا الذي أملؤها عدلاً كما ملئت ظلماً وجوراً</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 وقد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عند الكعبة وجبرائيل عن يمينه وميكائيل عن يساره وله هيبة موسى وبهاء عيسى وحكم داود وصبر أيّوب وعليه جيوب النور تتوقَّد من شعاع ضياء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لفضله المبين كاتم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مبدأه ومنتهاه الخاتم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45" w:name="pg7330_68813"/>
    </w:p>
    <w:p>
      <w:pPr>
        <w:pStyle w:val="BookText"/>
        <w:rPr/>
      </w:pPr>
      <w:bookmarkEnd w:id="45"/>
      <w:r>
        <w:rPr>
          <w:rFonts w:ascii="Amiri" w:hAnsi="Amiri" w:eastAsia="Amiri" w:cs="Amiri"/>
          <w:color w:val="111111"/>
          <w:sz w:val="28"/>
          <w:sz w:val="28"/>
          <w:szCs w:val="28"/>
          <w:rtl w:val="true"/>
          <w:lang w:bidi="ar-SA"/>
        </w:rPr>
        <w:t>وقلبه مرآة ذات الباري</w:t>
      </w:r>
    </w:p>
    <w:p>
      <w:pPr>
        <w:pStyle w:val="BookText"/>
        <w:rPr/>
      </w:pPr>
      <w:r>
        <w:rPr>
          <w:rFonts w:ascii="Amiri" w:hAnsi="Amiri" w:eastAsia="Amiri" w:cs="Amiri"/>
          <w:color w:val="111111"/>
          <w:sz w:val="28"/>
          <w:sz w:val="28"/>
          <w:szCs w:val="28"/>
          <w:rtl w:val="true"/>
          <w:lang w:bidi="ar-SA"/>
        </w:rPr>
        <w:t>مَنطِقُه منطقة السماء</w:t>
      </w:r>
    </w:p>
    <w:p>
      <w:pPr>
        <w:pStyle w:val="BookText"/>
        <w:rPr/>
      </w:pPr>
      <w:r>
        <w:rPr>
          <w:rFonts w:ascii="Amiri" w:hAnsi="Amiri" w:eastAsia="Amiri" w:cs="Amiri"/>
          <w:color w:val="111111"/>
          <w:sz w:val="28"/>
          <w:sz w:val="28"/>
          <w:szCs w:val="28"/>
          <w:rtl w:val="true"/>
          <w:lang w:bidi="ar-SA"/>
        </w:rPr>
        <w:t>منطقه البليغ في المعارف</w:t>
      </w:r>
    </w:p>
    <w:p>
      <w:pPr>
        <w:pStyle w:val="BookText"/>
        <w:rPr/>
      </w:pPr>
      <w:r>
        <w:rPr>
          <w:rFonts w:ascii="Amiri" w:hAnsi="Amiri" w:eastAsia="Amiri" w:cs="Amiri"/>
          <w:color w:val="111111"/>
          <w:sz w:val="28"/>
          <w:sz w:val="28"/>
          <w:szCs w:val="28"/>
          <w:rtl w:val="true"/>
          <w:lang w:bidi="ar-SA"/>
        </w:rPr>
        <w:t>في سرّه لطائف الأسرار</w:t>
      </w:r>
    </w:p>
    <w:p>
      <w:pPr>
        <w:pStyle w:val="BookText"/>
        <w:rPr/>
      </w:pPr>
      <w:r>
        <w:rPr>
          <w:rFonts w:ascii="Amiri" w:hAnsi="Amiri" w:eastAsia="Amiri" w:cs="Amiri"/>
          <w:color w:val="111111"/>
          <w:sz w:val="28"/>
          <w:sz w:val="28"/>
          <w:szCs w:val="28"/>
          <w:rtl w:val="true"/>
          <w:lang w:bidi="ar-SA"/>
        </w:rPr>
        <w:t>في عالم الصفات والأسماء</w:t>
      </w:r>
    </w:p>
    <w:p>
      <w:pPr>
        <w:pStyle w:val="BookText"/>
        <w:rPr/>
      </w:pPr>
      <w:r>
        <w:rPr>
          <w:rFonts w:ascii="Amiri" w:hAnsi="Amiri" w:eastAsia="Amiri" w:cs="Amiri"/>
          <w:color w:val="111111"/>
          <w:sz w:val="28"/>
          <w:sz w:val="28"/>
          <w:szCs w:val="28"/>
          <w:rtl w:val="true"/>
          <w:lang w:bidi="ar-SA"/>
        </w:rPr>
        <w:t>ميزان كلّ سالك وعارف</w:t>
      </w:r>
      <w:r>
        <w:rPr>
          <w:rStyle w:val="FootnoteAnchor"/>
          <w:rtl w:val="true"/>
        </w:rPr>
        <w:footnoteReference w:id="32"/>
      </w:r>
    </w:p>
    <w:p>
      <w:pPr>
        <w:pStyle w:val="Heading4"/>
        <w:numPr>
          <w:ilvl w:val="3"/>
          <w:numId w:val="1"/>
        </w:numPr>
        <w:rPr/>
      </w:pPr>
      <w:bookmarkStart w:id="46" w:name="__RefHeading___Toc1013507_1051229030"/>
      <w:bookmarkStart w:id="47" w:name="_Toc14"/>
      <w:bookmarkEnd w:id="46"/>
      <w:r>
        <w:rPr>
          <w:rtl w:val="true"/>
        </w:rPr>
        <w:t>وصف الأنبياء في القرآن والكتب الأخرى</w:t>
      </w:r>
      <w:r>
        <w:rPr>
          <w:rtl w:val="true"/>
        </w:rPr>
        <w:t>:</w:t>
      </w:r>
      <w:bookmarkEnd w:id="47"/>
    </w:p>
    <w:p>
      <w:pPr>
        <w:pStyle w:val="BookText"/>
        <w:rPr/>
      </w:pPr>
      <w:r>
        <w:rPr>
          <w:rFonts w:ascii="Amiri" w:hAnsi="Amiri" w:eastAsia="Amiri" w:cs="Amiri"/>
          <w:color w:val="111111"/>
          <w:sz w:val="28"/>
          <w:sz w:val="28"/>
          <w:szCs w:val="28"/>
          <w:rtl w:val="true"/>
          <w:lang w:bidi="ar-SA"/>
        </w:rPr>
        <w:t>وقد تعرَّض القرآن الكريم إلى ذكر الأنبياء فوصفهم بكلّ جميل ينبغي أن يوصفوا به، ونسب إليهم كلّ مأثرة كريمة تلازم قداسة مقامهم ونزاهة السفارة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المصطفون،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اصْطَفى آدَمَ وَنُوحاً وَآلَ إِبْراهِيمَ وَآلَ عِمْرانَ عَلَى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عن معرفة آل إبراهيم وآل عمران لا يسعه هذا المختصر، والمراد من العالمين أي عالمي زمانهم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الموقنون،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 مَلَكُوتَ السَّماواتِ وَالأَْرْضِ وَلِيَكُونَ مِنَ الْمُوقِنِينَ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المهتدون،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وَهَبْنا لَهُ إِسْحاقَ وَيَعْقُوبَ كُلاًّ هَدَيْنا وَنُوحاً هَدَيْنا مِنْ قَبْلُ وَمِنْ ذُرِّيَّتِهِ داوُدَ وَسُلَيْمانَ وَأَيُّوبَ وَيُوسُفَ وَمُوسى وَهارُونَ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العالمون بالعلم اللدنّي،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داوُدَ وَسُلَيْمانَ عِلْماً وَقالاَ الْحَمْدُ لِلَّهِ الَّذِي فَضَّلَنا عَلى كَثِيرٍ مِنْ عِبادِهِ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وهم المنعّمون،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أَنْعَمَ اللَّهُ عَلَيْهِمْ مِنَ النَّبِيِّينَ مِنْ ذُرِّيَّةِ آدَمَ وَمِمَّنْ حَمَلْنا مَعَ نُوحٍ وَمِنْ ذُرِّيَّةِ إِبْراهِيمَ وَإِسْرائِيلَ وَمِمَّنْ هَدَيْنا وَاجْتَبَيْنا إِذا تُتْلى عَلَيْهِمْ آياتُ الرَّحْمنِ خَرُّوا سُجَّداً وَبُكِيًّا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المحسنون،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إِسْحاقَ وَيَعْقُوبَ كُلاًّ هَدَيْنا وَنُوحاً هَدَيْنا مِنْ قَبْلُ وَمِنْ ذُرِّيَّتِهِ داوُدَ وَسُلَيْمانَ وَأَيُّوبَ وَيُوسُفَ وَمُوسى وَهارُونَ وَكَذلِكَ نَجْزِي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الصالحون،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وَزَكَرِيَّا وَيَحْيى وَعِيسى وَإِلْياسَ كُلٌّ مِنَ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المفضَّلون،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وَإِسْماعِيلَ وَالْيَسَعَ وَيُونُسَ وَلُوطاً وَكلاًّ فَضَّلْنا عَلَى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مجمل الذوق القرآني في سرده لصفات الأنبياء، وعلى هذا رأي الطائفة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الكتب السماوية المحرَّفة حيث وصفت الأنبياء والأوصياء بما لا يتناسب مع مقامهم ومنزلتهم، بل لا يتناسب مع المؤمن العادل فكيف بمن يرتبط بالحقّ تعالى، ومن تلك الأوصاف ما ورد في الإصحاح الثاني عشر من التكوين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إبراهيم ادّعى أمام فرعون أنَّ سارة أخته الجميلة وليست بزوجته وقد أكرمه فرعون بعد أن تزوَّج بها وأعطاه غنَماً وبقَراً وحميراً وعبيداً وإماءاً، وبعد ما علم فرعون بأمر سارة عاتبه فرعون ثمّ ردَّ فرعون سارة إلى إبراهيم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الإصحاح التاسع عشر من سفر التكوين في سرده لقصَّة لوط مع ابنتيه في الجبل وأنَّ الكبيرة قالت لأختها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أبونا قد شاخ وليس في الأرض رجل ليدخل علينا فلنسقي أبانا خمراً ونضطجع معه فنحيي من أبينا نسلاً، فسقتا أباهما خمراً في تلك الليلة واضطجعت معه الكبيرة وفي الليلة الثانية سقتاه الخمر ودخلت معه الصغيرة، فحملتا منه فولدت كلّ واحدة منهما ابنين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الإصحاح السابع والعشرين من سفر التكوين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إسحاق أراد أن يعطي ابنه عيسو بركة النبوّة فخادعه يعقوب وأوهمه أنَّه عيسو وقدَّم له طعاماً فأكل وشرب وأعطاه بركة النبوّة ومنعها من عيسو</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الإصحاح الأوّل نسب يسوع المسيح تفصيلاً وجعل المسيح وسليمان وأباه داود من نسل مَن ولد من زنا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وفي الإصحاحين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والثاني عشر من صموئيل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زنى بامرأة أوريا المجاهد المؤمن وحملت من ذلك الزنى فخشي داود الفضيحة وأراد تمويه الأمر على زوجها فلم يفلح فأرسله إلى الحرب وجعله في الصف الأوّل فقُتل، فضمَّ زوجته إلى بيته وتزوَّجها علنا</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من الأمم المثقَّفة ورجال العصر ومهرة العلوم الناظرين في التوراة الرائجة، والمطّلعين على ما اشتملت عليه من الخرافات كيف تعتقد بأنَّها وحي إلهي وكتاب سماوي، نعم إنَّ تقليد الآباء كالغريزةق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الثانوية يصعب التنازل عنه إلى اتّباع الحقّ والحقيقة، لكنَّ الحقّ إذا بلغ من الظهور لهذه الدرجة لا يمكن التغاضي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ورد في المضمون القرآني ما قد يوهم انتقاص المنزلة كما توهَّم البعض 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يناسبه لسوء فهم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 وَتَوَلَّى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القرآن الكريم لمَّا كان بعضه يفسّر بعضاً فإنَّ ذلك التوهم لا ينسجم، بل مندفع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فعقيدتنا أنَّ الأنبياء والأولياء لا يمكن إدراك مقاماتهم، وإنَّما يمكن أن ندرك بعض ذلك وهو الواصل إلينا من الطرق النقيّة، ولذا ورد 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اللَّهَ بَدَأ بِكُمْ وَمَنْ وَحَّدَهُ قَبِلَ عَنْكُمْ وَمَنْ قَصَدَهُ تَوَجَّهَ بِكُمْ، مَوَالِيَّ لا اُحْصِي ثَنَاءَكُمْ وَلا أبْلُغُ مِنَ الْمَدْح كُنْهَكُمْ وَمِنَ الْوَصْفِ قَدْرَكُمْ، وَأنْتُمْ نُورُ الأخْيَارِ وَهُدَاةُ الأبْرَارِ وَحُجَجُ الْجَبَّارِ، بِكُمْ فَتَحَ اللَّهُ وَبكُمْ يَخْتِمُ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وَبِكُمْ يُنَزّلُ الْغَيْثَ وَبكُمْ يُمْسِكُ السَّمَاءَ أنْ تَقَعَ عَلَى الأرْض إِلاَّ بإذْنِهِ</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 نعم مع الاعتقاد بذلك والتزامه لا ننحدر ونقع في فخّ الغلوّ لأنَّا نعتقد أيضاً بما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والغلو فينا قولوا إنّا عبيد مربوبون وقولوا في فضلنا ما شئتم</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 وفي حديث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فيَّ رجلان محبّ غالٍ ومبغض قالٍ</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بلحاظ الواصل إلينا في تحديد أوصافهم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8" w:name="pg7330_68821"/>
    </w:p>
    <w:p>
      <w:pPr>
        <w:pStyle w:val="Heading4"/>
        <w:numPr>
          <w:ilvl w:val="3"/>
          <w:numId w:val="1"/>
        </w:numPr>
        <w:rPr/>
      </w:pPr>
      <w:bookmarkStart w:id="49" w:name="__RefHeading___Toc1013509_1051229030"/>
      <w:bookmarkStart w:id="50" w:name="_Toc15"/>
      <w:bookmarkEnd w:id="48"/>
      <w:bookmarkEnd w:id="49"/>
      <w:r>
        <w:rPr>
          <w:rtl w:val="true"/>
        </w:rPr>
        <w:t xml:space="preserve">خصائص الإمام المهدي </w:t>
      </w:r>
      <w:r>
        <w:rPr>
          <w:rtl w:val="true"/>
        </w:rPr>
        <w:t>(</w:t>
      </w:r>
      <w:r>
        <w:rPr>
          <w:rtl w:val="true"/>
        </w:rPr>
        <w:t>عليه السلام</w:t>
      </w:r>
      <w:r>
        <w:rPr>
          <w:rtl w:val="true"/>
        </w:rPr>
        <w:t>):</w:t>
      </w:r>
      <w:bookmarkEnd w:id="50"/>
    </w:p>
    <w:p>
      <w:pPr>
        <w:pStyle w:val="BookText"/>
        <w:rPr/>
      </w:pPr>
      <w:r>
        <w:rPr>
          <w:rFonts w:ascii="Amiri" w:hAnsi="Amiri" w:eastAsia="Amiri" w:cs="Amiri"/>
          <w:color w:val="111111"/>
          <w:sz w:val="28"/>
          <w:sz w:val="28"/>
          <w:szCs w:val="28"/>
          <w:rtl w:val="true"/>
          <w:lang w:bidi="ar-SA"/>
        </w:rPr>
        <w:t xml:space="preserve">وأمَّا ما وصل إلينا في بيان خصوصيات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سالم بن عبد الله بن عمر بن الخطّاب يحدّث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عبد 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والحجّة القائم كأنَّه كوكب درّي في وسطهم،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وهذا القائم يحلّ حلالي ويحرّم حرامي وينتقم من أعدائي، يا محمّد أحببه فإنّي اُحبّه واُحبّ من يحبّه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أمير المؤمنين علي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ابني هذا سيّد كما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وسيخرج الله من صلبه رجلاً باسم نبيّكم يشبهه في الخَلق والخُلُق، يخرج على حين غفلةٍ من الناس، وإماتةٍ للحقّ، وإظهارٍ للجور، واللهِ لو لم يخرج لضربت عنقه، يفرح بخروجه أهل السماوات وسكّانها، وهو رجل أجلى الجبين، أقنى الأنف، ضخم البطن، أزيل الفخذين، بفخذه اليمنى شامة، أفلج الثنايا، ويملأ الأرض عدلاً كما ملئت ظلماً وجوراً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عن السيّد بن محمّد الحميري في حديث طويل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قد روي لنا أخبار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وصحَّة كونها فأخبرني بمن تقع؟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ستقع بالسادس من ولدي والثاني عشر من الأئمّة الهداة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وآخرهم القائم بالحقّ بقيّة الله في أرضه صاحب الزمان </w:t>
      </w:r>
    </w:p>
    <w:p>
      <w:pPr>
        <w:pStyle w:val="BookText"/>
        <w:rPr/>
      </w:pPr>
      <w:r>
        <w:rPr>
          <w:rFonts w:ascii="Amiri" w:hAnsi="Amiri" w:eastAsia="Amiri" w:cs="Amiri"/>
          <w:color w:val="111111"/>
          <w:sz w:val="28"/>
          <w:sz w:val="28"/>
          <w:szCs w:val="28"/>
          <w:rtl w:val="true"/>
          <w:lang w:bidi="ar-SA"/>
        </w:rPr>
        <w:t>وخليفة الرحمن، والله لو بقي في غيبته ما بقي نوح في قومه لم يخرج من الدنيا حتَّى يظهر فيملأ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اسمه اسمي، وكنيته كنيتي، أشبه الناس بي خَلقاً وخُلُقاً، تكون به غيبة وحيرة تضل فيها الأمم، ثمّ يُقبل كالشهاب الثاقب يملأها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وقد يظهر أنَّه ليس المراد من الاسم هو الاسم اللفظي، بل المراد مسمّى الاسم أي اتّحاد الحقيقة، والمراد من الكنية اتّحاد الصفات إذ من البعيد أن يكون المقصود من الرواية محض اتّحاد الاسم والكنية لعدم المنقبة في ذلك فقد تحصل لأيّ شخص،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اسم لفظي منح من السماء ويكفي هذا منقبة إذ لا يشاطره أحد، أجل منحة السماء نفس أمرية تكشف عن المكوّن الذاتي لا اعتبارية جزافية وعطايا فوضوية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الليلة التي يولد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فيها مولود إلاَّ كان مؤمناًً، وإن ولد في أرض الشرك نقله الله إلى الإيمان ببركة الإمام</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الشيخ في المصباحين والسيّد ابن طاوس في كتاب الإقبال وسائر مؤلّفي كتب الدعوات ولادته عليه السلام في النصف من شعبان وقال في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عليه السلام بسُرَّ من رأى ليلة النصف من شعبان سنة خمس وخمسين ومأتين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من خطّ الشهيد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الليلة التي يولد فيها القائم عليه السلام لا يولد فيها مولود إلاَّ كان مؤمناً، وإن ولد في أرض الشرك نقله الله إلى الإيمان ببركة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الخصوصية 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ثابتة لجميع الأئمّة كما يشهد له إطلاق الإمام في رواية الطوسي، وحينئذٍ ذكر الإمام المهدي في رواية الشهيد يكون من باب التطبيق ولو بواسطة الشهيد وإمَّا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الخصوصية انحصارية للإمام المهدي عليه السلام وأنَّ الرواية الأولى إمَّا مجملة وإمَّا مطلقة مقيّدة بالرواية الثانية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وهذه منقبة انحصارية اختصَّت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اليومة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ولد فيه الإمام يوم كريم تكرَّم وتشرَّف بولادة الإمام فهو الذي أضفى لليوم هذه الكرامة والمنقبة، وليس ذلك بعزيز إذ تتشرَّف الأماكن والأزمان بأصحابها كتشرف كربلاء بشرافة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بيتاً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الحمد، فيه سراج يزهر منذ يوم ولد إلى يوم يقوم بالسيف، لا يطفأ</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 إذ الظاهر ليس المراد البيت المادي كما أنَّه ليس المراد من السراج السراج المادي، بل لعلَّ المقصود منهما هو المقام المعنوي والكمالي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الغاية داخلة في المغيّى، فإنَّ هذا المقام والكمال مستمرٌّ بوجوده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ينتفي بعد قيامه بالسيف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عن جابر بن عبد الله الأنصاري،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ذرّيتي، يظهر بين الركن والمقام، وعليه قميص إبراهيم، وحلة إسماعيل، وفي رجله نعل شيث</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 فإن كلّ ذلك فيه كنايات وإشارات لمقامات وكرامات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عن أبي 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علامات القائم منكم إذا 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علامته أن يكون شيخ السنّ، شاب المنظر،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أنَّ الناظر إليه ليحسبه ابن أربعين سنة أو دونها، وإنَّ من علامته أن لا يهرم بمرور الأيّام والليالي عليه حتَّى يأتيه أجله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المهدي كلمة من كلمات الله</w:t>
      </w:r>
      <w:r>
        <w:rPr>
          <w:rStyle w:val="FootnoteAnchor"/>
          <w:rtl w:val="true"/>
        </w:rPr>
        <w:footnoteReference w:id="49"/>
      </w:r>
      <w:r>
        <w:rPr>
          <w:rFonts w:ascii="Amiri" w:hAnsi="Amiri" w:eastAsia="Amiri" w:cs="Amiri"/>
          <w:color w:val="111111"/>
          <w:sz w:val="28"/>
          <w:sz w:val="28"/>
          <w:szCs w:val="28"/>
          <w:rtl w:val="true"/>
          <w:lang w:bidi="ar-SA"/>
        </w:rPr>
        <w:t>، ونور الله في الأرض</w:t>
      </w:r>
      <w:r>
        <w:rPr>
          <w:rStyle w:val="FootnoteAnchor"/>
          <w:rtl w:val="true"/>
        </w:rPr>
        <w:footnoteReference w:id="50"/>
      </w:r>
      <w:r>
        <w:rPr>
          <w:rFonts w:ascii="Amiri" w:hAnsi="Amiri" w:eastAsia="Amiri" w:cs="Amiri"/>
          <w:color w:val="111111"/>
          <w:sz w:val="28"/>
          <w:sz w:val="28"/>
          <w:szCs w:val="28"/>
          <w:rtl w:val="true"/>
          <w:lang w:bidi="ar-SA"/>
        </w:rPr>
        <w:t xml:space="preserve">، فإنَّه ورد في القرآن الكريم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وَالآْخِرَةِ وَمِنَ الْمُقَرَّبِينَ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أنَّ الإمام وُصف أنَّه من كلمات الله، وهكذا ما يرتبط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عدّ هاتين الصفتين من الصفات الاختصاصية مع أنَّ سائر الأئمّة أيضاً كلمات الله وهم أنواره أيضاً باعتبار أنَّ الرواية قد صرَّحت ونصَّت على الإمام المهدي ولو من جهة التطبيق أو مزيد خصوصية في التصريح بناءً على تشكيكية المعنى الوجودي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يحمل حجر موسى بن عمران وهو وِقْرُ بعيرٍ ولا ينزل منزلاً إلاَّ انبعث عين منه،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للحمل الثقيل وأنَّه لا يمكن حمل هذا إلاَّ مِمَن خصَّه الله بذلك،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يَحْيى‏ خُذِ الْكِتابَ بِقُوَّةٍ وَآتَيْناهُ الْحُكْمَ صَبِيًّا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وفرق بين الأخذ بالقوّة وبين الحمل، كما أنَّ المراد من العين في الرواية كناية عن الحكمة والخير، وهكذا المنزل ليس المادي وإنَّما قلب المؤمن، لكن الظاهر أنَّ المراد هي الأمور المادية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ويتأكَّد بقرينة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الخراساني،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إذا قام بمكّة وأراد أن يتوجَّه إلى الكوفة 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يحمل أحد منكم طعاماً ولا شراباً، ويحمل حجر موسى بن عمران وهو وقر بعير، فلا ينزل منزلاً إلاَّ انبعث عين منه، فمن كان جائعاً شبع ومن كان ظامئاً روي، فهو زادهم حتَّى ينزلوا النجف من ظهر الكوفة، فإذا نزلوا ظاهرها انبعث منه الماء واللبن دائماً</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وهذه الأمور هي التي يرثها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الأنبياء، كما عليه الآثار الأخرى من قبيل قميص آدم ويوسف وخاتم سليمان وغيرها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على يد المهدي يظهر تابوت السكينة، فعن سليمان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على يدي المهدي يظهر تابوت السكينة من بحيرة طبرية حتَّى يحمل فيوضع بين يديه ببيت المقدس، فإذا نظرت إليه اليهود أسلمت إلاَّ قليل منهم، ثمّ يموت المهدي</w:t>
      </w:r>
      <w:r>
        <w:rPr>
          <w:rStyle w:val="FootnoteAnchor"/>
          <w:rtl w:val="true"/>
        </w:rPr>
        <w:footnoteReference w:id="52"/>
      </w:r>
      <w:r>
        <w:rPr>
          <w:rFonts w:ascii="Amiri" w:hAnsi="Amiri" w:eastAsia="Amiri" w:cs="Amiri"/>
          <w:color w:val="111111"/>
          <w:sz w:val="28"/>
          <w:sz w:val="28"/>
          <w:szCs w:val="28"/>
          <w:rtl w:val="true"/>
          <w:lang w:bidi="ar-SA"/>
        </w:rPr>
        <w:t xml:space="preserve">، وهكذا عصا موسى، فعن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عصا موسى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إلى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شعيب، ثمّ صارت إلى موسى بن عمران، وإنَّها لعندنا وإنَّ عهدي بها آنفاً وهي خضراء كهيأتها حين انتزعت من شجرتها، وإنَّها لتنطق إذا استنطقت، اُعدَّت لقائمنا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بها ما كان يصنع موسى وإنَّها لتروع وتلقف ما يأفكون وتصنع ما تؤمر به، إنَّها حيث أقبلت تلقف ما يأفكون يفتح لها شعبتان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في الأرض والأخرى في السقف، وبينهما أربعون ذراعاً تلقف ما يأفكون بلسانها</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 فإنَّ المعروف عند بني إسرائيل أنَّ إتيان تابوت السكينة كاشف عن صدق دعوى من أتى به، والرواية أرادت أن تشير إلى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يحتجُّ على كلّ قوم بما يعتقدونه من الأدلّة، هذا مضافاً إلى أنَّ العصا في حدّ نفسها ليست بكمال وإنَّما الكمال انتسابها لموسى 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ضحضاح من نور، فعن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سلمى راعي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طويلة،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عن يمين العرش، فالتفت فإذا أنا بعلي وفاطمة والحسن والحسين وعلي ومحمّد وجعفر وموسى وعلي ومحمّد وعلي والحسن والمهدي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ضحضاح من نور، قيام يصلّون</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 والوجه في جعلها من الصفات الاختصاصية مبني على رجوع الظرف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الظاهر عودته إلى الجميع فتكون صفة عامّة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عيسى يصلّي خلفه، فعن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مهدي هذه الأمّة الذي يصلّي عيسى خلفه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51" w:name="pg7330_68832"/>
    </w:p>
    <w:p>
      <w:pPr>
        <w:pStyle w:val="BookText"/>
        <w:rPr/>
      </w:pPr>
      <w:bookmarkEnd w:id="51"/>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ملائكة بدر ينصرون المهدي،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ثابت، كأنّي بقائم أهل بيتي قد أشرف على نجفكم 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وأومأ بيده إلى ناحية الكوفة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فإذا هو أشرف على نجفكم نشر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نشرها انحطَّت عليه ملائكة بدر</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دولته دولة الله،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الْأَيَّامُ نُداوِلُها بَيْنَ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مذ خلق الله آدم دولة لله ودولة لإبليس، فأين دولة الله أمَا هو إلاَّ قائم واحد</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لأهل الأرض والسماء، فعن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يوصل لي كتاباً قد سألت فيه عن مسائل أشكلت عليَّ فورد التوقيع بخطّ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وإنّي لأمان لأهل الأرض كما أنَّ النجوم أمان لأهل السماء</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ويحتمل أنَّ الرواية في صدد دفع توهم أنَّ الغائب لا أثر له بقرينة الذيل وحينئذٍ تكون هذه الرواية في سياق الصفات العامّة</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013511_1051229030"/>
      <w:bookmarkStart w:id="53" w:name="_Toc16"/>
      <w:bookmarkEnd w:id="52"/>
      <w:r>
        <w:rPr>
          <w:rtl w:val="true"/>
        </w:rPr>
        <w:t>النتائج المستفادة</w:t>
      </w:r>
      <w:r>
        <w:rPr>
          <w:rtl w:val="true"/>
        </w:rPr>
        <w:t>:</w:t>
      </w:r>
      <w:bookmarkEnd w:id="53"/>
    </w:p>
    <w:p>
      <w:pPr>
        <w:pStyle w:val="BookText"/>
        <w:rPr/>
      </w:pPr>
      <w:r>
        <w:rPr>
          <w:rFonts w:ascii="Amiri" w:hAnsi="Amiri" w:eastAsia="Amiri" w:cs="Amiri"/>
          <w:color w:val="111111"/>
          <w:sz w:val="28"/>
          <w:sz w:val="28"/>
          <w:szCs w:val="28"/>
          <w:rtl w:val="true"/>
          <w:lang w:bidi="ar-SA"/>
        </w:rPr>
        <w:t>وحينئذٍ نستفيد من كلّ ذلك ونحوه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أنَّ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مقامه اصطفاء ربّاني، فإنَّ رؤية ملكوت السماوات والأرض شأن 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نُرِي إِبْراهِيمَ مَلَكُوتَ السَّماواتِ وَالأَْرْضِ وَلِيَكُونَ </w:t>
      </w:r>
    </w:p>
    <w:p>
      <w:pPr>
        <w:pStyle w:val="BookText"/>
        <w:rPr/>
      </w:pPr>
      <w:r>
        <w:rPr>
          <w:rFonts w:ascii="Amiri" w:hAnsi="Amiri" w:eastAsia="Amiri" w:cs="Amiri"/>
          <w:color w:val="111111"/>
          <w:sz w:val="28"/>
          <w:sz w:val="28"/>
          <w:szCs w:val="28"/>
          <w:rtl w:val="true"/>
          <w:lang w:bidi="ar-SA"/>
        </w:rPr>
        <w:t>مِنَ الْمُوقِنِينَ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والخاتم ووليّه له من الكمالات ما لسائر الأنبياء وزيادة، ومن هنا صار خاتماً وشريعته الخاتمة، وقد روي عن مولانا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إِنَّا نَسْتَنْصِرُ اللهَ فَمَنْ أجَابَنَا مِنَ النَّاس، فَإنَّا أهْلُ بَيْتِ نَبِيَّكُمْ مُحَمَّدٍ وَنَحْنُ أوْلَى النَّاس بِاللهِ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حَاجَّنِي فِي آدَمَ فَأنَا أوْلَى النَّاس بِآدَمَ، وَمَنْ حَاجَّنِي فِي نُوح فَأنَا أوْلَى النَّاس بِنُوح، وَمَنْ حَاجَّنِي فِي إِبْرَاهِيمَ فَأنَا أوْلَى النَّاس بِإبْرَاهِيمَ، وَمَنْ حَاجَّنِي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أوْلَى النَّاس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حَاجَّنِي فِي النَّبِيَّينَ فَأنَا أوْلَى النَّاس بِالنَّبِيَّينَ، ألَيْسَ اللهُ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والعصمة أمر لا بدَّ منه لمن يتصدّى لمثل هذه المقامات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نماذج قرآنية وروائية لاستظهار أنَّ هذا الانتخاب إنَّما هو انتخاب واصطفاء ربّاني قائم على أساس حكمة الخالق، وذلك كروايات النور والطينة وأنَّهم أوّل ما خُلق،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من نور عظمته، ثمّ صوَّر خلقنا من طينة مخزونة مكنونة من تحت العرش، فأسكن ذلك النور فيه، فكنّا نحن خلقاً وبشراً نورانيين لم يجعل لأحد في مثل الذي خلقنا منه نصيباً، وخلق أرواح شيعتنا من طينتنا وأبدانهم من طينة مخزونة مكنونة أسفل من ذلك الطينة ولم يجعل الله لأحد في مثل الذي خلقهم منه نصيباً إلاَّ للأنبياء، ولذلك صرنا نحن وهم الناس، وصار سائر الناس همج، للنار وإلى النار</w:t>
      </w:r>
      <w:r>
        <w:rPr>
          <w:rStyle w:val="FootnoteAnchor"/>
          <w:rtl w:val="true"/>
        </w:rPr>
        <w:footnoteReference w:id="60"/>
      </w:r>
      <w:r>
        <w:rPr>
          <w:rFonts w:ascii="Amiri" w:hAnsi="Amiri" w:eastAsia="Amiri" w:cs="Amiri"/>
          <w:color w:val="111111"/>
          <w:sz w:val="28"/>
          <w:sz w:val="28"/>
          <w:szCs w:val="28"/>
          <w:rtl w:val="true"/>
          <w:lang w:bidi="ar-SA"/>
        </w:rPr>
        <w:t>، وليس معنى ذلك الإلجاء وسلب الاختيار في حركة الرسل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وكيفما كان فليس مشروع الإمام تأسيساً لثقافة جديدة، بل امتداد لاصطفاء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ليس له دين جديد أو شريعة جديدة أو مذهب خاصّ بناءً على أنَّ الحركة الامتدادية للأنبياء تكشف عن وحدة الدين جوهراً، وأمَّا نعت الدين الإسلامي مقابل الديانة اليهودية والمسيحية فهي باعتبار الانحراف الذي حصل في الأديان السابقة وإلاَّ فهو دين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إِبْراهِيمُ يَهُودِيًّا وَلا نَصْرانِيًّا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 وَمَا اخْتَلَفَ الَّذِينَ أُوتُوا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القول بالمذهب فالمراد من المذهب الشيعي بإزاء المذهب السُنّي الذي خرج عن جادة الصواب، وإلاَّ فبلحاظ الحركة الامتدادية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يوصف المذهب الشيعي بالمذهب،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الإسلامي وكيفما كان فمشروع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للسنن المعطَّلة، فعن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يظهر المهدي بمكّة عند العشاء ومعه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وقميصه وسيفه وعلامات ونور وبيان</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 على التأويل</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مشروعه متقوّم على أساس مفاهيم فطرية كالعدل والقسط، ومن الواضح أنَّ قاعدة العدل تشمل مساحات وسيعة من النفوس والعقول خصوصاً بعد إفلاس الأمم منها، فحركته فطرية وجاذبيّتُه ذاتية تميل إليه النفوس الطيبة لاسيّما من عاش حرمان العدالة بشتّى مستوياتها من العدالة الاجتماعية والاقتصادية والفكرية، ونعني بمشروعه العادل تشريعاً وتنفيذاً، فسلوكياً هو المشروع الواقعي الذي لا ينحصر على صعيد الإعلام فحسب دفعاً لتحصيل العدالة الفردية، بل العدالة هي رَحى موسوعته ومفاهيمها بمختلف ألوانها، لذا عرف بأنَّه يملأ الأرض قسطاً وعدلاً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أنَّ أداء المشروع خاضع للسنن والقوانين الكونية، ولذا فإنَّ الذي يقال في كيفية أداء الأنبياء لمهامهم والوصول إلى أهدافهم نقوله بعينه 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سينزل من البلاء عليه ما نزل على سائر الأنبياء، وهكذا على أصحابه وأمّته فلا يصل إلى مقاصده بعناصر الغيب المحض، فعن بشير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قدمت المدينة 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لو قام لاستقامت له الأمور عفواً، ولا يهريق محجمة 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والذي نفسي بيده لو استقامت لأحد عفواً لاستقامت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أدميت رباعيته، وشج في وجهه، كلاَّ والذي نفسي بيده حتَّى نمسح نحن وأنتم العرق والعلق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مسح جبهته</w:t>
      </w:r>
      <w:r>
        <w:rPr>
          <w:rStyle w:val="FootnoteAnchor"/>
          <w:rtl w:val="true"/>
        </w:rPr>
        <w:footnoteReference w:id="63"/>
      </w:r>
      <w:r>
        <w:rPr>
          <w:rFonts w:ascii="Amiri" w:hAnsi="Amiri" w:eastAsia="Amiri" w:cs="Amiri"/>
          <w:color w:val="111111"/>
          <w:sz w:val="28"/>
          <w:sz w:val="28"/>
          <w:szCs w:val="28"/>
          <w:rtl w:val="true"/>
          <w:lang w:bidi="ar-SA"/>
        </w:rPr>
        <w:t>، فالسنن ليست اضطرارية غير اختيارية وإرادية، ولا تنافي بين الأخبار الإلهية عن المستقبل وبين مقولة لزوم إعداد الأسباب لكون الحركة اختيارية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فمثلاً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 عن الرؤيا وهو أمر مستقبلي ولكن دخل في قانون السنن الكونية ولم ينظّم حياته على الرؤيا المستقبلية، بل نظَّمها على أساس الاختيار والامتحان، أو ما ورد في البشائر في الكتب السماوية من خاتمية الإسلام والرسول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عمل النبيّ الدؤوب، وبالتالي تحقَّق ما أخبر عنه من دون الوقوع في فخ الجبر، فلا تنافي بين القول بحروب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السعي، وبين القول بالوصول إلى الوعد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انكشف أنَّ ما ورد في الروايات الدالّة على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الخوف ونحوه هو نفس المعنى الوارد لخوف الأنبياء</w:t>
      </w:r>
      <w:r>
        <w:rPr>
          <w:rStyle w:val="FootnoteAnchor"/>
          <w:rtl w:val="true"/>
        </w:rPr>
        <w:footnoteReference w:id="64"/>
      </w:r>
      <w:r>
        <w:rPr>
          <w:rFonts w:ascii="Amiri" w:hAnsi="Amiri" w:eastAsia="Amiri" w:cs="Amiri"/>
          <w:color w:val="111111"/>
          <w:sz w:val="28"/>
          <w:sz w:val="28"/>
          <w:szCs w:val="28"/>
          <w:rtl w:val="true"/>
          <w:lang w:bidi="ar-SA"/>
        </w:rPr>
        <w:t>، وعلى هذا فما نسمعه بين الحين والآخر من قبل أنصاف المثقفين ومدّعي العلم والمعرفة من عدم تعقّل بعض الصفات عن الإمام، إنَّما ينبئ عن عدم اُنسهم بالمفاهيم القرآنية، وعدم تصوّرها بالشكل الصحيح</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أنَّ ملامح ثورته هي العلم والعقل والعمران والحرّية وتكريم العلماء، وأنَّ نظامه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على الاعتراف بتخصّصات العلوم والتأكيد على ظاهرة التخصّصات وفسح المجال للمتخصّص لأن يدلو بدلوه بلا تصادم مع الشريعة، وكذلك الاعتراف وإعمال قانون الأسباب والمسبّبات، وإعمال لفقه التزاحم لا على أساس كُن فيكون، ولا على أساس إعمال الغيب المطلق، فالعموم القرآني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سَعْيَهُ سَوْفَ 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التسديد الإلهي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محقَّق عند تنجّز النواميس الاجتماعية والكونية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وَلَيَنْصُرَنَّ اللَّهُ مَنْ يَنْصُرُهُ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تحدَّثت الروايات عن كمال العلوم كعلم الطبّ، وعلم الهندسة، وعلم الاتصالات فيكون العالم كالقرية الصغيرة جدَّاً، وعلم الشريعة والقانون والقضاء، وأمَّا ما ورد في بعض الكتب من محاربته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للعلماء في عصره فهو ممَّا لا أساس له من الصحَّة، بل ذلك مصداق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شهرة لا أصل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قد ورد ذمّ واستئصال علماء سلطان الجور والزور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منطقه ليس منطق السيف والعنف، بل منطق العقل والحكمة والاستعانة بمختلف الأساليب المشروعة للأمر بالمعروف والنهي عن المنكر، وتعليم الجاهل، ورفع الاستتار والغموض، ودفع الشبهات وحلّ العقد، وإقامة الحجج، كبعث المسيح، والإتيان بتابوت السكينة، وبعض مواريث الأنبياء، وإيصال الصوت بما له من عذوبة ورصانة وشمولية وحقّانية وشفافية إلى جميع الخلائق، وإلى مختلف بقاع الكون، فيلقي الحجج على الأسماع، فلا يبقى أحد إلاَّ وقد وصله نداء الحقّ من مصدر نقي وصافٍ زلال وبأمواج صحيحة، وعليه ستنفد كلّ السبل ولا يبقى لأحد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فلا ريب أنَّه سيُستجاب للنداء الحقّ من قبل الكلّ، إلاَّ النفوس المريضة والمعاندة والمتعصّبة وصاحبة النفع،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 فَزادَهُمُ اللَّهُ مَرَضاً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أنَّ الأمّة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تنشطر إلى معسكرين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معسكر الحقّ المحض ومعسكر الباطل المحض، ولا يختلط الحقّ بالباطل، بل إنَّ قوى </w:t>
      </w:r>
    </w:p>
    <w:p>
      <w:pPr>
        <w:pStyle w:val="BookText"/>
        <w:rPr/>
      </w:pPr>
      <w:r>
        <w:rPr>
          <w:rFonts w:ascii="Amiri" w:hAnsi="Amiri" w:eastAsia="Amiri" w:cs="Amiri"/>
          <w:color w:val="111111"/>
          <w:sz w:val="28"/>
          <w:sz w:val="28"/>
          <w:szCs w:val="28"/>
          <w:rtl w:val="true"/>
          <w:lang w:bidi="ar-SA"/>
        </w:rPr>
        <w:t xml:space="preserve">الظلام سوف تتحالف وتدخل في حربٍ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بهدف إطفاء نوره وضيائه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حرب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دفاعية عسكرياً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أنَّ البادئ في الحروب هم أعداء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كالسفياني، فلا يكون له همّة إلاَّ آل محمّد وشيعتهم</w:t>
      </w:r>
      <w:r>
        <w:rPr>
          <w:rStyle w:val="FootnoteAnchor"/>
          <w:rtl w:val="true"/>
        </w:rPr>
        <w:footnoteReference w:id="65"/>
      </w:r>
      <w:r>
        <w:rPr>
          <w:rFonts w:ascii="Amiri" w:hAnsi="Amiri" w:eastAsia="Amiri" w:cs="Amiri"/>
          <w:color w:val="111111"/>
          <w:sz w:val="28"/>
          <w:sz w:val="28"/>
          <w:szCs w:val="28"/>
          <w:rtl w:val="true"/>
          <w:lang w:bidi="ar-SA"/>
        </w:rPr>
        <w:t>، وهي حرب هجومية فكرياً لأنَّها تقوم بعد استنفاد كلّ طرق المحاججة والحوار العلمي، وهي حربٌ مقاصدها إلهية وسعادة دنيوية أخروية، لا مقاصد لها ذاتية أو فئوية أو طائفية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للأهواء ولا للتشفي ولا للانتقام السلبي ولا للروح التوسعية والدكتاتورية، بل ستذوب نظريات ورؤى فكرية ودراسات وضعية قهراً بنهوض الفكر النابع من العين الأزلية الكاشف عن فساد وبطلان وضعف النظريات الاُخرى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نقترب إلى عصر الظهور كلَّما تكاملت العلوم الحقّة، حتَّى تكون عوناً لخدمة المشروع العالمي، فموسوعة العلم والعقل ممهّدة لحركة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وموسوعة إحياء الدنيا قنطرةٌ للفكر المهدوي وارتقاء المفاهيم السامية، فليس مشروعه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متقوّماً على أساس فلسفة عدم الاعتناء بعمران الدنيا والزهد بها وإهمال شأنها، فما صدر عن بعض المتوهمين أنَّ الخطاب الديني أخروي صِرف ومتقوّم على إهمال شأن الدنيا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بل أسند هؤلاء علّة التخلّف في المجتمعات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الإسلاميّة إلى هذه النظرة الباطلة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مجانبٌ للحقيقة والواقع كما يظهر جلياً بمراجعة الروايات العامّة في تقييم الدنيا في نظر المؤمن ولابدّية توقيرها كإحياء القبر والطريق واستحباب غرس الشجر حتَّى لو قامت القيامة، ولا تنافي بين روايات ذمّ حبّ الدنيا وطول الأمل وبين الروايات الآمرة على إحياء الدنيا وإعلاء مدنيتها وحضارتها، وإن صحب مشروعه المقدَّس بعضُ ما لا بدَّ منه من لوازم حتمية كقتل الكافرين وتدمير العمران ودخول الرعب في قلوب المشكّكين ونحو ذلك ممَّا قد يوهم وصفها بالشرور، إلاَّ أنَّها أمور لا بدَّ منها حتماً لتحقيق الحكومة العادلة، كما في التقنين العامّ المقارن لسدّ بعض المنافع الذاتية لبعض الناس فإنَّه سائغ وإن لم ترتضِه بعض النفوس النفعية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فمفهوم العدالة والديمقراطية والحرّية والحداثة في غاية الوضوح إلاَّ أنَّ مصاديقها في غاية الخفاء، فقد ورد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اسمه اسمي، وكنيته كنيتي، أشبه الناس بي خَلقاً وخُلُقاً، تكون به غيبة وحَيْرة تضل فيها الأمم، ثمّ يُقبل كالشهاب الثاقب يملأها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الأوصاف والكمالات فلِمَ يستعين بما هو قبيح بحكم العقل من العنف والحرب والقتل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هذا لا يتوهَّمه من يلتفت إلى أنَّ منهجه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على أساس استئصال العضو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الفاسد لسلامة الباقي، وحينئذٍ ستنعم الأمّة بالعدالة الاجتماعية والاقتصادية وستصل إلى البرّ المنشود، وسترسو سفينة البشرية إلى مرفأها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bookmarkStart w:id="54" w:name="pg7330_68850"/>
    </w:p>
    <w:p>
      <w:pPr>
        <w:pStyle w:val="Heading3"/>
        <w:numPr>
          <w:ilvl w:val="2"/>
          <w:numId w:val="1"/>
        </w:numPr>
        <w:rPr/>
      </w:pPr>
      <w:bookmarkStart w:id="55" w:name="__RefHeading___Toc1013513_1051229030"/>
      <w:bookmarkStart w:id="56" w:name="_Toc17"/>
      <w:bookmarkEnd w:id="54"/>
      <w:bookmarkEnd w:id="55"/>
      <w:r>
        <w:rPr>
          <w:rtl w:val="true"/>
        </w:rPr>
        <w:t>الفصل الثاني</w:t>
      </w:r>
      <w:r>
        <w:rPr>
          <w:rtl w:val="true"/>
        </w:rPr>
        <w:t xml:space="preserve">: </w:t>
      </w:r>
      <w:r>
        <w:rPr>
          <w:rtl w:val="true"/>
        </w:rPr>
        <w:t>آلية معرفة المنظومة المهدوية</w:t>
      </w:r>
      <w:bookmarkEnd w:id="5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 w:name="__RefHeading___Toc1013515_1051229030"/>
      <w:bookmarkStart w:id="58" w:name="_Toc18"/>
      <w:bookmarkEnd w:id="57"/>
      <w:r>
        <w:rPr>
          <w:rtl w:val="true"/>
        </w:rPr>
        <w:t>اشارة</w:t>
      </w:r>
      <w:bookmarkEnd w:id="5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ما من مدّع في عالم المعرفة إلاَّ وله ما يظنّ أنَّه دليل وشاهد بيّن، فلا بدَّ من الإيمان بأنَّ الواقع والحقّ واحد ونرفض الواقعية النسبية وتعدّد الحقّ، وحينئذٍ لا معنى لحقّانية المقالتين المتنافيتين، والعقل قادر على تمييز الحقّ من الباطل، والصحيح من الخطأ، والصدق من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تعتقد الشيعة بمسلك التخطئة دون التصويب بجميع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ففي دائرة الاجتهاد مثلاً لا نسلّم بإصابة الفتاوى المصادمة لعلم الله الواقعي، نعم لا مانع من الالتزام بالبراءة وفق الضوابط والموازين المحدَّدة في محلّها، وهذا غير إصابة ومطابقة الواقع، فالتزام فريقين ببراءة الذمّة عند العمل بقولين مختلفين لاختلاف نظر مجتهدين لا يستدعي واقعيتهما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الدليل الكاشف عن الخارج الأعم من المحسوس ليس على وتيرة واحدة، بل يتفاوت باختلاف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حسّياً وتجريبياً، وقد يكون تاريخياً وتراثياً، وقد يكون عقلياً بتحسين ذاتي وعقلي، وقد يكون نقلياً وغير ذلك كالعقلانية والإلهام والكشف، بل وإن أمكن للعقل ولو في بعض الموارد إدراك شيء بأدلّته وأساليبه وأدواته ومواطنه، فلا ضير من الالتزام بإرشادية النقل إلى المعقول، ولو تخالف المنقول مع المعقول، لزم تأويل المنقول ليوافق مفاد ومؤدّى العقل ويؤكّده، وإلاَّ ضُرب به عرض الجدار وكان من زُخرُف القول، وأمَّا ما لا يدخل في مِساحة إدراك العقل وتوقّف أدواته وأدلّته وعجزها عن إدراكه، فلا معنى للاستناد إلى عدم فهم العقل له للردّ عليه وإنكاره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حديث الوعي الديني غير حديث المعرفة، فالأوّل يتّكئ أساساً على الإيمان والإذعان والتسليم وانعقاد القلب والطُمأنينة، وقد تتَّفق هذه الحالة حتَّى عند غير العالم ويتولَّد من العقل العملي، وسبل تنشيط هذا العقل يكون عن طريق الدعاء والأذكار والأوراد، والعبرة والاتّعاظ وتهذيب النفس والتجنّب عن المحرّمات والمكروهات، والعمل بالمستحبّات، بينما الأخير منتَج العقل النظري فهو وليد إعداد المقدّمات النظرية وتنظيمها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رهن مواد الأقيسة وصورها، وتحصل عن طريق حضور المحافل العلمية والدرس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نرى أنَّ بعض المستشرقين يملك من المعلومات عن الدين الإسلامي الشيء الكثير، ولكنَّه لا يملك رصيداً في دائرة العقل العملي، فما يملكه من سمنة وتضخّم في العلم من دون وجود مسحة روحية ومعنوية مردّه إلى تفعيل العقل النظري دون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والإسلام الخالد باعتباره شريعة وحياة لمعرفة الطبيعة والمجتمع ومنظومة تؤمن ببعد الروح والجسد في الحقل الفردي والاجتماعي، بآفاقه المتداخلة وبأبعاده الغيبية والمرئية بحاجاته المادية والمعنوية، بموسوعيته من الثوابت والمتغيرات والتوقيفيات، وما يطرح من جديد في عصرنا من مستحدثات، أخذ بنظر الاعتبار مقتضيات الزمان والمكان، لذا كان لا بدَّ للإسلام من إيجاد علم يكفينا مؤونة منع العابثين من التلاعب والتحريف في تنظيرات الإسلام وحرف مسيرته، كما يضبط لنا عملية المعرفة اليقينية البرهانية، والإذعان به لمعرفة الكون والحياة من القيم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بأنَّ الغيب لا يمكن التعرّف عليه قول شططي ودعوى جزافية، وكذا القول بأنَّ المنظومة الدينية لاهوتية كهويّته التصديقية لا برهانية ممنوع، فالعلم الإسلامي نابع من العقل والوحي القرآني، وأنَّ </w:t>
      </w:r>
      <w:bookmarkStart w:id="59" w:name="pg7330_68857"/>
    </w:p>
    <w:p>
      <w:pPr>
        <w:pStyle w:val="BookText"/>
        <w:rPr/>
      </w:pPr>
      <w:bookmarkEnd w:id="59"/>
      <w:r>
        <w:rPr>
          <w:rFonts w:ascii="Amiri" w:hAnsi="Amiri" w:eastAsia="Amiri" w:cs="Amiri"/>
          <w:color w:val="111111"/>
          <w:sz w:val="28"/>
          <w:sz w:val="28"/>
          <w:szCs w:val="28"/>
          <w:rtl w:val="true"/>
          <w:lang w:bidi="ar-SA"/>
        </w:rPr>
        <w:t>السُنّة والفطرة والطبيعة كلّها منابع المعرفة الدينية تستحقّ الحديث عنها، مضافاً إلى الوقوف على الآليات المنشّطة للبعد السلوكي والوعي الديني، ولا بدَّ من الحديث عن كلّ واحدة من هذه المصادر المعرفية</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013517_1051229030"/>
      <w:bookmarkStart w:id="61" w:name="_Toc19"/>
      <w:bookmarkEnd w:id="60"/>
      <w:r>
        <w:rPr>
          <w:rtl w:val="true"/>
        </w:rPr>
        <w:t>المصدر المعرفي الأوّل</w:t>
      </w:r>
      <w:r>
        <w:rPr>
          <w:rtl w:val="true"/>
        </w:rPr>
        <w:t xml:space="preserve">: </w:t>
      </w:r>
      <w:r>
        <w:rPr>
          <w:rtl w:val="true"/>
        </w:rPr>
        <w:t>الدليل العقلي</w:t>
      </w:r>
      <w:r>
        <w:rPr>
          <w:rtl w:val="true"/>
        </w:rPr>
        <w:t>:</w:t>
      </w:r>
      <w:bookmarkEnd w:id="61"/>
    </w:p>
    <w:p>
      <w:pPr>
        <w:pStyle w:val="BookText"/>
        <w:rPr/>
      </w:pPr>
      <w:r>
        <w:rPr>
          <w:rFonts w:ascii="Amiri" w:hAnsi="Amiri" w:eastAsia="Amiri" w:cs="Amiri"/>
          <w:color w:val="111111"/>
          <w:sz w:val="28"/>
          <w:sz w:val="28"/>
          <w:szCs w:val="28"/>
          <w:rtl w:val="true"/>
          <w:lang w:bidi="ar-SA"/>
        </w:rPr>
        <w:t xml:space="preserve">وهو حكم العقل وإذعانه، إذ العقل قوّة تقوم بمهمّة إدراك الكلّيات والتمييز والتذكّر والكشف، في قبال إدراك الجزئيات والمحسوسات وغيرها، وعليه فالمعلومات التي تدخل تحت الهيمنة وإدراكات العقل لا بدَّ أن تكون قطعية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بديهية كانت أم 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الإدراك الظنّي فلا يسمّى عندنا إدراكاً عقلياً فإدراك الجزئي ليس إدراكاً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مساحة معرفة العقل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الحسن والقبح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أكان بمعنى الكمال والنقص، أم بمعنى الموافق والمخالف للطبع، وهو المسمّى عندهم بالمصلحة والمفسدة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فالعقل النظري يدرك ذلك، لأنَّها أمور واقعية أي لها واقع خارجي بقطع النظر عن الإدراك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الملازمات العقلية وتنظيم العلاقة بين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كالأمر بالشيء يقتضي وجوب مقدّمته، أو النهي عن 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وحكم العقل بالملازمة مقبول إذا كان قطعي النتيجة، وليس للعقل معرفة نفس الحكم الشرعي، لتوقيفيته، خلافاً للشافعية والأحناف القائلين بالاستحسان، وأيضاً ليس له معرفة ملاكات الأحكام لنفس النكتة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بحسب العقل النظري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العقل العملي أي التأديبات الصلاحية، فهو حكم العقلاء بالحسن والقبح بمعنى استحقاق فاعله المدح والذمّ عند العقلاء، ويقعان وصفين للأفعال الاختيارية، فهو محلّ الخلاف بين العدلية من الشيعة والمعتزلة، وبين الأشاعرة، حيث قال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الواجبات كلّها سمعية والعقل لا يوجب شيئاً ولا يقتضي تحسيناً ولا تقبيحاً، وهكذا لا يكشف شيئاً من الواقع كشفاً تحريكياً، فمعرفة الله تحصل بالعقل، وتجب بالسمع، بمعنى أنَّ العقل وإن كانت له قدرة التحصيل في معرفة الله إلاَّ أنَّ هذا الحكم لا يبلغ معرفة اللزوم إلاَّ بدليل السمع، فمع قطع النظر عن السمع والشرع لا يكون لمثل هذا الحكم محرّكية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بحث في أنَّ العقل العملي هل هو إدراك ما ينبغي أن يُعمل، أم هو قوّة الإذعان والإيمان؟</w:t>
      </w:r>
    </w:p>
    <w:p>
      <w:pPr>
        <w:pStyle w:val="BookText"/>
        <w:rPr/>
      </w:pPr>
      <w:r>
        <w:rPr>
          <w:rFonts w:ascii="Amiri" w:hAnsi="Amiri" w:eastAsia="Amiri" w:cs="Amiri"/>
          <w:color w:val="111111"/>
          <w:sz w:val="28"/>
          <w:sz w:val="28"/>
          <w:szCs w:val="28"/>
          <w:rtl w:val="true"/>
          <w:lang w:bidi="ar-SA"/>
        </w:rPr>
        <w:t>فهو على الأوّل من شعب الإدراك كالعقل النظري، إنَّما الفارق بينهما بالمتعلَّق إذ أحدهما مَدركه ما ينبغي أن يعمل، والآخر مَدركه ما ينبغي أن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على الثاني أي قوّة الإذعان والإيمان، فلا يكون من شعب الإدراك، وكيفما كان فحكم العقلاء بالحسن والقبح بمعنى استحقاق فاعله المدح والذمّ لا بدَّ له من خلفية وبنى تحتية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حكم العقل النظري بالحسن والقبح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بمعنى الكمال والنقص أم بمعنى الملائمة والمنافرة للطبع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ينتج حكم العقل العملي فيما إذا كان المُدرَك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 لا جزئياً، ولا تدخل في حكم العقل العملي الخُلُقيات والانفعاليات والعاديات، كما أنَّ للعقل العملي تحديد وظيفة المكلَّف عند فقدان الدليل، كقاعدة قبح العقاب بلا بيان، أو </w:t>
      </w:r>
    </w:p>
    <w:p>
      <w:pPr>
        <w:pStyle w:val="BookText"/>
        <w:rPr/>
      </w:pPr>
      <w:r>
        <w:rPr>
          <w:rFonts w:ascii="Amiri" w:hAnsi="Amiri" w:eastAsia="Amiri" w:cs="Amiri"/>
          <w:color w:val="111111"/>
          <w:sz w:val="28"/>
          <w:sz w:val="28"/>
          <w:szCs w:val="28"/>
          <w:rtl w:val="true"/>
          <w:lang w:bidi="ar-SA"/>
        </w:rPr>
        <w:t>قاعدة حقّ الطاعة، أو دفع الضرر المحتمل، أو وجوب شكر المنعم وقاعدة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حكم العقل ليس منتجاً دائماً ولا مرفوضاً دائماً، بل هو معتبر عندما يورث اليقين، لأنَّ حجّية القطع واليقين ذاتية، بل حجّية كلّ شيء تنتهي إليه، واستقلال العقل في إدراك بعض القواعد لا يؤول إلى الاستغناء عن الرسول والواسطة الإلهية، كما تظنّه البراهمة والحشوية، لأنَّ العقل لا يدرك جزيئات المصالح والمفاسد التوقيفية لما مرَّ من عدم قدرته على الإحاطة بملاكات الأحكام الشرعية فضلاً عن نفس الحكم الشرعي، والوحي لم يبيّن خصوص المتسالم العقلي بحيث يحمل ما ورد في الشريعة إرشاداً إلى حكم العقل مطرداً، بل حديث الوحي حديث في أفق الإرشاد وفي أفق التأسيس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فالوحي يتحرَّك في مساحة أوسع من مساحة العقل، كحديث الماضي والمستقبل، بل والحال أيضاً، وغير ذلك، ممَّا يكون فوق بُعد الزمان، كمعرفة وجود الذات المقدَّسة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نقول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الغيبة أي اخفاء الهوية، بل حتَّى الخفاء البصري، ليس ممتنعاً عقلاً، ولم يقدَّم لنا الخصم والمستغرب أيّ دليل على ذلك الاستغراب من امتناع حكم العقل بقبول الحقائق الخفية، نعم هي ظاهرة كونية وجودية غير مألوفة للعقل العادي الذي يقتصر على الظواهر الحسّية الصرفة، لكنَّها مألوفة للعقل العلمي الذي يتحرَّك في مداره بما هو أوسع من المحسوس الواضح المألوف وغير المألوف، فضلاً عن غير المحسوس، بل هي من الظواهر المتحقّقة، والوقوع خير </w:t>
      </w:r>
      <w:bookmarkStart w:id="62" w:name="pg7330_68863"/>
    </w:p>
    <w:p>
      <w:pPr>
        <w:pStyle w:val="BookText"/>
        <w:rPr/>
      </w:pPr>
      <w:bookmarkEnd w:id="62"/>
      <w:r>
        <w:rPr>
          <w:rFonts w:ascii="Amiri" w:hAnsi="Amiri" w:eastAsia="Amiri" w:cs="Amiri"/>
          <w:color w:val="111111"/>
          <w:sz w:val="28"/>
          <w:sz w:val="28"/>
          <w:szCs w:val="28"/>
          <w:rtl w:val="true"/>
          <w:lang w:bidi="ar-SA"/>
        </w:rPr>
        <w:t>دليل على الإمكان، فقد سجَّل العقل العلمي مشاهد كثيرة على وقوع ما هو مخفي للحواس، كما ضبطه علماء الطبيعيات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طول الحياة، ووصف البعض بأنَّها أسطورة وخرافة، فلا يساعد عليه العلم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رصد علم الجينات نتائج تدفع تلك الغرابة، وتحوّل الأسطورة إلى واقع مألوف، هذا مضافاً إلى أنَّ الغيبة ظاهرة كونية دينية خاضعة لقدرة الخالق وإرادته، كنقل عرش بلقيس، وخلق الملائكة والجنّ والعوالم والمعاجز على ما ذكرته الأدلّة السماوية، وأذعن لها جميع من انتمى إلى المدرسة الإلهية، إذ ليس هناك مدرسة دينية تنكر الأمور غير المحسوسة، وحكم الأمثال فيما يجوز وما لا يجوز واحد</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013519_1051229030"/>
      <w:bookmarkStart w:id="64" w:name="_Toc20"/>
      <w:bookmarkEnd w:id="63"/>
      <w:r>
        <w:rPr>
          <w:rtl w:val="true"/>
        </w:rPr>
        <w:t>المصدر المعرفي الثاني</w:t>
      </w:r>
      <w:r>
        <w:rPr>
          <w:rtl w:val="true"/>
        </w:rPr>
        <w:t xml:space="preserve">: </w:t>
      </w:r>
      <w:r>
        <w:rPr>
          <w:rtl w:val="true"/>
        </w:rPr>
        <w:t>القرآن الكريم</w:t>
      </w:r>
      <w:r>
        <w:rPr>
          <w:rtl w:val="true"/>
        </w:rPr>
        <w:t>:</w:t>
      </w:r>
      <w:bookmarkEnd w:id="6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الكتاب الإلهي المعجز، الخالد بمعناه العميق الموافق للوجدان والفطرة والعقل، المذهل لأمهر الحكماء، والفلاسفة، والمشرّعين، وخرّيتي الفنون، بتحديه الصارخ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تحدّى القرآن قوّة الملوك، وعلم أحبار اليهود، وقساوسة النصارى، وبلغاء العرب وفصحاءهم، وعبّاد الأوثان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فبعدما بلغ العرب كمال وجزالة النظم، ووفاء اللفظ، ورعاية المقام، وسهولة المنطق فيه، تحدّاهم القرآن بما يثير الحمية ويوقد نار الأنفة والعصبية فيهم، وتحدّاهم في الغرور ببضاعتهم، والاستكبار عن الخضوع للغير في صناعتهم، بل طالت مدّة </w:t>
      </w:r>
      <w:bookmarkStart w:id="65" w:name="pg7330_68865"/>
    </w:p>
    <w:p>
      <w:pPr>
        <w:pStyle w:val="BookText"/>
        <w:rPr/>
      </w:pPr>
      <w:bookmarkEnd w:id="65"/>
      <w:r>
        <w:rPr>
          <w:rFonts w:ascii="Amiri" w:hAnsi="Amiri" w:eastAsia="Amiri" w:cs="Amiri"/>
          <w:color w:val="111111"/>
          <w:sz w:val="28"/>
          <w:sz w:val="28"/>
          <w:szCs w:val="28"/>
          <w:rtl w:val="true"/>
          <w:lang w:bidi="ar-SA"/>
        </w:rPr>
        <w:t xml:space="preserve">التحدّي، وتمادى زمان الاستنهاض، فلم يجيبوه إلاَّ بالتجافي، ولم يزدادوا إلاَّ عجزاً، ولم يكن منهم إلاَّ الاستخفاء والهزيمة، وتحدّاهم بالموجود بأنَّه لا اختلاف فيه، إذ لو كان من عند غير الله لاختلف النظم في الحسن والبهاء، والقول في الشداقة والبلاغة والمعنى من حيث الفساد والصحَّة ومن حيث الإتقان والمتانة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تحدّاهم بالأخبار لقصصه، وعذوبة الأمثلة، ورفعة التشريع، ومنتهى القيم، فانهزم بعض، وأذعن آخر، وسكت ثالث، والنتيجة أنَّه لم يصمد منافس</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013521_1051229030"/>
      <w:bookmarkStart w:id="67" w:name="_Toc21"/>
      <w:bookmarkEnd w:id="66"/>
      <w:r>
        <w:rPr>
          <w:rtl w:val="true"/>
        </w:rPr>
        <w:t>خصائص القرآن</w:t>
      </w:r>
      <w:r>
        <w:rPr>
          <w:rtl w:val="true"/>
        </w:rPr>
        <w:t>:</w:t>
      </w:r>
      <w:bookmarkEnd w:id="67"/>
    </w:p>
    <w:p>
      <w:pPr>
        <w:pStyle w:val="BookText"/>
        <w:rPr/>
      </w:pPr>
      <w:r>
        <w:rPr>
          <w:rFonts w:ascii="Amiri" w:hAnsi="Amiri" w:eastAsia="Amiri" w:cs="Amiri"/>
          <w:color w:val="111111"/>
          <w:sz w:val="28"/>
          <w:sz w:val="28"/>
          <w:szCs w:val="28"/>
          <w:rtl w:val="true"/>
          <w:lang w:bidi="ar-SA"/>
        </w:rPr>
        <w:t>ولنتحدَّث في بعض خصائص القرآن من الزاوية المقصودة لمن أراد أن يفهم القرآن، فلا بدَّ له من الاستعانة ببعض المقدّمات والأصول المقرَّرة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أنَّه محفوظ من التحريف بجميع أنواعه، فهو مسدَّد عن التلاعب والتغيّر والتبديل، وأنَّ الكتاب الذي بين أيدينا هو النازل على صدر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تبديل في أوصافه الكريمة، وآثاره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وَلا مِنْ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فهو قطعي الصدور، فلا مجال للبحث السندي فيه، وأنَّ القول بتحريفه خرافة ووهم لا يتفوَّه به إلاَّ ضعيف العقل ومن لا حظَّ له بأدنى المعارف، أو منحاز عن جادة الحقّ لعصبية، إذ الحبّ يعمي ويصم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أنَّ القرآن منه ما هو نصّ صريح، ومنه ما هو ظاهر، بمعنى </w:t>
      </w:r>
    </w:p>
    <w:p>
      <w:pPr>
        <w:pStyle w:val="BookText"/>
        <w:rPr/>
      </w:pPr>
      <w:r>
        <w:rPr>
          <w:rFonts w:ascii="Amiri" w:hAnsi="Amiri" w:eastAsia="Amiri" w:cs="Amiri"/>
          <w:color w:val="111111"/>
          <w:sz w:val="28"/>
          <w:sz w:val="28"/>
          <w:szCs w:val="28"/>
          <w:rtl w:val="true"/>
          <w:lang w:bidi="ar-SA"/>
        </w:rPr>
        <w:t>يحتمل إرادة الخلاف منه، بيد أنَّه بحاجة إلى القرينة التي مع فقدانها يحمل على ما هو الظاهر للسيرة العقلائية الممضاة من الشارع، وللتحاكمات العرفية في الرجوع إليه، ومنه ما هو متشابه يحتمل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كلاً من النصّ والظاهر هو من محكم القول، ولا تحفّظ ولا خلاف في الاعتماد على النصّ، وأمَّا الظاهر فهو معتمد أيضاً،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بطريقة مخترعة لإفهام مقاصده وإيصالها، وإنَّما تكلَّم مع قومه بما هو متعارف عندهم من طرق وأساليب للتفاهم والتخاطب، وإلاَّ لبانت لنا طريقته لو كانت، فإنَّه قد تكلَّم بلسان عربي مبين، وحثَّهم على التدبّر ولزوم العمل بما في الكتاب، ولزوم عرض الروايات على الكتاب، واستدلال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ومن المعلوم أنَّ الأخذ بالظاهر لا يعد من التفسير بالرأي، وإنَّما هو تفسير بما يفهمه العرف من اللفظ بعد الفحص عن القرائن المتّصلة والمنفصلة من الكتاب والسُنّة والعقل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النسخ، لا خلاف عند الكلّ في وقوع النسخ، فإنَّ كثيراً من أحكام الشرائع السابقة قد نسخت بأحكام الشريعة الإسلاميّة، وإنَّ جملة من أحكام هذه الشريعة قد نسخت بأحكام من نفس هذه الشريعة أيضاً، كحكم التوجّه إلى القبلة، فالمهمّ هل أنَّ هناك شيئاً من أحكام القرآن منسوخاً بالقرآن، أو بالسُنّة القطعية، أو بالإجماع، أو بالعقل القطعي؟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الحكم الثابت بالقرآن يُنسخ بالسُنّة المتواترة والإجماع، ولا محذور في ذلك، لا من جانب النقل ولا من جانب العقل، وهكذا الحكم الثابت بالقرآن ينسخ بآية أخرى منه، شريطة أن </w:t>
      </w:r>
    </w:p>
    <w:p>
      <w:pPr>
        <w:pStyle w:val="BookText"/>
        <w:rPr/>
      </w:pPr>
      <w:r>
        <w:rPr>
          <w:rFonts w:ascii="Amiri" w:hAnsi="Amiri" w:eastAsia="Amiri" w:cs="Amiri"/>
          <w:color w:val="111111"/>
          <w:sz w:val="28"/>
          <w:sz w:val="28"/>
          <w:szCs w:val="28"/>
          <w:rtl w:val="true"/>
          <w:lang w:bidi="ar-SA"/>
        </w:rPr>
        <w:t xml:space="preserve">يكون الحكم في الآية الناسخة ناظراً إلى الحكم المنسوخ ومبيّناً ورافعاً، كما في آية النجوى، ولكن الحكم الثابت بالقرآن لا ينسخ بآية أخرى غير ناظرة إلى الحكم المنسوخ، وهذا القسم غير واقع، وهكذا نسخ القرآن بخبر الآحاد، وإن أخطأ البعض في تصويره، فتوهَّم وقوع النسخ في التعارض البدوي، مع أنَّ التعارض البدوي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كالعامّ والخاصّ والمطلق والمقيَّد والحاكم والمحكوم والوارد والمورود والمجمل والمبيَّن والحقيقة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النسخ في شيء، كما بُيّن وثبت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قواعد الجمع العرفي، والتي يمكن الاستعانة بها في فهم القرآن، فتخصيص العموم والاطلاق القرآني بخبر الآحاد لا مانع منه، لأنَّ الدليل الخاصّ قرينة لإيضاح المعنى المقصود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القرآن محكم ومتشابه من حيث المدلول، فلا بدَّ من ارجاع المتشابه إلى المحكم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التأويل في القرآن هو حقيقة واقعية تستند إليها البيانات القرآنية من حكم أو موعظة أو حِكمة، وأنَّ التأويل ثابت لجميع الآيات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محكمها ومتشابهها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هو من المفاهيم المدلول عليها بالألفاظ، بل هو من الأمور الغيبية المترفعة من إحاطة الألفاظ بها، وإنَّما قيَّدها الله سبحانه بقيد الألفاظ لتقريبها للأذهان، فهي كالأمثال تضرب لتقريب المقاصد بها وتوضّح بحسب ما يناسب فهم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والتأويل على صورتين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التأويل الفاسد الذي يمارسه أهل الزيغ والضلال، حيث يأخذون المتشابهات من دون المحكمات، ويؤوّلون حسبَ آرائهم واعتقاداتهم من دون الرجوع والاعتماد على الأصول المقرَّرة في محلّها، </w:t>
      </w:r>
    </w:p>
    <w:p>
      <w:pPr>
        <w:pStyle w:val="BookText"/>
        <w:rPr/>
      </w:pPr>
      <w:r>
        <w:rPr>
          <w:rFonts w:ascii="Amiri" w:hAnsi="Amiri" w:eastAsia="Amiri" w:cs="Amiri"/>
          <w:color w:val="111111"/>
          <w:sz w:val="28"/>
          <w:sz w:val="28"/>
          <w:szCs w:val="28"/>
          <w:rtl w:val="true"/>
          <w:lang w:bidi="ar-SA"/>
        </w:rPr>
        <w:t>التي تصالح عليها أهل الحوار في محاوراتهم، ولعلَّ منه التفسير بالرأي المنهي عنه في الروايات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والتأويل الصحيح والصائب، وهو الذي يمارسه أهل الحقّ حيث يأخذون المحكم أصلاً والمتشابه فرعاً، فيجمعون بينهما، وهو بدوره أيضاً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من التأويل مستند إلى قانون اللغة والمنطق والعرف العامّ والمنتج عن طريق التدبّر، كما في الآيات المشتملة على جمل متشابهة كآيات التجسيم والتحيّز والإمكان والحدوث وصفات الممكن، أو كالآيات التي ظاهرها التنافي، كإسناد الموت إلى الله وإلى الملائكة، أو آيات الجبر والتفويض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فرض التسليم أنَّ هذا قسم من التأويل، فهو شأن المتخصّص، يقوم به ويمارسه بعد استفراغ الوسع في الفحص وبعد تحصيله على ملكات العلوم التي لها دخل في استظهار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 من التأويل الصحيح هو شعبة من شعب الغيب، وهذا القسم يختصُّ بالراسخين في العلم، وهم الرسول والأئمّة الأطهار حصراً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يتفاوت الفهم للقرآن ولا يضرّ ذلك في كونه آلة معرفية وكاشفة وحاكمة؟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خطر في المنهج المعرفي لفهم القرآني، حيث إنَّ هناك جملة من الاتّجاهات الفلسفية، والكلامية، والعرفانية، والعلوم الطبيعية المتوغّلة أو المتولّعة بالنزعة الاجتماعية، التي حاولت حمل آرائها على التفسير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فهنا مسلكان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استكشاف مدلول الآية متجرّداً عن خلفياته العلمية والثقافية، فيدخل ساحة التفسير وهو خالٍ من كلّ فكرة، مع الاعتماد على آليات وقواعد معرفية للتفسير ملاكها عرفيتها، وليس له غرض إلاَّ فهم مدلول الآية، وحينئذٍ يكون دور العلوم النظرية الأخرى دور المؤيّد للنتيجة القرآنية، علماً أنَّ الظواهر أمور وجدانية لا برهانية، ونسبية لا نفسية، وعرفية لا ذاتية، نعم الإرادات الجدّية ملاكات تحتاج إلى ملاكات أخر غير ملاكات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الأوّل، فإنَّ المفسّر يحاول حمل الآية على خلفياته القبلية، فيكون دور القرآن تابعاً للنظرية، وهذا المنهج الخاطئ هو الذي استدعى إيجاد مثل هذه الفجوات، بحيث يكون فهم الظاهر القرآني عند طيف معيّن وصنف خاصّ، وبهذا يفقد القرآن قابليته العرفية، ويدخل في سياق القوالب الصنفية، نعم ربَّما لا يلتفت العرف إلى نكات تستدعي خطأ الفهم، إلاَّ أنَّه لو نبّه على تلك النكات الداخلية أو الخارجية لوصل إلى نفس الفهم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الخلاف لم يسلم منه أيّ منهج معرفي، لذا فليس الخطر في أصل دخوله عملية التفسير، وإنَّما المهمّ إيجاد الضوابط والموازين في تحديد المناهج المعرفية، فالقرآن لم ينزل ليكون كتاب طبيعيات، أو فلك، أو طبّ، أو تاريخ، بل هو كتاب هداية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من هذا أنَّ الغرض من التفسير هو كشف معنى اللفظ، وإظهاره في دائرة المنطوق أو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مدلولات لا تدخل في المفهوم، ولا في المنطوق اصطلاحاً، وتسمّى بالدلالة السياقية وهي على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دلالة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يكون المعنى مقصوداً للمتكلّم بحسب العرف، ويتوقَّف صدق الكلام أو صحَّته عقلاً أو شرعاً أو لغةً أو عادةً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دلالة الإيماء أيضاً، وهي أن تكون مقصودة للمتكلَّم بحسب العرف لسياق الكلام الذي به يقطع إرادة ذلك اللازم، أو يستبعد عدم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حجّة، إمَّا من جهة التفسير وإمَّا من جهة التأويل المغتفر الذي يصل إليه العرف بعد إعمال عناية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قسم من التأويل المنحصر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أمر متعلّق بالعلم الإلهي، وليس له دخل بالتحصيل والعلم الكسبي، فالعترة الطاهرة تارة يشاركون الناس في فهم القرآن اعتماداً على الظاهر، ودلالة الاقتضاء، والسياق، والإيماء، ونحو ذلك، وأخرى يختصَّون بالتأويل، لأنَّه من شعب العلم الغيبي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المتشابه ليس مفاده أن لا معنى له، بل له معنى من اللفظ، فلو لم يكن له معنى فما المقصود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فِي قُلُوبِهِمْ زَيْغٌ فَيَتَّبِعُونَ ما تَشابَهَ مِنْهُ ابْتِغاءَ الْفِتْنَةِ وَابْتِغاءَ تَأْوِيلِهِ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من التشابه هو التشابه في المصداق، بمعنى عدم معروفية المصداق مع وضوح المدلول المستعمل والمقصود من الآية الكريمة، بمعنى أنَّهم يتَّبعون المصداق الغيبي، كالكرسي، وقد يطلق المتشابه ويراد منه المجمل، بمعنى الذي لا ظهور له استعمالاً، وإن كان له ظهور واضحٌ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والباطنية والصوفية وأصحاب العقائد الفاسدة يستنتجون بواطن القرآن من دون الاعتماد على الأساليب اللغوية والعلمية، وإنَّما منهجهم محض التخرّص والتعويل على الظنون، والاستحسانات، وتحميل المباني المسبقة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يمكن الجمع بين طائفتين من الروايات، إذ أنَّ طائفة ترى اختصاص التفسير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وطائفة تعتقد أنَّ القرآن تبيان وهداية، فإنَّ الطائفة الأولى تشير إلى أنَّ تأويل القرآن والعلم الغيبي ومعرفة كلّ خصوصيات القرآن، إنَّما تحصل عن معرفة الوحي وما بحكمه، بينما الطائفة الثانية تشير إلى أنَّ ألفاظ القرآن ليست مجملة ولا مهملة، بل لها معنى، فحينئذٍ يشارك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 في علمهم بظاهر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ظاهرة الجري والانطباق في القرآن، والفارق بينها وبين التأويل وبين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فالقرآن المعجزة الأزلية والسرمدية، تسري أحكامه على كلّ الناس، وفي جميع العصور، فالآيات النازلة في حقّ البعض تسري في حقّ غيره عند توفّر الشروط، فمورد النزول إذا لم يكن مختصّاً بتلك الآية فهو شامل لغيره، وهو المقصود في الجري والتطبيق، أي انطباق الآية على أكمل المصاديق بواسطة الرجوع إلى رواية، إلاَّ أنَّه تبقى الآية على عمومها، فتحديد الآية بمصداق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ماضوي أو مستقبلي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يهدم عمومها وإنَّ المورد لا يخصّص الوارد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منهج التأويل، فإنَّ المراد الجدّي له ليس هو العموم، فيتحدَّد مصداقه الخارجي بمعونة الروايات ولا يبقى حينئذٍ عموم للآية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التفسير، فإنَّه يستكشف المراد الجدّي والتحديد من سياق الآية، ولتوضيح الفكرة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تفسير بعض الآيات روايات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أَنْ يُطْفِؤُا نُورَ اللَّهِ بِأَفْواهِهِمْ وَيَأْبَى اللَّهُ إِلاَّ أَنْ يُتِمَّ نُورَهُ وَلَوْ كَرِهَ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تفسير الآية أنَّه تعالى أخبر عن الكفّار من اليهود والنصارى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يُطْفِؤُا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القرآن والإسلام،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 إِلاَّ أَنْ يُتِمَّ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ويمنع الله إلاَّ أن يظهر أمر القرآن، وأمر الإسلام، وحجّته على التمام،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كره من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وحمّله الرسالات التي يؤدّيها إلى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بالحجج، والبيّنات، والدلائل، والبراهين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الإسلام، وما تضمَّنه من الشرائع التي يستحقّ عليها الجزاء بالثواب، وكلّ دين سواه باطل يستحقّ به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ليعلي دين الإسلام على جميع الأديان بالحجّة، والغلبة، والقهر لها، حتَّى لا يبقى على وجه الأرض دين إلاَّ مغلوباً، ولا يغلب أحد أهل الإسلام بالحجّة، وهم يغلبون أهل سائر الأديان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الظهور بالغلبة فهو أنَّ كلّ طائفة من المسلمين قد غلبوا على ناحية من نواحي أهل الشرك، ولحقهم قهر من جهتهم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عند نزول عيسى بن مريم، لا يبقى أهل دين إلاَّ أسلم، أو أدّى الجزية، عن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يكون عند خروج المهدي من آل محمّد، فلا يبقى أحد إلاَّ أقر بمحمّد</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سؤال المفضَّل عن تأويل الآية بعد أنف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أخبره بأنَّ بعض المسلمين يدّعون أنَّ الإسلام قد ظهر على الأديان كلّها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لو كان ظهر على الدين كلّه ما كان مجوسية ولا نصرانية ولا يهودية ولا صابئة ولا فرقة ولا خلاف ولا شكّ ولا شرك ولا عبدة أصنام ولا أوثان ولا اللات ولا العزى ولا عبدة الشمس ولا القمر ولا النجوم ولا النار ولا الحجارة، وإنَّما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اليوم وهذا المهدي وهذه الرجعة،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فالآية تشير إلى فكرة الوراثة للأرض على أنَّها ستتمّ لعباد الله الصالحين، فإنَّ القرآن يعرض نظرية هادفة متكاملة، فهو يلغي قانون المصادفة والعبث والجزاف، ويتحدَّث عن الكون والإنسان والطبيعة والمبدأ والمنتهى، ومسيرة السفراء والأنبياء وخصائصهم واختيارهم على سبيل الحكمة لا القرعة والمصادفة، فيطرح رؤية أنَّ الكون ينشأ من الصانع الحكيم الخبير، وأنَّ بداية الكون كانت قصَّة آدم، وستسير هذه القافلة إلى المعاد، وتحدَّث القرآن عن خاتمية الكون، والحكومة الربّانية، والوصول إلى الغاية المتوخاة، فالدولة الفاضلة حديث ومطلب قرآني وسماوي، تحدَّثت عنه الكتب السماوية الأخرى، ولا ضير في ذلك، كما أنَّ الحديث عن المبدأ قرآني وسماوي أيضاً، وإن تحدَّثت عنه الكتب السماوية والحكمية والكلامية، فالآية تصرّح بأنَّ هذا التخطيط له عمقه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التاريخي، ولم يكن وليد التقليد الإسلامي، فبذوره مغروسة منذ القدم في الذكر وفي الزبور</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وهكذا تحدَّث القرآن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الآية إشارة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الله سيجعل للمؤمنين مجتمعاً صالحاً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الله سيجعل المؤمنين خلفاء في الأرض، ويجعل دينهم ظاهراً وسائداً وغالباً وقاهراً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الأمّة تمرّ بمرحلة الخوف ثمّ تلحقها مرحلة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حُدَّد المصداق لهذه الآية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بمقتضى الروايات، إمَّا من جهة الجري أو من جهة التأويل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التحديد قد ورد لآيات أخرى، وفي موارد لروايات كثيرة،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وَنُمَكِّنَ لَهُمْ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روى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آل محمّد، يبعث الله مهديهم بعد جهدهم فيعزّهم ويذلّ عدوّهم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خَطِفَ الْخَطْفَةَ فَأَتْبَعَهُ شِهابٌ ثاقِبٌ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الصدوق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ليغيبنَّ عنكم مهديكم حتَّى يقول الجاهل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في آل محمّد حاجة</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وعنه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يقبل كالشهاب الثاقب فيملأها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 وسورة القدر وخلاصة آيات حتمية الظهور، وآيات الانتظار، والآيات التي تحدَّثت عن طبيعة الصراع بين الحقّ والباطل، والآيات التي تحدَّثت عن المحطّة الأخيرة للبشرية، فهي تدلُّ على أنَّ فكرة المهدي قرآنية، سواء أكان المنهج تفسيرياً يعلم بالتدبّر ودلالة السياق، أم تأويلياً يعلم بروايات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التطبيق أم على سبيل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المقصود ممَّا كتب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في القرآن، أو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وكيفما كان فإنَّ المنهج الذي اتَّخذته الشيعة في تفسير القرآن يختلف عن المنهج الذي اتَّخذه أبناء العامّة، فالشيعة ترى حجّية أقوال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التفسير، وأمَّا التابعون فهم كبقيّة المسلمين لا حجّية لأقوالهم إلاَّ ما ثبت أنَّه حديث نبوي عنهم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وتعتقد أيضاً بمقتضى حديث الثقلين ونحوه الثابتين بالتواتر أنَّ أقوال العترة هي تالية لأقوال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8" w:name="pg7330_68887"/>
    </w:p>
    <w:p>
      <w:pPr>
        <w:pStyle w:val="Heading4"/>
        <w:numPr>
          <w:ilvl w:val="3"/>
          <w:numId w:val="1"/>
        </w:numPr>
        <w:rPr/>
      </w:pPr>
      <w:bookmarkStart w:id="69" w:name="__RefHeading___Toc1013523_1051229030"/>
      <w:bookmarkStart w:id="70" w:name="_Toc22"/>
      <w:bookmarkEnd w:id="68"/>
      <w:bookmarkEnd w:id="69"/>
      <w:r>
        <w:rPr>
          <w:rtl w:val="true"/>
        </w:rPr>
        <w:t>طبقات المفسّرين</w:t>
      </w:r>
      <w:r>
        <w:rPr>
          <w:rtl w:val="true"/>
        </w:rPr>
        <w:t>:</w:t>
      </w:r>
      <w:bookmarkEnd w:id="70"/>
    </w:p>
    <w:p>
      <w:pPr>
        <w:pStyle w:val="BookText"/>
        <w:rPr/>
      </w:pPr>
      <w:r>
        <w:rPr>
          <w:rFonts w:ascii="Amiri" w:hAnsi="Amiri" w:eastAsia="Amiri" w:cs="Amiri"/>
          <w:color w:val="111111"/>
          <w:sz w:val="28"/>
          <w:sz w:val="28"/>
          <w:szCs w:val="28"/>
          <w:rtl w:val="true"/>
          <w:lang w:bidi="ar-SA"/>
        </w:rPr>
        <w:t>فكانت طبقات المفسّرين عند الشيعة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رووا أحاديث التفسير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كزرارة، ومحمّد بن مسلم، ونحوهم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المؤلّفون الأوائل في التفسير، كفرات الكوفي، وأبي حمزة الثمالي، والعياشي، وعلي بن إبراهيم القمي، والنعماني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وطريقة هؤلاء أن يرووا الأحاديث مع ذكر الأسانيد، ولم يبدوا آراءَهم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العلوم المختلفة، كالشريف الرضي في تفسيره الأدبي، والطوسي في تفسيره الكلامي، والشيرازي في تفسيره الفلسفي، والكونابادي في تفسيره الصوفي، والطبري الشيعي في تفسيره الجامع لفنون عديدة، كاللغة والنحو والكلام والحديث</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013525_1051229030"/>
      <w:bookmarkStart w:id="72" w:name="_Toc23"/>
      <w:bookmarkEnd w:id="71"/>
      <w:r>
        <w:rPr>
          <w:rtl w:val="true"/>
        </w:rPr>
        <w:t>المصدر المعرفي الثالث</w:t>
      </w:r>
      <w:r>
        <w:rPr>
          <w:rtl w:val="true"/>
        </w:rPr>
        <w:t xml:space="preserve">: </w:t>
      </w:r>
      <w:r>
        <w:rPr>
          <w:rtl w:val="true"/>
        </w:rPr>
        <w:t>السُنّة الشريفة</w:t>
      </w:r>
      <w:r>
        <w:rPr>
          <w:rtl w:val="true"/>
        </w:rPr>
        <w:t>:</w:t>
      </w:r>
      <w:bookmarkEnd w:id="7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مصدر للثقافة الإسلاميّة كالقرآن الكريم، فقد تناولت السُنّة الشريفة جميع الشؤون الإسلاميّة، وأمدَّت الفكر بالنِتاجات الغنيّة والابداع، وستبقى السُنّة إلى جانب القرآن مصدراً غنياً بتلك الثروة العطرة التي تتوّج الإسلام بالخلود والبقاء حتَّى يرث الله الأرض ومن عليها، ولا فرق بين الكتاب الكريم والسُنّة من جهة صدورهما من منبع الوحي، وأنَّهما نوران انبثقا من مصدر واحد</w:t>
      </w:r>
      <w:r>
        <w:rPr>
          <w:rFonts w:eastAsia="Amiri" w:cs="Amiri" w:ascii="Amiri" w:hAnsi="Amiri"/>
          <w:color w:val="111111"/>
          <w:sz w:val="28"/>
          <w:szCs w:val="28"/>
          <w:rtl w:val="true"/>
          <w:lang w:bidi="ar-SA"/>
        </w:rPr>
        <w:t xml:space="preserve">. </w:t>
      </w:r>
      <w:bookmarkStart w:id="73" w:name="pg7330_68889"/>
    </w:p>
    <w:p>
      <w:pPr>
        <w:pStyle w:val="Heading4"/>
        <w:numPr>
          <w:ilvl w:val="3"/>
          <w:numId w:val="1"/>
        </w:numPr>
        <w:rPr/>
      </w:pPr>
      <w:bookmarkStart w:id="74" w:name="__RefHeading___Toc1013527_1051229030"/>
      <w:bookmarkStart w:id="75" w:name="_Toc24"/>
      <w:bookmarkEnd w:id="73"/>
      <w:bookmarkEnd w:id="74"/>
      <w:r>
        <w:rPr>
          <w:rtl w:val="true"/>
        </w:rPr>
        <w:t>الفوارق بين القرآن والسُنّة</w:t>
      </w:r>
      <w:r>
        <w:rPr>
          <w:rtl w:val="true"/>
        </w:rPr>
        <w:t>:</w:t>
      </w:r>
      <w:bookmarkEnd w:id="75"/>
    </w:p>
    <w:p>
      <w:pPr>
        <w:pStyle w:val="Heading5"/>
        <w:numPr>
          <w:ilvl w:val="4"/>
          <w:numId w:val="1"/>
        </w:numPr>
        <w:rPr/>
      </w:pPr>
      <w:bookmarkStart w:id="76" w:name="__RefHeading___Toc1013529_1051229030"/>
      <w:bookmarkStart w:id="77" w:name="_Toc25"/>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ولكنَّهما يختلفان في فوارق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إحدى غايات القرآن هي الإعجاز وروح التحدّي، وأمَّا السُنّة فهي وإن كان فيها إعجاز إلاَّ أنَّه في تشريعها ومغيّباتها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ألفاظ الكتاب الكريم كمعانيه نزلت من لدن الله تعالى، بخلاف ألفاظ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سند القرآن قطعي، بينما السُنّة ليست قطعية الصدور عدا المتواتر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القرآن في الغالب ناظر إلى أصل التشريع، وتأسيس القواعد العامّة بحسب الإرادات الاستعمالية التي تكون مرجعاً عند الشكّ في بعض الخصوصيات، فهو يذكر الأحكام الكلّية التي تحتاج إلى التفصيل والبيان، فيكون دور السُنّة هو التفصيل والبيان، فالإطلاق القرآني لا ينتج إلاَّ بعد الفحص عن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احتضن المجتمع الإسلامي اتّجاهين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اتّجاه أبناء العامّة وبنيته الفكرية مقولة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ترجمت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هو القرآن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فالتشريع يُستنتَج من القرآن فقط، ويُزهد بالسُنّة الشريفة، أو يجعلها محض المؤيّد والتشرّف والتبرّك والتيمّن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اتّجاه الغلو في الحديث وارتضائه بأيّ طريق، فلا ميزان يحدّد السُنّة، فالسُنّة هي المقدَّمة، وهو بالتالي نكوص على هذه الأدوات المعرفية من التحقيق في السند ومعالجة المعارض والوقوف على القرائن وغير ذلك، ممَّا سيأتي التعرّض إليها، فيوجب سقوط </w:t>
      </w:r>
      <w:bookmarkStart w:id="78" w:name="pg7330_68890"/>
    </w:p>
    <w:p>
      <w:pPr>
        <w:pStyle w:val="BookText"/>
        <w:rPr/>
      </w:pPr>
      <w:bookmarkEnd w:id="78"/>
      <w:r>
        <w:rPr>
          <w:rFonts w:ascii="Amiri" w:hAnsi="Amiri" w:eastAsia="Amiri" w:cs="Amiri"/>
          <w:color w:val="111111"/>
          <w:sz w:val="28"/>
          <w:sz w:val="28"/>
          <w:szCs w:val="28"/>
          <w:rtl w:val="true"/>
          <w:lang w:bidi="ar-SA"/>
        </w:rPr>
        <w:t>الضروري العقلي أو القرآني، وسيأتي موقفنا اتّجاه الحديث الموضوع، والضعيف، والشاذ، والنادر، والمخالف للضروري، ونحوه، وهكذا إبراز وسائل تحفظ السُنّة، وأدوات للإحاطة بها، وأبواب المعالجات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الحديث عن السُنّة في نقاط مع مراعاة الاختصار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ما هو الدليل على أنَّ السُنّة أداة معرفية للإسلام تشريعياً وعقائدياً وأخلاقياً؟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التعاضد بين القرآن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بعض الشبهات النافية لآليتها المعرفية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كيف نستكشف السُنّة النبوية في معالم المدرستين، على فرض التسليم بأنَّ الآخر مدرسة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ظاهرة الاجتهاد في فاعلية السُنّة وديموميَّتها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أطروحة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1013531_1051229030"/>
      <w:bookmarkStart w:id="80" w:name="_Toc26"/>
      <w:bookmarkEnd w:id="79"/>
      <w:r>
        <w:rPr/>
        <w:t>1</w:t>
      </w:r>
      <w:r>
        <w:rPr>
          <w:rtl w:val="true"/>
        </w:rPr>
        <w:t xml:space="preserve"> - </w:t>
      </w:r>
      <w:r>
        <w:rPr>
          <w:rtl w:val="true"/>
        </w:rPr>
        <w:t>أدلة معرفية السُنّة</w:t>
      </w:r>
      <w:r>
        <w:rPr>
          <w:rtl w:val="true"/>
        </w:rPr>
        <w:t>:</w:t>
      </w:r>
      <w:bookmarkEnd w:id="80"/>
    </w:p>
    <w:p>
      <w:pPr>
        <w:pStyle w:val="BookText"/>
        <w:rPr/>
      </w:pPr>
      <w:r>
        <w:rPr>
          <w:rFonts w:ascii="Amiri" w:hAnsi="Amiri" w:eastAsia="Amiri" w:cs="Amiri"/>
          <w:color w:val="111111"/>
          <w:sz w:val="28"/>
          <w:sz w:val="28"/>
          <w:szCs w:val="28"/>
          <w:rtl w:val="true"/>
          <w:lang w:bidi="ar-SA"/>
        </w:rPr>
        <w:t xml:space="preserve">اتَّفق المسلمون كافّة على الأخذ بالسُنّة النبوية الشريفة من مفسّرين، ومتكلّمين، وفقهاء، وغيرهم على أنَّ السُنّة مصدر معرفي، ومنهج لكشف الحقائق الدينية، وإن كان في حقب زمنية ماضية وجد من اكتفى بالقرآن كما تقدَّم في الاتّجاهات التي احتضنها الإسلام، ويكافئ القرآن الكريم في كونه مصدراً كذلك، ودليله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مضافاً إلى الإجماع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ورد في الآيات الكثيرة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الآية قد أمرت بلزوم الاستجابة للرسول، </w:t>
      </w:r>
    </w:p>
    <w:p>
      <w:pPr>
        <w:pStyle w:val="BookText"/>
        <w:rPr/>
      </w:pPr>
      <w:r>
        <w:rPr>
          <w:rFonts w:ascii="Amiri" w:hAnsi="Amiri" w:eastAsia="Amiri" w:cs="Amiri"/>
          <w:color w:val="111111"/>
          <w:sz w:val="28"/>
          <w:sz w:val="28"/>
          <w:szCs w:val="28"/>
          <w:rtl w:val="true"/>
          <w:lang w:bidi="ar-SA"/>
        </w:rPr>
        <w:t xml:space="preserve">فهي سواء حملت بمعنى الإرشادية أو المولوية، فإنَّها كفيلة بأنَّ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هذا مضافاً إلى أنَّ جعل الرسول عدلاً في لزوم الاستجابة لله فيه من المدلول ما يثبت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فالآية الكريمة تفيد جملة من الفوائد،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مسدَّد بتسديد عصمي إذ من البعيد أن يكون الثناء الوارد لمحض بيان المقام التكريمي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الظاهر منها التنبيه على أنَّ كلّ ما يتلفَّظه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وحي سماوي، ومصدر معرفي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يَعْصِ اللَّهَ وَرَسُولَهُ فَإِنَّ لَهُ نارَ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وتقريب الاستدلال بهذه الآية واضح حيث جعلت مخالفة النبيّ كمخالفة الله تعالى، وإنَّها تستدعي العقاب الأخروي المشدَّد، فنستفيد لابدّية الأخذ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وبمقتضى إطلاقها فإنَّ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 ومعتبَر في فنون شتّى، وهذا خير شاهد على لابدّية قبول قول النبيّ وفعله وتقريره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فالآية قرنت طاعة الرسول بطاعة الله وبسياق واحد، مع تكرار الفعل وما ذلك إلاَّ للتأكيد على لزوم الأخذ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وطاعته وكون سُنَّته مصدراً معرفياً، فالآية تشير إلى الاستقلالية، وربَّما يصلح شاهداً على ثبوت الولاية التشريعية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الدال على التحكيم الذي هو فرع قبول الحكم، فيتعدّى إلى غيره من الأحكام ونحوها بعدم القول بالفصل أو إلغاء الخصوصية</w:t>
      </w:r>
      <w:r>
        <w:rPr>
          <w:rFonts w:eastAsia="Amiri" w:cs="Amiri" w:ascii="Amiri" w:hAnsi="Amiri"/>
          <w:color w:val="111111"/>
          <w:sz w:val="28"/>
          <w:szCs w:val="28"/>
          <w:rtl w:val="true"/>
          <w:lang w:bidi="ar-SA"/>
        </w:rPr>
        <w:t xml:space="preserve">. </w:t>
      </w:r>
      <w:bookmarkStart w:id="81" w:name="pg7330_68894"/>
    </w:p>
    <w:p>
      <w:pPr>
        <w:pStyle w:val="BookText"/>
        <w:rPr/>
      </w:pPr>
      <w:bookmarkEnd w:id="81"/>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تَعالَوْا إِلى ما أَنْزَلَ اللَّهُ وَإِلَى الرَّسُولِ رَأَيْتَ الْمُنافِقِينَ يَصُدُّونَ عَنْكَ صُدُوداً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حاجة للوقوف على فقه الآيات بعد وضوح المطلب، لاسيّما على مبنى عصمة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علمه ليس كاجتهاد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بعض الآراء تحتاج إلى توضيح الاستدلال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فالحجّية في السُنّة المتَّبعة ليست بمعنى الكشف، والإظهار، والطريقية، والدلالة على الحكم الشرعي، بل هي ثبوت الشريعة وأحكامها، مثل حجّية العلم الذي هو الانكشاف، والوضوح، والظهور، وهو المراد من حجّية الكتاب، لأنَّ السُنّة هي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فعله أو تقريره وكذلك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وفرق بينها وبين الدليل عليها، فالرسول حاكم كما أنَّ الله تعالى حاكم، إلاَّ أنَّ الله تعالى هو الحاكم بالأصالة والرسول حاكم بالتبع لإرادة الخالق، فحكم الرسول حكم شرعي يكشف عن التشريع ككشف العلم عن معلومه، لا ككشف الدليل عن مدلوله،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بنفسه حكم شرعي، وليس موصلاً إليه وواسطة في الإثبات، بل هو واسطة في الثبوت، ويتفرَّع على هذه التفرقة آثار كلامية مهمّة جدَّاً</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1013533_1051229030"/>
      <w:bookmarkStart w:id="83" w:name="_Toc27"/>
      <w:bookmarkEnd w:id="82"/>
      <w:r>
        <w:rPr/>
        <w:t>2</w:t>
      </w:r>
      <w:r>
        <w:rPr>
          <w:rtl w:val="true"/>
        </w:rPr>
        <w:t xml:space="preserve"> - </w:t>
      </w:r>
      <w:r>
        <w:rPr>
          <w:rtl w:val="true"/>
        </w:rPr>
        <w:t>التعاضد بين القرآن والسُنّة والتأثير المتبادل بينهما</w:t>
      </w:r>
      <w:r>
        <w:rPr>
          <w:rtl w:val="true"/>
        </w:rPr>
        <w:t>:</w:t>
      </w:r>
      <w:bookmarkEnd w:id="83"/>
    </w:p>
    <w:p>
      <w:pPr>
        <w:pStyle w:val="BookText"/>
        <w:rPr/>
      </w:pPr>
      <w:r>
        <w:rPr>
          <w:rFonts w:ascii="Amiri" w:hAnsi="Amiri" w:eastAsia="Amiri" w:cs="Amiri"/>
          <w:color w:val="111111"/>
          <w:sz w:val="28"/>
          <w:sz w:val="28"/>
          <w:szCs w:val="28"/>
          <w:rtl w:val="true"/>
          <w:lang w:bidi="ar-SA"/>
        </w:rPr>
        <w:t>وهذا التعاضد تارة يكون في مجال الحجّية، وأخرى في مجال التحديد والتضييق</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أنَّ القرآن مصدر بنصّ الوحي وتأكيده، </w:t>
      </w:r>
      <w:bookmarkStart w:id="84" w:name="pg7330_68896"/>
    </w:p>
    <w:p>
      <w:pPr>
        <w:pStyle w:val="BookText"/>
        <w:rPr/>
      </w:pPr>
      <w:bookmarkEnd w:id="84"/>
      <w:r>
        <w:rPr>
          <w:rFonts w:ascii="Amiri" w:hAnsi="Amiri" w:eastAsia="Amiri" w:cs="Amiri"/>
          <w:color w:val="111111"/>
          <w:sz w:val="28"/>
          <w:sz w:val="28"/>
          <w:szCs w:val="28"/>
          <w:rtl w:val="true"/>
          <w:lang w:bidi="ar-SA"/>
        </w:rPr>
        <w:t xml:space="preserve">والقرآن أقوى الأدلّة على حجّية الرسالة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القول والعمل، فحجّية السُنّة مستمدَّة من الكتاب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من حيث تأثير الحديث على القرآن، فالحديث إن توافق مع القرآن كان من الدعم والتأييد، وإلاَّ كان من التأثير والتحديد والتقويض، وعليه فالمرجعية للقرآن، لكن وظيفة الحديث تفسير وتبيان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من حيث تأثير القرآن على الحديث، فالحديث المخالف للقرآن تارة تكون المخالفة مستقرّة، أي مخالفة لنصوص القرآن الواضحة، أو أحكامه المتَّفق عليها، فيكون الحديث من زخرف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المخالفة غير مستقرّة، كما لو كان الحديث بياناً لتفصيل التشريع، بزيادة قيد، أو شرط، أو نحو ذلك، فيكون الحديث قرينة للظهور القرآني كالأحاديث المبيّنة لشرائط وقيود البيع فهذه تكون قرينة 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والسُنّة مع القرآن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موافقة له من كلّ وجه فيكون توارد القرآن والسُنّة على الحكم الواحد من باب توارد الأدلّة وتظافرها،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بياناً لما أريد بالقرآن وتفسيراً له،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موجبة لحكم سكت القرآن عن إيجابه أو محرّمة لما سكت عن تحريمه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1013535_1051229030"/>
      <w:bookmarkStart w:id="86" w:name="_Toc28"/>
      <w:bookmarkEnd w:id="85"/>
      <w:r>
        <w:rPr/>
        <w:t>3</w:t>
      </w:r>
      <w:r>
        <w:rPr>
          <w:rtl w:val="true"/>
        </w:rPr>
        <w:t xml:space="preserve"> - </w:t>
      </w:r>
      <w:r>
        <w:rPr>
          <w:rtl w:val="true"/>
        </w:rPr>
        <w:t>بعض الشبهات النافية للآلية المعرفية للسُنّة</w:t>
      </w:r>
      <w:r>
        <w:rPr>
          <w:rtl w:val="true"/>
        </w:rPr>
        <w:t>:</w:t>
      </w:r>
      <w:bookmarkEnd w:id="86"/>
    </w:p>
    <w:p>
      <w:pPr>
        <w:pStyle w:val="Heading6"/>
        <w:numPr>
          <w:ilvl w:val="5"/>
          <w:numId w:val="1"/>
        </w:numPr>
        <w:rPr/>
      </w:pPr>
      <w:bookmarkStart w:id="87" w:name="__RefHeading___Toc1013537_1051229030"/>
      <w:bookmarkStart w:id="88" w:name="_Toc29"/>
      <w:bookmarkEnd w:id="87"/>
      <w:r>
        <w:rPr>
          <w:rtl w:val="true"/>
        </w:rPr>
        <w:t>اشارة</w:t>
      </w:r>
      <w:bookmarkEnd w:id="8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النافون مجموعة من الشكوك من قبيل النهي الشرعي عن </w:t>
      </w:r>
      <w:bookmarkStart w:id="89" w:name="pg7330_68898"/>
    </w:p>
    <w:p>
      <w:pPr>
        <w:pStyle w:val="BookText"/>
        <w:rPr/>
      </w:pPr>
      <w:bookmarkEnd w:id="89"/>
      <w:r>
        <w:rPr>
          <w:rFonts w:ascii="Amiri" w:hAnsi="Amiri" w:eastAsia="Amiri" w:cs="Amiri"/>
          <w:color w:val="111111"/>
          <w:sz w:val="28"/>
          <w:sz w:val="28"/>
          <w:szCs w:val="28"/>
          <w:rtl w:val="true"/>
          <w:lang w:bidi="ar-SA"/>
        </w:rPr>
        <w:t>كتابة الأحاديث، ومن خشية اختلاط القرآن بالحديث، ومن التخوّف من ترك القرآن والاشتغال بغيره، ومن عدم معرفة المحدّثين للكتابة، ومن عدم الحاجة إلى تدوين الحديث في الكتب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سنذكر هاهنا بعض تلك الشبهات والردّ عليها</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1013539_1051229030"/>
      <w:bookmarkStart w:id="91" w:name="_Toc30"/>
      <w:bookmarkEnd w:id="90"/>
      <w:r>
        <w:rPr>
          <w:rtl w:val="true"/>
        </w:rPr>
        <w:t>الشبهة الأولى</w:t>
      </w:r>
      <w:r>
        <w:rPr>
          <w:rtl w:val="true"/>
        </w:rPr>
        <w:t xml:space="preserve">: </w:t>
      </w:r>
      <w:r>
        <w:rPr>
          <w:rtl w:val="true"/>
        </w:rPr>
        <w:t xml:space="preserve">بشرية الرسول </w:t>
      </w:r>
      <w:r>
        <w:rPr>
          <w:rtl w:val="true"/>
        </w:rPr>
        <w:t>(</w:t>
      </w:r>
      <w:r>
        <w:rPr>
          <w:rtl w:val="true"/>
        </w:rPr>
        <w:t>صلى الله عليه وآله وسلم</w:t>
      </w:r>
      <w:r>
        <w:rPr>
          <w:rtl w:val="true"/>
        </w:rPr>
        <w:t>):</w:t>
      </w:r>
      <w:bookmarkEnd w:id="91"/>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يتكلَّم في الغضب والرضى، فكيف يكون كلامه وفعله حجّة متَّبعة، فلعلَّ ذلك صادر منه حال غضبه، ويدلُّ على ذلك ما رواه مسلم ضمن حديث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اُمّ سليم أمَا تعلمين أنَّ شرطي على ربّي أنّي اشترطت على ربّي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أرضى كما يرضى البشر وأغضب كما يغضب البشر فأيّما أحد دعوت عليه من أمّتي بدعوة ليس لها بأهل أن تجعلها له طهوراً وزكاةً وقربةً يقرّبه بها منه يوم القيامة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ثبت في علم الكتاب عصمته، فإنَّ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بشراً إلاَّ أنَّ السماء قد سدَّدته، وأيَّدته في أفعاله الخارجية، في كلّ حياته المباركة قبل البعثة وبعدها، وخير شاهد على سمو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لنا من طريق العترة الطاهرة، فإنَّها تدلُّ وبوضوح على ذلك، وليس بغريب من مثل صاحب الشبهة أن يتلفَّظ بمثل هذه الترّهات والأراجيف، بل ما خفي من مثل هؤلاء أعظم، مضافاً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يمكن الجمع بين الآية الكريمة وبين ما رواه مسلم، إذ الشخص الذي يسبّ بغير استحقاق لمجرَّد الغضب لا يكون على خُلُق فضلاً عن أن يكون على </w:t>
      </w:r>
      <w:bookmarkStart w:id="92" w:name="pg7330_68900"/>
    </w:p>
    <w:p>
      <w:pPr>
        <w:pStyle w:val="BookText"/>
        <w:rPr/>
      </w:pPr>
      <w:bookmarkEnd w:id="92"/>
      <w:r>
        <w:rPr>
          <w:rFonts w:ascii="Amiri" w:hAnsi="Amiri" w:eastAsia="Amiri" w:cs="Amiri"/>
          <w:color w:val="111111"/>
          <w:sz w:val="28"/>
          <w:sz w:val="28"/>
          <w:szCs w:val="28"/>
          <w:rtl w:val="true"/>
          <w:lang w:bidi="ar-SA"/>
        </w:rPr>
        <w:t>خُلُق عظيم، وكلّ رواية وردت مخالفة للنصّ الصريح لا بدَّ من ضربها عرض الجدار</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1013541_1051229030"/>
      <w:bookmarkStart w:id="94" w:name="_Toc31"/>
      <w:bookmarkEnd w:id="93"/>
      <w:r>
        <w:rPr>
          <w:rtl w:val="true"/>
        </w:rPr>
        <w:t>الشبهة الثانية</w:t>
      </w:r>
      <w:r>
        <w:rPr>
          <w:rtl w:val="true"/>
        </w:rPr>
        <w:t xml:space="preserve">: </w:t>
      </w:r>
      <w:r>
        <w:rPr>
          <w:rtl w:val="true"/>
        </w:rPr>
        <w:t xml:space="preserve">تعارضية المنقول عن الرسول </w:t>
      </w:r>
      <w:r>
        <w:rPr>
          <w:rtl w:val="true"/>
        </w:rPr>
        <w:t>(</w:t>
      </w:r>
      <w:r>
        <w:rPr>
          <w:rtl w:val="true"/>
        </w:rPr>
        <w:t>صلى الله عليه وآله وسلم</w:t>
      </w:r>
      <w:r>
        <w:rPr>
          <w:rtl w:val="true"/>
        </w:rPr>
        <w:t>):</w:t>
      </w:r>
      <w:bookmarkEnd w:id="94"/>
    </w:p>
    <w:p>
      <w:pPr>
        <w:pStyle w:val="BookText"/>
        <w:rPr/>
      </w:pPr>
      <w:r>
        <w:rPr>
          <w:rFonts w:ascii="Amiri" w:hAnsi="Amiri" w:eastAsia="Amiri" w:cs="Amiri"/>
          <w:color w:val="111111"/>
          <w:sz w:val="28"/>
          <w:sz w:val="28"/>
          <w:szCs w:val="28"/>
          <w:rtl w:val="true"/>
          <w:lang w:bidi="ar-SA"/>
        </w:rPr>
        <w:t>قول الخليفة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تحدّثون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تختلفون فيها والناس بعدكم أشدُّ اختلافاً فلا تحدّثوا عن رسول الله شيئاً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تصرّح بلزوم العمل بالسُنّة، مع علمه بأنَّ الوضّاعين سيكثرون الحديث عليه</w:t>
      </w:r>
      <w:r>
        <w:rPr>
          <w:rStyle w:val="FootnoteAnchor"/>
          <w:rtl w:val="true"/>
        </w:rPr>
        <w:footnoteReference w:id="76"/>
      </w:r>
      <w:r>
        <w:rPr>
          <w:rFonts w:ascii="Amiri" w:hAnsi="Amiri" w:eastAsia="Amiri" w:cs="Amiri"/>
          <w:color w:val="111111"/>
          <w:sz w:val="28"/>
          <w:sz w:val="28"/>
          <w:szCs w:val="28"/>
          <w:rtl w:val="true"/>
          <w:lang w:bidi="ar-SA"/>
        </w:rPr>
        <w:t>، مضافاً إلى أنَّه قد وردت معالجات في كيفية التغلّب على ظاهرة الوضّاعين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لمن أعرض عن عدل القرآن يقع بمثل هذه المتاهات</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1013543_1051229030"/>
      <w:bookmarkStart w:id="96" w:name="_Toc32"/>
      <w:bookmarkEnd w:id="95"/>
      <w:r>
        <w:rPr>
          <w:rtl w:val="true"/>
        </w:rPr>
        <w:t>الشبهة الثالثة</w:t>
      </w:r>
      <w:r>
        <w:rPr>
          <w:rtl w:val="true"/>
        </w:rPr>
        <w:t xml:space="preserve">: </w:t>
      </w:r>
      <w:r>
        <w:rPr>
          <w:rtl w:val="true"/>
        </w:rPr>
        <w:t xml:space="preserve">مسحورية الرسول </w:t>
      </w:r>
      <w:r>
        <w:rPr>
          <w:rtl w:val="true"/>
        </w:rPr>
        <w:t>(</w:t>
      </w:r>
      <w:r>
        <w:rPr>
          <w:rtl w:val="true"/>
        </w:rPr>
        <w:t>صلى الله عليه وآله وسلم</w:t>
      </w:r>
      <w:r>
        <w:rPr>
          <w:rtl w:val="true"/>
        </w:rPr>
        <w:t>):</w:t>
      </w:r>
      <w:bookmarkEnd w:id="9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البخاري أن بعض اليهود سحروا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ليخيَّل إليه أنَّه يفعل الشيء وما فعله</w:t>
      </w:r>
      <w:r>
        <w:rPr>
          <w:rStyle w:val="FootnoteAnchor"/>
          <w:rtl w:val="true"/>
        </w:rPr>
        <w:footnoteReference w:id="77"/>
      </w:r>
      <w:r>
        <w:rPr>
          <w:rFonts w:ascii="Amiri" w:hAnsi="Amiri" w:eastAsia="Amiri" w:cs="Amiri"/>
          <w:color w:val="111111"/>
          <w:sz w:val="28"/>
          <w:sz w:val="28"/>
          <w:szCs w:val="28"/>
          <w:rtl w:val="true"/>
          <w:lang w:bidi="ar-SA"/>
        </w:rPr>
        <w:t xml:space="preserve">، فليس كلّ ما ورد </w:t>
      </w:r>
      <w:bookmarkStart w:id="97" w:name="pg7330_68902"/>
    </w:p>
    <w:p>
      <w:pPr>
        <w:pStyle w:val="BookText"/>
        <w:rPr/>
      </w:pPr>
      <w:bookmarkEnd w:id="97"/>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الاتّباع مع مظنَّة أنَّ الصادر ربَّما كان من عمل سحرة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قد تعامل الرعيل الأوّل من الصحابة، على أنَّ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 للواقع الحتمي، بل لا مجال للسحرة أن يؤثّروا على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فرض قوّة تأثير السحرة خارجاً، إلاَّ أنَّ تأثيرهم إنَّما يكون على أصحاب النفوس الضعيفة لا على الشخص المبارك، ويشهد لذلك قصَّة السحرة مع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القرآن، فإنَّهم قد سحروا الناس جميعاً ولم يتمكَّنوا من التأثير على أفعال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1013545_1051229030"/>
      <w:bookmarkStart w:id="99" w:name="_Toc33"/>
      <w:bookmarkEnd w:id="98"/>
      <w:r>
        <w:rPr>
          <w:rtl w:val="true"/>
        </w:rPr>
        <w:t>الشبهة الرابعة</w:t>
      </w:r>
      <w:r>
        <w:rPr>
          <w:rtl w:val="true"/>
        </w:rPr>
        <w:t xml:space="preserve">: </w:t>
      </w:r>
      <w:r>
        <w:rPr>
          <w:rtl w:val="true"/>
        </w:rPr>
        <w:t xml:space="preserve">مجتهدية الرسول </w:t>
      </w:r>
      <w:r>
        <w:rPr>
          <w:rtl w:val="true"/>
        </w:rPr>
        <w:t>(</w:t>
      </w:r>
      <w:r>
        <w:rPr>
          <w:rtl w:val="true"/>
        </w:rPr>
        <w:t>صلى الله عليه وآله وسلم</w:t>
      </w:r>
      <w:r>
        <w:rPr>
          <w:rtl w:val="true"/>
        </w:rPr>
        <w:t>):</w:t>
      </w:r>
      <w:bookmarkEnd w:id="99"/>
    </w:p>
    <w:p>
      <w:pPr>
        <w:pStyle w:val="BookText"/>
        <w:rPr/>
      </w:pPr>
      <w:r>
        <w:rPr>
          <w:rFonts w:ascii="Amiri" w:hAnsi="Amiri" w:eastAsia="Amiri" w:cs="Amiri"/>
          <w:color w:val="111111"/>
          <w:sz w:val="28"/>
          <w:sz w:val="28"/>
          <w:szCs w:val="28"/>
          <w:rtl w:val="true"/>
          <w:lang w:bidi="ar-SA"/>
        </w:rPr>
        <w:t>أنَّ الرسول مجرَّد مجتهد، ولذا يحقُّ للآخر أن يأتي باجتهاد يغاير اجتهاد الرسول، وليس قوله وحياً تحرم مخالفته، وهي الشبهة المعروفة ببشرية القرآن، وقد لبست هذه الشبهة أخيراً لباس ثوب علماني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ذكر في محلّه أنَّ علم النبيّ وإخباراته سماوية وهو معصوم،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كلّ حلال وما يكون فيه سبب سعادتكم قد دللتكم عليه، أو حرام وما يكون فيه سبب شقاوتكم قد نهيتكم عنه فإنّي لم أرجع عن ذلك ولم أبدّل</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وقد تقدَّم امتناع أن يكون الصادر من النبيّ باجتهاده وحدسه، وهذا الجواب غير مبني على لزوم القول بالولاية التشريعية، فسواء ثبتت أم لا، فإنَّه لا شكَّ أنَّه ليس بمجتهد إلاَّ على الشاذ من قول أبناء العامّة</w:t>
      </w:r>
      <w:r>
        <w:rPr>
          <w:rFonts w:eastAsia="Amiri" w:cs="Amiri" w:ascii="Amiri" w:hAnsi="Amiri"/>
          <w:color w:val="111111"/>
          <w:sz w:val="28"/>
          <w:szCs w:val="28"/>
          <w:rtl w:val="true"/>
          <w:lang w:bidi="ar-SA"/>
        </w:rPr>
        <w:t xml:space="preserve">. </w:t>
      </w:r>
      <w:bookmarkStart w:id="100" w:name="pg7330_68903"/>
    </w:p>
    <w:p>
      <w:pPr>
        <w:pStyle w:val="Heading6"/>
        <w:numPr>
          <w:ilvl w:val="5"/>
          <w:numId w:val="1"/>
        </w:numPr>
        <w:rPr/>
      </w:pPr>
      <w:bookmarkStart w:id="101" w:name="__RefHeading___Toc1013547_1051229030"/>
      <w:bookmarkStart w:id="102" w:name="_Toc34"/>
      <w:bookmarkEnd w:id="100"/>
      <w:bookmarkEnd w:id="101"/>
      <w:r>
        <w:rPr>
          <w:rtl w:val="true"/>
        </w:rPr>
        <w:t>الشبهة الخامسة</w:t>
      </w:r>
      <w:r>
        <w:rPr>
          <w:rtl w:val="true"/>
        </w:rPr>
        <w:t xml:space="preserve">: </w:t>
      </w:r>
      <w:r>
        <w:rPr>
          <w:rtl w:val="true"/>
        </w:rPr>
        <w:t xml:space="preserve">آمرية الرسول </w:t>
      </w:r>
      <w:r>
        <w:rPr>
          <w:rtl w:val="true"/>
        </w:rPr>
        <w:t>(</w:t>
      </w:r>
      <w:r>
        <w:rPr>
          <w:rtl w:val="true"/>
        </w:rPr>
        <w:t>صلى الله عليه وآله وسلم</w:t>
      </w:r>
      <w:r>
        <w:rPr>
          <w:rtl w:val="true"/>
        </w:rPr>
        <w:t xml:space="preserve">) </w:t>
      </w:r>
      <w:r>
        <w:rPr>
          <w:rtl w:val="true"/>
        </w:rPr>
        <w:t>بالمحو</w:t>
      </w:r>
      <w:r>
        <w:rPr>
          <w:rtl w:val="true"/>
        </w:rPr>
        <w:t>:</w:t>
      </w:r>
      <w:bookmarkEnd w:id="102"/>
    </w:p>
    <w:p>
      <w:pPr>
        <w:pStyle w:val="BookText"/>
        <w:rPr/>
      </w:pPr>
      <w:r>
        <w:rPr>
          <w:rFonts w:ascii="Amiri" w:hAnsi="Amiri" w:eastAsia="Amiri" w:cs="Amiri"/>
          <w:color w:val="111111"/>
          <w:sz w:val="28"/>
          <w:sz w:val="28"/>
          <w:szCs w:val="28"/>
          <w:rtl w:val="true"/>
          <w:lang w:bidi="ar-SA"/>
        </w:rPr>
        <w:t xml:space="preserve">ما نُقل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تكتبوا عنّي، ومن كتب عنّي غير القرآن فليمحه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موضوع، وخير شاهد على ذلك أنَّه حتَّى المانعين من تدوين السُنّة النبويّة لم يستشهدوا بهذا الحديث، ولو سلَّمنا صحَّته لكان مؤلّفوا الصحاح والسنن والمسانيد قد خالفوا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نرى أنَّ علماء أبناء العامّة استنكروا صدور هذا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أنَّهم ادّعوا صدوره واختصاصه بمجالات خاصّة</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013549_1051229030"/>
      <w:bookmarkStart w:id="104" w:name="_Toc35"/>
      <w:bookmarkEnd w:id="103"/>
      <w:r>
        <w:rPr/>
        <w:t>4</w:t>
      </w:r>
      <w:r>
        <w:rPr>
          <w:rtl w:val="true"/>
        </w:rPr>
        <w:t xml:space="preserve"> - </w:t>
      </w:r>
      <w:r>
        <w:rPr>
          <w:rtl w:val="true"/>
        </w:rPr>
        <w:t>كيف نستكشف السُنّة النبوية الشريفة في معالم المدرستين؟</w:t>
      </w:r>
      <w:bookmarkEnd w:id="104"/>
    </w:p>
    <w:p>
      <w:pPr>
        <w:pStyle w:val="Heading6"/>
        <w:numPr>
          <w:ilvl w:val="5"/>
          <w:numId w:val="1"/>
        </w:numPr>
        <w:rPr/>
      </w:pPr>
      <w:bookmarkStart w:id="105" w:name="__RefHeading___Toc1013551_1051229030"/>
      <w:bookmarkStart w:id="106" w:name="_Toc36"/>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 xml:space="preserve">حفظ الحديث وتدوينه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الفريقين أمر مفروغ عنه، وقد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أكتب فوَالذي نفسي بيده ما يخرج منه إلاّ حق</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مشيراً في ذلك إلى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الاختلاف، فمنهم من كان يمنع ويصدُّ عن التدوين، واعتبره أمراً غير شرعي، مثل أبي بكر، وعمر، وابن مسعود</w:t>
      </w:r>
      <w:r>
        <w:rPr>
          <w:rStyle w:val="FootnoteAnchor"/>
          <w:rtl w:val="true"/>
        </w:rPr>
        <w:footnoteReference w:id="81"/>
      </w:r>
      <w:r>
        <w:rPr>
          <w:rFonts w:ascii="Amiri" w:hAnsi="Amiri" w:eastAsia="Amiri" w:cs="Amiri"/>
          <w:color w:val="111111"/>
          <w:sz w:val="28"/>
          <w:sz w:val="28"/>
          <w:szCs w:val="28"/>
          <w:rtl w:val="true"/>
          <w:lang w:bidi="ar-SA"/>
        </w:rPr>
        <w:t>، وأبي سعيد الخدري، وغيرهم كزيد بن ثابت وعثمان ومعاوية</w:t>
      </w:r>
      <w:r>
        <w:rPr>
          <w:rStyle w:val="FootnoteAnchor"/>
          <w:rtl w:val="true"/>
        </w:rPr>
        <w:footnoteReference w:id="82"/>
      </w:r>
      <w:r>
        <w:rPr>
          <w:rFonts w:ascii="Amiri" w:hAnsi="Amiri" w:eastAsia="Amiri" w:cs="Amiri"/>
          <w:color w:val="111111"/>
          <w:sz w:val="28"/>
          <w:sz w:val="28"/>
          <w:szCs w:val="28"/>
          <w:rtl w:val="true"/>
          <w:lang w:bidi="ar-SA"/>
        </w:rPr>
        <w:t xml:space="preserve">، ومنهم من حثّ على التدوين، مثل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وزخر التدوين في زمن الحسنين والباقرين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وصنّفت كتب كثيرة </w:t>
      </w:r>
    </w:p>
    <w:p>
      <w:pPr>
        <w:pStyle w:val="BookText"/>
        <w:rPr/>
      </w:pPr>
      <w:r>
        <w:rPr>
          <w:rFonts w:ascii="Amiri" w:hAnsi="Amiri" w:eastAsia="Amiri" w:cs="Amiri"/>
          <w:color w:val="111111"/>
          <w:sz w:val="28"/>
          <w:sz w:val="28"/>
          <w:szCs w:val="28"/>
          <w:rtl w:val="true"/>
          <w:lang w:bidi="ar-SA"/>
        </w:rPr>
        <w:t xml:space="preserve">بحيث لا يمكن إحصاؤها وإحصاء مؤلّفيها، ولكن جمعت من بين تلك الكتب أربعمائة كتاب لأربعمائة مؤلّف أو أقلّ، ولمَّا كانت هذه الأصول متشتّتة وبعضها فقد، فبادر بعض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جمع الموجود منها وضبطه في كتاب مستقل سمّاه بالجامع، وهذه الجوامع غير الكتب التي ألَّفها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زمن الغيبة، وكانت هذه الجوامع منذ عصر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مرجعاً ومصدراً للشيعة في المسائل الدينية والفقهية إلى عصر الكتب الأربعة، وهي الأحاديث المستخرجة من الأصول الأربعمائة، وسائر كتب السلف من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رأي جلّ علماء الإمامية في الكتب الأربعة أنَّ أحاديثها تقبل النقد دلالةً وسنداً، وأنَّ بعض الأحاديث صحيح، والباقي موثَّق، وحَسَن وضعيف، فتخريج الحديث لا يكون دليلاً على صحَّته، ومجرَّد قبول الحديث لدى مؤلّفيها لا يوجب حجّيتها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موقف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الاعتقاد بقداسة السُنّة لأنَّها المعبرة عن إرادة الله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السُنّة القطعية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وفعله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لكونهم خلفاء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إذ هم عدل القرآن بمقتضى حديث الثقلين وغيره، فالسُنّة النبوية تزهو في تراث أهل البيت، لأنَّهم الأعلم بها حسب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المحيي لسُنّتي، ومعلّم أمّتي، والقائم بحجّتي</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 وقول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نريد أحداً يعلّمنا السُنّة</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 وقول عمر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خيرهم</w:t>
      </w:r>
      <w:r>
        <w:rPr>
          <w:rFonts w:eastAsia="Amiri" w:cs="Amiri" w:ascii="Amiri" w:hAnsi="Amiri"/>
          <w:color w:val="111111"/>
          <w:sz w:val="28"/>
          <w:szCs w:val="28"/>
          <w:rtl w:val="true"/>
          <w:lang w:bidi="ar-SA"/>
        </w:rPr>
        <w:t xml:space="preserve">). </w:t>
      </w:r>
      <w:bookmarkStart w:id="107" w:name="pg7330_68907"/>
    </w:p>
    <w:p>
      <w:pPr>
        <w:pStyle w:val="BookText"/>
        <w:rPr/>
      </w:pPr>
      <w:bookmarkEnd w:id="107"/>
      <w:r>
        <w:rPr>
          <w:rFonts w:ascii="IRNazanin" w:hAnsi="IRNazanin" w:eastAsia="IRNazanin"/>
          <w:color w:val="111111"/>
          <w:sz w:val="28"/>
          <w:sz w:val="28"/>
          <w:szCs w:val="28"/>
          <w:rtl w:val="true"/>
          <w:lang w:bidi="fa-IR"/>
        </w:rPr>
        <w:t>فتوى</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 xml:space="preserve">، وقول عائشة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أعلم الناس بالسُنّة</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وبهذا الاعتبار صارت السُنّة قول المعصوم وفعله وتقريره وتوسَّعوا من السُنّة النبوية إلى ما يعمّ السُنّة المولوية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بحث طرق ثبوت السُنّة عندنا فبالتواتر والآحاد، والبحث عن أقسام التواتر، وشرائط حجّية خبر الآحاد من صحَّة المضمون عقلاً وشرعاً، ووثاقة الرواة، ومناشئ الوثاقة كقول الرجالي الذي يبحث عن حجّيته وأنَّها هل هي من باب كونه من أهل الخبرة، أو من باب شهادة العدلين، أو من باب حجّية خبر الآحاد، وتمييز المراسيل المعتمدة عن غيرها، وبحث الإجماع، والشهرة، وقول اللغوي، وقول المتخصّص، والسيرة العقلائية، وسيرة المتشرّعة، والعرف، وتنقيح المناط، وغيرها من السبل الكاشفة عن السُنّة، وهكذا مباحث التعادل والتراجيح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البحوث رغم كونها مهمّة إلاَّ أنَّها تحتاج إلى رسالة مستقلّة، والحديث عنها هنا خروج عن الغرض</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1013553_1051229030"/>
      <w:bookmarkStart w:id="109" w:name="_Toc37"/>
      <w:bookmarkEnd w:id="108"/>
      <w:r>
        <w:rPr>
          <w:rtl w:val="true"/>
        </w:rPr>
        <w:t>أمَّا تدوين الحديث عند أبناء العامّة</w:t>
      </w:r>
      <w:r>
        <w:rPr>
          <w:rtl w:val="true"/>
        </w:rPr>
        <w:t>:</w:t>
      </w:r>
      <w:bookmarkEnd w:id="10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السنوات الثلاث من خلافة أبي بكر اهتمَّ المسلمون الذين ساروا على نهج أبي بكر بتلاوة القرآن فقط، واكتفوا بها دون مراجعة التفسير والبيان وتركوا نقل الحديث وكتابته، وهكذا في السنوات العشر من عهد الثاني، فهو لم يكتفِ بمنع نقل الحديث وتدوينه، بل استعمل العنف في ذلك، فحبس ثلاثة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وأبا الدرداء وأبا </w:t>
      </w:r>
    </w:p>
    <w:p>
      <w:pPr>
        <w:pStyle w:val="BookText"/>
        <w:rPr/>
      </w:pPr>
      <w:r>
        <w:rPr>
          <w:rFonts w:ascii="Amiri" w:hAnsi="Amiri" w:eastAsia="Amiri" w:cs="Amiri"/>
          <w:color w:val="111111"/>
          <w:sz w:val="28"/>
          <w:sz w:val="28"/>
          <w:szCs w:val="28"/>
          <w:rtl w:val="true"/>
          <w:lang w:bidi="ar-SA"/>
        </w:rPr>
        <w:t>مسعود الأنصاري، واستمرَّ الحال في عهد عثمان فنفى أبا ذر الغفاري إلى الشام ثمّ الربذة لنقله للحديث وغيره من المواقف، وضرب عبد الله بن مسعود في وسط المسجد حتَّى كسر أضلعه، وضرب عمّار بن ياسر، بل صرَّح عثمان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يحلُّ لأحد يروي حديثاً لم يسمع به في عهد أبي بكر ولا عهد عمر فإنّي لم يمنعني أن اُحدّث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أكون من أوعى أصحابه عنه إلاَّ أنّي 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عليَّ ما لم أقل فقد تبوأ مقعده من النار</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معاوية، فقد عبَّأ الوضّاعين في عهده، وأكرم كلّ من يروي حديثاً في فضائل عثمان، وحثَّهم على جعل الحديث، ونقل الأكاذيب، واستمرَّ الحال إلى النصف الثاني من القرن الثاني الهجري حيث أدرك محدّثوا العامّة أخطاء سلفهم وشطحاتهم لمنعهم الحديث وتدوينه، فبدأ علم الحديث يتحرَّك، فظهرت كتب كثيرة تحمل اسم الصحاح، والمسانيد والمستخرجات، وكان الهدف جمع الحديث من دون تبويب، وبلا فرق بين الصحيح وغيره حتَّى جاء عصر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وتلميذه مسلم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يزيد القزويني المعروف بابن ماجة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داود السجستاني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وهؤلاء المؤلّفون من خلال كتبهم الستّة تشكّل الركن الأصلي لجوامع الحديث عند أبناء العامّة، وعرفت بالصحاح الستّة، أو الصحيحين والسنن، وبعد ذلك اُلّفت المسانيد والمستدركات والمستخرجات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10" w:name="pg7330_68911"/>
    </w:p>
    <w:p>
      <w:pPr>
        <w:pStyle w:val="BookText"/>
        <w:rPr/>
      </w:pPr>
      <w:bookmarkEnd w:id="110"/>
      <w:r>
        <w:rPr>
          <w:rFonts w:ascii="Amiri" w:hAnsi="Amiri" w:eastAsia="Amiri" w:cs="Amiri"/>
          <w:color w:val="111111"/>
          <w:sz w:val="28"/>
          <w:sz w:val="28"/>
          <w:szCs w:val="28"/>
          <w:rtl w:val="true"/>
          <w:lang w:bidi="ar-SA"/>
        </w:rPr>
        <w:t xml:space="preserve">أمَّا رأي أبناء العامّة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إلاَّ البعض كالشيخ الألباني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مسانيد السُنّة النبوية، فقد اعتبروا الصحاح لاسيّما الصحيحين أصحّ الكتب وأتقنها بعد القرآن، وجعلوا عليهما مدار العقائد والأحكام، فحكموا بقطعية صدورهما وصحَّة صدور ما احتوتهما من الأحاديث، ولذا قال فضل بن روزبهان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أحداً حلف يميناً بأنَّ كلّ ما ورد في الصحاح الستّة من الأحاديث فهو صحيح وهو قول رسول الله، لكان يمينه صحيحاً ولا عليه الحنث</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يتَّضح الفارق بين كتب الحديث عند الشيعة وبينها عند أبناء العامّة، فقد وقف علماء الشيعة من الكتب الأربعة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مع أنَّها وردت من طرقهم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موقفاً بعيداً عن المغالاة والإسراف، فهم قد اغتنموا حسنات الكتب الأربعة ولم يتجاهلوا ما فيها من خلل ونقص، إذ لا يخلو منهما كتاب مهما اتّخذت الحيطة فيه، بخلاف رأي أبناء العامّة في الصحاح الستّة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الفرق في النقد العلمي بين المنهجين، من ذكر الروايات المخالفة للضرورة الفطرية أو العقلية أو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مثل هذا الإشكال تامٌّ على الصحاح الستّة أو الصحيحين، لأنَّهم يدّعون العصمة لها بخلاف الشيعة، فإنَّ وجود هذه الروايات الشاذة والمخالفة لا يضرُّ في أصل الكتاب، وإن تمسَّك به بعض من لا خبرة له في الحديث</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1013555_1051229030"/>
      <w:bookmarkStart w:id="112" w:name="_Toc38"/>
      <w:bookmarkEnd w:id="111"/>
      <w:r>
        <w:rPr/>
        <w:t>5</w:t>
      </w:r>
      <w:r>
        <w:rPr>
          <w:rtl w:val="true"/>
        </w:rPr>
        <w:t xml:space="preserve"> - </w:t>
      </w:r>
      <w:r>
        <w:rPr>
          <w:rtl w:val="true"/>
        </w:rPr>
        <w:t>ظاهرة الاجتهاد في فاعلية السُنّة وديمومتها</w:t>
      </w:r>
      <w:r>
        <w:rPr>
          <w:rtl w:val="true"/>
        </w:rPr>
        <w:t>:</w:t>
      </w:r>
      <w:bookmarkEnd w:id="11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المجتمع الإنساني أو الإنسان بشكل عامّ بحاجة إلى سدّ عطشه الفكري، وتهيئة سبل استقراره النفسي، وإيجاد نظام اجتماعي، باعتباره </w:t>
      </w:r>
    </w:p>
    <w:p>
      <w:pPr>
        <w:pStyle w:val="BookText"/>
        <w:rPr/>
      </w:pPr>
      <w:r>
        <w:rPr>
          <w:rFonts w:ascii="Amiri" w:hAnsi="Amiri" w:eastAsia="Amiri" w:cs="Amiri"/>
          <w:color w:val="111111"/>
          <w:sz w:val="28"/>
          <w:sz w:val="28"/>
          <w:szCs w:val="28"/>
          <w:rtl w:val="true"/>
          <w:lang w:bidi="ar-SA"/>
        </w:rPr>
        <w:t xml:space="preserve">مدني بالطبع، ولم يتركه الخالق إلاَّ وأوجد له العقل، والفطرة، والوجدان، وبعث الأنبياء، إذ لا قدرة للعقل مستقلاً في تسيير حياته بعدما ثبت ضعفه عن مقاومة الشهوات، والرغبات التي قد تؤثّر في تشخيصه وتشريعه، وبما أنَّ التشريع يعيش البعد المتغيّر، بمقتضى التطوّر والتغيّر الاجتماعي، فاحتاج إلى فتح باب الاجتهاد للنظر والمواكبة والرقي، ونعني بالاجتهاد عند الشيعة هو الاجتهاد في النصّ الديني لا في رأي أئمّتهم، لأنَّ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امتداداً للنبوّة،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عالمون بها بلا اجتهاد وهذا ما تقتضيه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الاجتهاد عندنا حتَّى عصر الغيبة بأدوار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من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بداية حياة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انتهاء القرن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من بداية حياة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نهاية الغيبة الصغرى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من بداية الغيبة الكبرى إلى يومنا هذا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مصدر المعرفة كان الكتاب، والسُنّة، ويراد بالسُنّة قول المعصوم وفعله وتقريره، وقد رفض الأئمّة مبدأ القياس، والاستحسان، وأمَّا الإجماع فلا يُعدّ عندنا مصدراً للتشريع، إلاَّ إذا كان كاشفاً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لأبناء العامّة حيث يعتبرونه مصدراً مستقلاً، حتَّى 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الأصل له وهو الأصل لهم</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بمعنى أنَّ مشروعية خلافة الأوّل تمَّت عن طريق الإجماع، بقطع النظر عن إجماع أهل السقيفة، أو أهل المدينة، أو غيرهم، وبقطع النظر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الاضطراب الذي منيت به فرقة أبناء العامّة في تعيين الإمامة من إجماع كما للأوّل، أو نصّ كما للثاني، أو شورى كما للثالث، ومن المعلوم أنَّ حجّية الإجماع عندهم لا مدرك لها إلاَّ عمل المجمعين في تنصيب خليفتهم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للعلماء مناقشات كثيرة حول هذا الإجماع تذكر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فالاجتهاد عندنا هو الأخذ بظواهر الكتاب والسُنّة، ولم يتَّسع الاجتهاد في هذه الفترة ذلك الاتّساع، بحيث تدوَّن قوانين وأصول يُعتمد عليها في المعرفة، بل كانوا يرجعون فيما يحدث لهم من المشاكل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خلال رصد حركة الأئمّة العلمية نرى أنَّهم لم يعتمدوا على الإجماع أو القياس لا على صعيد العمل ولا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يبدأ من أوائل القرن الثاني حتَّى أواخر القرن الثالث، فعملية الاجتهاد والنظر في الأدلّة رائجة أو راجحة، بل قد صدر الحثُّ عن الأئمّة على تنشيط عملية الاجتهاد بالمعنى الذي رسمه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أمر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تغلب أن يجلس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ويفتي الناس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أجلس في مسجد المدينة وافت الناس فإنّي اُحبُّ أن يُرى في شيعتي مثلك</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وأهمُّ شاخص لهذا الدور هو وضع نواة القواعد العامّة للتعامل مع النصّ الديني، ممَّا جعلت المذهب الشيعي يتميَّز عن غيره بمناهجه وقواعده، فتهيَّأت له سبل الدوام والمواكبة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يبدأ ببداية الغيبة الكبرى، فأهمُّ خصائص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الدور هو غياب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وإيكال حلّ المشاكل إلى العلماء الفقهاء بأمر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العلماء هم المرجع الوحيد لحلّ المشاكل التي تواجه الناس في جميع الصُعُد، نعم تطفَّل البعض على هذا المنصب الحساس، ولا غرابة في ذلك بعد ما تطفَّل المنافقون على منصب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هذا الدور بأطوار من ضبط الروايات، وجمعها، وتبويبها، وضبط قواعد الأصول، وتحديد المحكمات، وتمييزها عن المتشابهات، وتأسيس المناهج والسبل المعرفية، وتأسيس بعض العلوم كالدراية، وبيان تأثير بعض العلوم كالأصول على البعض الآخر كالعلوم النقلية، وتمييز العلوم، وفتح آفاق الفروع التخصّصية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فلم يمرّ المذهب على طول الخطّ بمرحلة انسداد لباب الاجتهاد والتحقيق، ومن هنا نشأت عندنا روح النقد العلمي وفق المعيار المرسوم والموزون، ولا زالت الحركة العلمية سائرة قدماً بعجلتها لتمحيص التراث، وتأصيله، وتجديده، فانتعش الحديث في الجهة الصدورية والدلالية والجهتية، والتفريعية على الأصول، وعلاج الأخبار المتعارضة، فكان الاجتهاد نبعاً متدفّقاً فيّاضاً بالخير، ويمدُّ الثقافة الإسلاميّة بالأفكار المتجدّدة، والنظريات العلمية الرائدة التي أسهمت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ولا ريب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إغناء حضارة الإسلام، وإثراء ثقافته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يعني عصمة الاجتهاد، فنرى أنَّ علماءَنا ليسوا في مأمن من الخطأ، ومن هنا نُعتنا بالمخطّئة، في قبال الآخر الذي نُعت بالمصوّبة، وقد حطَّم الشيعة عقدة القداسة لغير الرسول والأئمّة، فبقي المجتمع الشيعي يتجدَّد، ويتطوَّر، وينبض بالحياة، وإنَّ لعاملي الزمان والمكان </w:t>
      </w:r>
      <w:bookmarkStart w:id="113" w:name="pg7330_68918"/>
    </w:p>
    <w:p>
      <w:pPr>
        <w:pStyle w:val="BookText"/>
        <w:rPr/>
      </w:pPr>
      <w:bookmarkEnd w:id="113"/>
      <w:r>
        <w:rPr>
          <w:rFonts w:ascii="Amiri" w:hAnsi="Amiri" w:eastAsia="Amiri" w:cs="Amiri"/>
          <w:color w:val="111111"/>
          <w:sz w:val="28"/>
          <w:sz w:val="28"/>
          <w:szCs w:val="28"/>
          <w:rtl w:val="true"/>
          <w:lang w:bidi="ar-SA"/>
        </w:rPr>
        <w:t>أثرهما الفعّال للسير التكاملي، وهذه المزية غير حاضرة بوضوح في المذاهب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معاني الأخبار بسنده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أفقه الناس إذا عرفتم معاني كلامنا، إنَّ الكلمة لتنصرف على وجوه فلو شاء إنسان لصرف كلامه كيف يشاء ولا يكذب</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وعملية نقد الحديث ليست سهلة، ومتاحة لكلّ من يراجع كتب الحديث والرجال، ونحوهما، وإنَّما هي بحاجة إلى ملكة الاجتهاد في الفنّ، واستيعاب قواعد النقد المتينة</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1013557_1051229030"/>
      <w:bookmarkStart w:id="115" w:name="_Toc39"/>
      <w:bookmarkEnd w:id="114"/>
      <w:r>
        <w:rPr/>
        <w:t>6</w:t>
      </w:r>
      <w:r>
        <w:rPr>
          <w:rtl w:val="true"/>
        </w:rPr>
        <w:t xml:space="preserve"> - </w:t>
      </w:r>
      <w:r>
        <w:rPr>
          <w:rtl w:val="true"/>
        </w:rPr>
        <w:t xml:space="preserve">أطروحة الإمام المهدي </w:t>
      </w:r>
      <w:r>
        <w:rPr>
          <w:rtl w:val="true"/>
        </w:rPr>
        <w:t>(</w:t>
      </w:r>
      <w:r>
        <w:rPr>
          <w:rtl w:val="true"/>
        </w:rPr>
        <w:t>عليه السلام</w:t>
      </w:r>
      <w:r>
        <w:rPr>
          <w:rtl w:val="true"/>
        </w:rPr>
        <w:t xml:space="preserve">) </w:t>
      </w:r>
      <w:r>
        <w:rPr>
          <w:rtl w:val="true"/>
        </w:rPr>
        <w:t>في الروايات</w:t>
      </w:r>
      <w:r>
        <w:rPr>
          <w:rtl w:val="true"/>
        </w:rPr>
        <w:t>:</w:t>
      </w:r>
      <w:bookmarkEnd w:id="115"/>
    </w:p>
    <w:p>
      <w:pPr>
        <w:pStyle w:val="Heading6"/>
        <w:numPr>
          <w:ilvl w:val="5"/>
          <w:numId w:val="1"/>
        </w:numPr>
        <w:rPr/>
      </w:pPr>
      <w:bookmarkStart w:id="116" w:name="__RefHeading___Toc1013559_1051229030"/>
      <w:bookmarkStart w:id="117" w:name="_Toc40"/>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 xml:space="preserve">هناك جملة من الشكوك سُجَّلَتْ في أطروحة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المنهج المعرفي لأبناء العامّة</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1013561_1051229030"/>
      <w:bookmarkStart w:id="119" w:name="_Toc41"/>
      <w:bookmarkEnd w:id="118"/>
      <w:r>
        <w:rPr>
          <w:rtl w:val="true"/>
        </w:rPr>
        <w:t>الشبهة الأولى</w:t>
      </w:r>
      <w:r>
        <w:rPr>
          <w:rtl w:val="true"/>
        </w:rPr>
        <w:t xml:space="preserve">: </w:t>
      </w:r>
      <w:r>
        <w:rPr>
          <w:rtl w:val="true"/>
        </w:rPr>
        <w:t>الميزان في قبول الحديث ورودُه في الصحيحين فقط</w:t>
      </w:r>
      <w:r>
        <w:rPr>
          <w:rtl w:val="true"/>
        </w:rPr>
        <w:t>:</w:t>
      </w:r>
      <w:bookmarkEnd w:id="119"/>
    </w:p>
    <w:p>
      <w:pPr>
        <w:pStyle w:val="BookText"/>
        <w:rPr/>
      </w:pPr>
      <w:r>
        <w:rPr>
          <w:rFonts w:ascii="Amiri" w:hAnsi="Amiri" w:eastAsia="Amiri" w:cs="Amiri"/>
          <w:color w:val="111111"/>
          <w:sz w:val="28"/>
          <w:sz w:val="28"/>
          <w:szCs w:val="28"/>
          <w:rtl w:val="true"/>
          <w:lang w:bidi="ar-SA"/>
        </w:rPr>
        <w:t>أنَّ البخاري ومسلم لم يثبتا ولا حديثاً واحداً من الأحاديث التي تبشّر بظهور المهدي، فلو كانت قضيّة المهدي مستفادة من السُنّة لنقلت لنا في الصحيحين</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ويجاب عنها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أنَّه لم تثبت عصمة البخاري ومسلم حتَّى ندّعي لزوم </w:t>
      </w:r>
    </w:p>
    <w:p>
      <w:pPr>
        <w:pStyle w:val="BookText"/>
        <w:rPr/>
      </w:pPr>
      <w:r>
        <w:rPr>
          <w:rFonts w:ascii="Amiri" w:hAnsi="Amiri" w:eastAsia="Amiri" w:cs="Amiri"/>
          <w:color w:val="111111"/>
          <w:sz w:val="28"/>
          <w:sz w:val="28"/>
          <w:szCs w:val="28"/>
          <w:rtl w:val="true"/>
          <w:lang w:bidi="ar-SA"/>
        </w:rPr>
        <w:t>الاستيعاب لكلّ أمر، بل هما قد صرّحا بعدم الاستيعاب</w:t>
      </w:r>
      <w:r>
        <w:rPr>
          <w:rStyle w:val="FootnoteAnchor"/>
          <w:rtl w:val="true"/>
        </w:rPr>
        <w:footnoteReference w:id="93"/>
      </w:r>
      <w:r>
        <w:rPr>
          <w:rFonts w:ascii="Amiri" w:hAnsi="Amiri" w:eastAsia="Amiri" w:cs="Amiri"/>
          <w:color w:val="111111"/>
          <w:sz w:val="28"/>
          <w:sz w:val="28"/>
          <w:szCs w:val="28"/>
          <w:rtl w:val="true"/>
          <w:lang w:bidi="ar-SA"/>
        </w:rPr>
        <w:t xml:space="preserve">، لذلك فقد استدرك عليهما البعض كما في المستدرك على الصحيحين، هذا مضافاً إلى أنَّ البخاري قد ذكر أحاديث عن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منع الصغرى، فإنّا لا نسلّم عدم نقلهما لروايات التبشير بالمهدي، بل روى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نزل ابن مريم فيكم وإمامكم منكم</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بناءً على استظهار أنَّ المراد بكون الإمام منهم هو الإمام المهدي من السنن والمسانيد الأخرى، وأيضاً ما رواه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خليفة يحثو المال حثياً لا يعدّه عدّاً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لا نرضى أنَّ الميزان هو البخاري ومسلم حصراً وقد نُقل حديث المهدي في سنن أبي داود وابن ماجة والترمذي ومستدرك الصحيحين، بل لا يعرف عن عالم من أبناء العامّة بتضعيف كلّ ما لم يروه الشيخان، بل سيرتهم تدلُّ على العكس ومن مراجعة تعريفهم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20" w:name="pg7330_68922"/>
    </w:p>
    <w:p>
      <w:pPr>
        <w:pStyle w:val="BookText"/>
        <w:rPr/>
      </w:pPr>
      <w:bookmarkEnd w:id="120"/>
      <w:r>
        <w:rPr>
          <w:rFonts w:ascii="Amiri" w:hAnsi="Amiri" w:eastAsia="Amiri" w:cs="Amiri"/>
          <w:color w:val="111111"/>
          <w:sz w:val="28"/>
          <w:sz w:val="28"/>
          <w:szCs w:val="28"/>
          <w:rtl w:val="true"/>
          <w:lang w:bidi="ar-SA"/>
        </w:rPr>
        <w:t>للحديث الصحيح لا تجده مشروطاً بروايته في الصحيحين أو أحدهما وكذلك الحال في تعريفهم للخبر المتواتر، بل حتَّى لو اتَّفق البخاري ومسلم على عدم رواية خبر متواتر فلا يقدح ذلك الاتّفاق بتواتره عند أبناء العامّة</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1013563_1051229030"/>
      <w:bookmarkStart w:id="122" w:name="_Toc42"/>
      <w:bookmarkEnd w:id="121"/>
      <w:r>
        <w:rPr>
          <w:rtl w:val="true"/>
        </w:rPr>
        <w:t>الشبهة الثانية</w:t>
      </w:r>
      <w:r>
        <w:rPr>
          <w:rtl w:val="true"/>
        </w:rPr>
        <w:t xml:space="preserve">: </w:t>
      </w:r>
      <w:r>
        <w:rPr>
          <w:rtl w:val="true"/>
        </w:rPr>
        <w:t>مدسوسية الروايات</w:t>
      </w:r>
      <w:r>
        <w:rPr>
          <w:rtl w:val="true"/>
        </w:rPr>
        <w:t>:</w:t>
      </w:r>
      <w:bookmarkEnd w:id="122"/>
    </w:p>
    <w:p>
      <w:pPr>
        <w:pStyle w:val="BookText"/>
        <w:rPr/>
      </w:pPr>
      <w:r>
        <w:rPr>
          <w:rFonts w:ascii="Amiri" w:hAnsi="Amiri" w:eastAsia="Amiri" w:cs="Amiri"/>
          <w:color w:val="111111"/>
          <w:sz w:val="28"/>
          <w:sz w:val="28"/>
          <w:szCs w:val="28"/>
          <w:rtl w:val="true"/>
          <w:lang w:bidi="ar-SA"/>
        </w:rPr>
        <w:t>أنَّ أحاديث المهدي أحاديث مدسوسة وموضوعة، فعن محمّد محي الدين عبد الحميد قال في آخر جزء العرف الوردي في أخبار المهدي في تعليقه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 بعض الباحثين أنَّ كلّ ما ورد فيه عن المهدي وعن الدجّال من الإسرائيليات</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دعوى الوضع مع أنَّها مسجّلة في الصحاح التي اعتبروا كلّ ما فيها صحيحاً على ما تقدَّم، فقد صحَّح روايات المهدي الترمذي والذهبي وابن كثير والنيسابوري والتفتازاني والسيوطي والهيثمي، بل حكم بعضهم بالتواتر كالشوكاني</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 w:name="__RefHeading___Toc1013565_1051229030"/>
      <w:bookmarkStart w:id="124" w:name="_Toc43"/>
      <w:bookmarkEnd w:id="123"/>
      <w:r>
        <w:rPr>
          <w:rtl w:val="true"/>
        </w:rPr>
        <w:t>الشبهة الثالثة</w:t>
      </w:r>
      <w:r>
        <w:rPr>
          <w:rtl w:val="true"/>
        </w:rPr>
        <w:t xml:space="preserve">: </w:t>
      </w:r>
      <w:r>
        <w:rPr>
          <w:rtl w:val="true"/>
        </w:rPr>
        <w:t>ضعف الروايات</w:t>
      </w:r>
      <w:r>
        <w:rPr>
          <w:rtl w:val="true"/>
        </w:rPr>
        <w:t>:</w:t>
      </w:r>
      <w:bookmarkEnd w:id="124"/>
    </w:p>
    <w:p>
      <w:pPr>
        <w:pStyle w:val="BookText"/>
        <w:rPr/>
      </w:pPr>
      <w:r>
        <w:rPr>
          <w:rFonts w:ascii="Amiri" w:hAnsi="Amiri" w:eastAsia="Amiri" w:cs="Amiri"/>
          <w:color w:val="111111"/>
          <w:sz w:val="28"/>
          <w:sz w:val="28"/>
          <w:szCs w:val="28"/>
          <w:rtl w:val="true"/>
          <w:lang w:bidi="ar-SA"/>
        </w:rPr>
        <w:t>أنَّ أحاديث المهدي روايات ضعيفة كما عن ابن خلدون ومن تبعه كأحمد أمين وأبي زهرة ومحمّد فريد وجدي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عنها بوجهين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أنَّه مع وجود دعوى التواتر ولو إجمالاً لا يضرُّ فرض الضعف، قال القنوجي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شكَّ في أنَّ المهدي يخرج في </w:t>
      </w:r>
      <w:bookmarkStart w:id="125" w:name="pg7330_68924"/>
    </w:p>
    <w:p>
      <w:pPr>
        <w:pStyle w:val="BookText"/>
        <w:rPr/>
      </w:pPr>
      <w:bookmarkEnd w:id="125"/>
      <w:r>
        <w:rPr>
          <w:rFonts w:ascii="Amiri" w:hAnsi="Amiri" w:eastAsia="Amiri" w:cs="Amiri"/>
          <w:color w:val="111111"/>
          <w:sz w:val="28"/>
          <w:sz w:val="28"/>
          <w:szCs w:val="28"/>
          <w:rtl w:val="true"/>
          <w:lang w:bidi="ar-SA"/>
        </w:rPr>
        <w:t>آخر الزمان من غير تعيين لشهر وعام لما تواتر من الأخبار في الباب واتَّفق عليه جمهور الأمّة سلفاً عن خلف إلاَّ من لا يعتدّ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إنكار ذلك جرأة عظيمة في مقابلة النصوص المستفيضة المشهورة البالغة حدّ التواتر</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أنَّ نفس صاحب الشبهة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ابن خلدون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كما رأيت لم يخلص منها من النقد إلاَّ القليل</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وهو اعتراف بعدم النقد للبعض منها، فما الذريعة عندهم لعدم الأخذ بالسالم من النقد، بعد اعترافه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لو سلَّمنا قبول ابن خلدون في التضعيف والتصحيح 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صحَّح أربعة أحاديث من مجموع ثلاثة وعشرين رواية ذكرها في المهدي</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1013567_1051229030"/>
      <w:bookmarkStart w:id="127" w:name="_Toc44"/>
      <w:bookmarkEnd w:id="126"/>
      <w:r>
        <w:rPr>
          <w:rtl w:val="true"/>
        </w:rPr>
        <w:t>الشبهة الرابعة</w:t>
      </w:r>
      <w:r>
        <w:rPr>
          <w:rtl w:val="true"/>
        </w:rPr>
        <w:t xml:space="preserve">: </w:t>
      </w:r>
      <w:r>
        <w:rPr>
          <w:rtl w:val="true"/>
        </w:rPr>
        <w:t>المهدوية فكرة شيعية</w:t>
      </w:r>
      <w:r>
        <w:rPr>
          <w:rtl w:val="true"/>
        </w:rPr>
        <w:t>:</w:t>
      </w:r>
      <w:bookmarkEnd w:id="127"/>
    </w:p>
    <w:p>
      <w:pPr>
        <w:pStyle w:val="BookText"/>
        <w:rPr/>
      </w:pPr>
      <w:r>
        <w:rPr>
          <w:rFonts w:ascii="Amiri" w:hAnsi="Amiri" w:eastAsia="Amiri" w:cs="Amiri"/>
          <w:color w:val="111111"/>
          <w:sz w:val="28"/>
          <w:sz w:val="28"/>
          <w:szCs w:val="28"/>
          <w:rtl w:val="true"/>
          <w:lang w:bidi="ar-SA"/>
        </w:rPr>
        <w:t>أنَّ فكرة المهدي موجودة في فكر الشيعة فقط، دون غيره من المذاهب الأخرى، فعن عبد الرحمن محمّد عثمان في تعليقه على كتاب تحفة الآحوذي في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في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الكثير من العلماء الثقات الأثبات أنَّ ما ورد في أحاديث خاصّة بالمهدي ليست إلاَّ من وضع الباطنية والشيعة وأضرابهم وأنَّه لا تصحّ نسبتها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أحاديث المهدي ليست مختصّة بالشيعة، فالمذكور عندهم لا يقلُّ عمَّا هو المذكور عند الشيعة، فقد ألَّف الكثير من أعلام </w:t>
      </w:r>
      <w:bookmarkStart w:id="128" w:name="pg7330_68926"/>
    </w:p>
    <w:p>
      <w:pPr>
        <w:pStyle w:val="BookText"/>
        <w:rPr/>
      </w:pPr>
      <w:bookmarkEnd w:id="128"/>
      <w:r>
        <w:rPr>
          <w:rFonts w:ascii="Amiri" w:hAnsi="Amiri" w:eastAsia="Amiri" w:cs="Amiri"/>
          <w:color w:val="111111"/>
          <w:sz w:val="28"/>
          <w:sz w:val="28"/>
          <w:szCs w:val="28"/>
          <w:rtl w:val="true"/>
          <w:lang w:bidi="ar-SA"/>
        </w:rPr>
        <w:t xml:space="preserve">أهل السُنّة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محمّد بن طلحة الشافعي، ومحمّد بن يوسف الكنجي الشافعي، ونور الدين بن صبّاغ المالكي، وسبط ابن الجوزي، ومحي الدين بن العربي، وعبد الرحمن جامي، وعبد الوهّاب الشعراني، والسيّد جمال الدين النيسابوري، والحافظ محمّد بن محمّد البخاري، والعارف عبد الرحمن الصوفي، والشيخ حسن العراقي، وأحمد بن إبراهيم البلاذري، وعبد الله بن أحمد الخشاب، والفضل بن روزبهان، وشمس الدين محمّد بن طولون الحنفي، وأحمد بن يوسف القرماني، وسليمان بن إبراهيم القندوزي الحنفي، وأحمد بن حجر الهيتمي المكّي الشافعي، وسعد الدين الحموي، وأبو المجد الدهلوي البخاري، وصلاح الدين الصفدي، وعلي أكبر بن أسد الله المؤدي، وجلال الدين السيوطي، وابن سعد صاحب الطبقات الكبرى، وابن أبي شيبة، وأحمد بن حنبل، وابن ماجة، وأبو داود، والبيهقي، وابن عساكر، وابن منظور، وابن حجر العسقلاني، وغيرهم كثيراً</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1013569_1051229030"/>
      <w:bookmarkStart w:id="130" w:name="_Toc45"/>
      <w:bookmarkEnd w:id="129"/>
      <w:r>
        <w:rPr>
          <w:rtl w:val="true"/>
        </w:rPr>
        <w:t>الشبهة الخامسة</w:t>
      </w:r>
      <w:r>
        <w:rPr>
          <w:rtl w:val="true"/>
        </w:rPr>
        <w:t xml:space="preserve">: </w:t>
      </w:r>
      <w:r>
        <w:rPr>
          <w:rtl w:val="true"/>
        </w:rPr>
        <w:t>المهدوية قضيّة غيبية مشكوك فيها</w:t>
      </w:r>
      <w:r>
        <w:rPr>
          <w:rtl w:val="true"/>
        </w:rPr>
        <w:t>:</w:t>
      </w:r>
      <w:bookmarkEnd w:id="130"/>
    </w:p>
    <w:p>
      <w:pPr>
        <w:pStyle w:val="BookText"/>
        <w:rPr/>
      </w:pPr>
      <w:r>
        <w:rPr>
          <w:rFonts w:ascii="Amiri" w:hAnsi="Amiri" w:eastAsia="Amiri" w:cs="Amiri"/>
          <w:color w:val="111111"/>
          <w:sz w:val="28"/>
          <w:sz w:val="28"/>
          <w:szCs w:val="28"/>
          <w:rtl w:val="true"/>
          <w:lang w:bidi="ar-SA"/>
        </w:rPr>
        <w:t>أنَّه لا شبهة ولا ريب في وجود الشكّ وعدم العلم بقضيّة المهدي، ولمَّا كانت قضيّة غيبية فلا مجال لقبولها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وجوابها 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وهو جواب 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قضيّة المعاد قضيّة غيبية أيضاً، وفي تفاصيلها شكٌّ، ولكن ذلك لا يضرُّ باليقين بوجود أصل المعاد، فكذلك قضيّة المهدي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وهو جواب 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سلَّمنا بوجود الشكّ في قضيّة </w:t>
      </w:r>
      <w:bookmarkStart w:id="131" w:name="pg7330_68928"/>
    </w:p>
    <w:p>
      <w:pPr>
        <w:pStyle w:val="BookText"/>
        <w:rPr/>
      </w:pPr>
      <w:bookmarkEnd w:id="131"/>
      <w:r>
        <w:rPr>
          <w:rFonts w:ascii="Amiri" w:hAnsi="Amiri" w:eastAsia="Amiri" w:cs="Amiri"/>
          <w:color w:val="111111"/>
          <w:sz w:val="28"/>
          <w:sz w:val="28"/>
          <w:szCs w:val="28"/>
          <w:rtl w:val="true"/>
          <w:lang w:bidi="ar-SA"/>
        </w:rPr>
        <w:t xml:space="preserve">المهدي، فإنَّه شكٌّ في التفاصيل، والجزيئات، لا في أصل ثبوتها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وجود إمام باسم المهدي يخرج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محلّ اتّفاق، وإجماع، وضرورة إسلاميّة، بل ضرورة دينية في أصل وجود المنقذ</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1013571_1051229030"/>
      <w:bookmarkStart w:id="133" w:name="_Toc46"/>
      <w:bookmarkEnd w:id="132"/>
      <w:r>
        <w:rPr>
          <w:rtl w:val="true"/>
        </w:rPr>
        <w:t>الشبهة السادسة</w:t>
      </w:r>
      <w:r>
        <w:rPr>
          <w:rtl w:val="true"/>
        </w:rPr>
        <w:t xml:space="preserve">: </w:t>
      </w:r>
      <w:r>
        <w:rPr>
          <w:rtl w:val="true"/>
        </w:rPr>
        <w:t>المهدي فكرة مختلقة</w:t>
      </w:r>
      <w:r>
        <w:rPr>
          <w:rtl w:val="true"/>
        </w:rPr>
        <w:t>:</w:t>
      </w:r>
      <w:bookmarkEnd w:id="133"/>
    </w:p>
    <w:p>
      <w:pPr>
        <w:pStyle w:val="BookText"/>
        <w:rPr/>
      </w:pPr>
      <w:r>
        <w:rPr>
          <w:rFonts w:ascii="Amiri" w:hAnsi="Amiri" w:eastAsia="Amiri" w:cs="Amiri"/>
          <w:color w:val="111111"/>
          <w:sz w:val="28"/>
          <w:sz w:val="28"/>
          <w:szCs w:val="28"/>
          <w:rtl w:val="true"/>
          <w:lang w:bidi="ar-SA"/>
        </w:rPr>
        <w:t>إنّا نتوقَّف في قبول روايات المهدي، لأنَّ فكرة المهدي استغلَّت من قبل أهل الدنيا، والخلفاء، وسلاطين الجور، فربَّما هذه الروايات اختلقت من قبل هؤلاء لتمرير وتمشية حكمهم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الشبهة روحاً نظير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أفيون الشعوب فما يذكر من الجواب هناك جارٍ هنا، هذا هو الجواب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تفصيلاً نقضاً وحلاً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تمَّت مثل هذه الشبهة، فينبغي التوقّف أيضاً في أمر النبوّة، فإنَّها استغلَّت من قبل الطوائف المتقدّمة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مجرَّد التسليم بوجود استغلال، وإساءة لمثل قضيّة الإمام المهدي، لا يستدعي التوقّف في القضيّة المهدوية، فكم له من نظير، إذ ما من علم إلاَّ وقد استغلَّ في مآرب غير صحيحة، فهل يعني ذلك التوقّف فيه، وخير شاهد على ذلك علم الطبّ مثلاً</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1013573_1051229030"/>
      <w:bookmarkStart w:id="135" w:name="_Toc47"/>
      <w:bookmarkEnd w:id="134"/>
      <w:r>
        <w:rPr>
          <w:rtl w:val="true"/>
        </w:rPr>
        <w:t>الشبهة السابعة</w:t>
      </w:r>
      <w:r>
        <w:rPr>
          <w:rtl w:val="true"/>
        </w:rPr>
        <w:t xml:space="preserve">: </w:t>
      </w:r>
      <w:r>
        <w:rPr>
          <w:rtl w:val="true"/>
        </w:rPr>
        <w:t>روايات المهدي تصطدم مع العقل</w:t>
      </w:r>
      <w:r>
        <w:rPr>
          <w:rtl w:val="true"/>
        </w:rPr>
        <w:t>:</w:t>
      </w:r>
      <w:bookmarkEnd w:id="135"/>
    </w:p>
    <w:p>
      <w:pPr>
        <w:pStyle w:val="BookText"/>
        <w:rPr/>
      </w:pPr>
      <w:r>
        <w:rPr>
          <w:rFonts w:ascii="Amiri" w:hAnsi="Amiri" w:eastAsia="Amiri" w:cs="Amiri"/>
          <w:color w:val="111111"/>
          <w:sz w:val="28"/>
          <w:sz w:val="28"/>
          <w:szCs w:val="28"/>
          <w:rtl w:val="true"/>
          <w:lang w:bidi="ar-SA"/>
        </w:rPr>
        <w:t>أنَّ مجموعة من الروايات المنقولة في شأن المهدي غير معقولة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المقصود مجرَّد التعارض بين روايات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ضروريات العقل القطعي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فجوابه أنَّ هذا وإن أوجب تضعيف الروايات لكن أنّى ذلك؟ فلا </w:t>
      </w:r>
      <w:bookmarkStart w:id="136" w:name="pg7330_68930"/>
    </w:p>
    <w:p>
      <w:pPr>
        <w:pStyle w:val="BookText"/>
        <w:rPr/>
      </w:pPr>
      <w:bookmarkEnd w:id="136"/>
      <w:r>
        <w:rPr>
          <w:rFonts w:ascii="Amiri" w:hAnsi="Amiri" w:eastAsia="Amiri" w:cs="Amiri"/>
          <w:color w:val="111111"/>
          <w:sz w:val="28"/>
          <w:sz w:val="28"/>
          <w:szCs w:val="28"/>
          <w:rtl w:val="true"/>
          <w:lang w:bidi="ar-SA"/>
        </w:rPr>
        <w:t>نعهد وجود مورد يدلُّ على التنافي الصريح، على أنَّه لو سُلّم ذلك فهو في التفاصيل النادرة التي لا يضرُّ إنكارها في فكرة المهدي على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المقصود تنافي الروايات مع العقل الحسّي إذ أنَّ قضيّة الإمام المهدي لا يأنسها العقل الحسّي، بل يستوحشها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فجوابه أنَّه كم من مورد يكون منافياً مع العقل الحسّي، ولا يوجب ذلك رفضه، وعدم الاعتقاد به، إذ كيف للعقل الحسّي أن يدرك أموراً لا مسرح له في خوضها، واقتحامها، فإنَّ شأنه الخوض في الأمور المادية الصرفة، وفي دائرة العلوم الطبيعية، ثمّ إنَّ العقل الظنّي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التحقيق عندنا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ليس بحجّة في حدّ نفسه، فأنّى له أن يقاوم الروايات الصحيحة السند التي ثبتت حجّيتها على وفق المعايير الرجالية المذكورة في محلّها</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1013575_1051229030"/>
      <w:bookmarkStart w:id="138" w:name="_Toc48"/>
      <w:bookmarkEnd w:id="137"/>
      <w:r>
        <w:rPr>
          <w:rtl w:val="true"/>
        </w:rPr>
        <w:t>الشبهة الثامنة</w:t>
      </w:r>
      <w:r>
        <w:rPr>
          <w:rtl w:val="true"/>
        </w:rPr>
        <w:t xml:space="preserve">: </w:t>
      </w:r>
      <w:r>
        <w:rPr>
          <w:rtl w:val="true"/>
        </w:rPr>
        <w:t>روايات المهدي تصطدم مع القاعدة الاجتماعية</w:t>
      </w:r>
      <w:r>
        <w:rPr>
          <w:rtl w:val="true"/>
        </w:rPr>
        <w:t>:</w:t>
      </w:r>
      <w:bookmarkEnd w:id="13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الإمام تتنافى مع القاعدة الاجتماعية التي أسَّسها ابن خلدون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الذي ينبغي أن يتقرَّر لديك أنَّه لا تتمُّ دعوة من الدين والملك إلاَّ بوجود شوكة وعصبية تظهره وتدافع عنه من يدفعه حتَّى يتمَّ أمر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وعصبية الفاطميين، بل وقريش أجمع قد تلاشت من جميع الآفاق ووجد أمم آخرون قد استعلت عصبيتهم على عصبية قريش، إلاَّ ما بقي بالحجاز في مكّة وينبع بالمدينة من الطالبيين من بني حسن وبني حسين وبني جعفر وهم منتشرون في تلك البلاد وغالبون عليها وهم عصائب بدوية متفرَّقون في مواطنهم وإماراتهم وآرائهم</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الفكرة يرى أنَّ الظواهر الاجتماعية وليدة التعصّب، فما </w:t>
      </w:r>
      <w:bookmarkStart w:id="139" w:name="pg7330_68932"/>
    </w:p>
    <w:p>
      <w:pPr>
        <w:pStyle w:val="BookText"/>
        <w:rPr/>
      </w:pPr>
      <w:bookmarkEnd w:id="139"/>
      <w:r>
        <w:rPr>
          <w:rFonts w:ascii="Amiri" w:hAnsi="Amiri" w:eastAsia="Amiri" w:cs="Amiri"/>
          <w:color w:val="111111"/>
          <w:sz w:val="28"/>
          <w:sz w:val="28"/>
          <w:szCs w:val="28"/>
          <w:rtl w:val="true"/>
          <w:lang w:bidi="ar-SA"/>
        </w:rPr>
        <w:t>من ظاهرة إلاَّ ولا بدَّ من تفسيرها على أساس التعصّب، وحيث إنَّ ظاهرة الإمام المهدي ظاهرة اجتماعية انتشرت في ذلك الزمان، فهي لا محالة وليدة التعصّب لبني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تطفّل عالِم التاريخ على غير تخصّصه فيحكم بضعف الرواية في غاية القبح، وأقبح منه قبول قول المتطفّل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النظرية في نفسها تحتاج إلى دليل لإثباتها قبل اعتمادها في إبطال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وتحتاج أيضاً إلى دليل لإثبات عموميتها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تصلح هذه النظرية في توجيه حركة الأنبياء والرسل؟</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تتنافى مع حكم الإسلام البديهي بقبح التعصّب</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1013577_1051229030"/>
      <w:bookmarkStart w:id="141" w:name="_Toc49"/>
      <w:bookmarkEnd w:id="140"/>
      <w:r>
        <w:rPr>
          <w:rtl w:val="true"/>
        </w:rPr>
        <w:t>الشبهة التاسعة</w:t>
      </w:r>
      <w:r>
        <w:rPr>
          <w:rtl w:val="true"/>
        </w:rPr>
        <w:t xml:space="preserve">: </w:t>
      </w:r>
      <w:r>
        <w:rPr>
          <w:rtl w:val="true"/>
        </w:rPr>
        <w:t>اختلاف الشيعة أمارة النفي</w:t>
      </w:r>
      <w:r>
        <w:rPr>
          <w:rtl w:val="true"/>
        </w:rPr>
        <w:t>:</w:t>
      </w:r>
      <w:bookmarkEnd w:id="141"/>
    </w:p>
    <w:p>
      <w:pPr>
        <w:pStyle w:val="BookText"/>
        <w:rPr/>
      </w:pPr>
      <w:r>
        <w:rPr>
          <w:rFonts w:ascii="Amiri" w:hAnsi="Amiri" w:eastAsia="Amiri" w:cs="Amiri"/>
          <w:color w:val="111111"/>
          <w:sz w:val="28"/>
          <w:sz w:val="28"/>
          <w:szCs w:val="28"/>
          <w:rtl w:val="true"/>
          <w:lang w:bidi="ar-SA"/>
        </w:rPr>
        <w:t>اختلاف الفِرَق الشيعية في أمر المهدي لتفرّق الشيعة بعد الإمام الحادي عشر، إذ أنَّهم حدَّثوا بلابدّية الحجّة في الأرض، وبما أنَّ الإمام العسكري ليس له خلف، فاضطروا إلى القول بالإمام الغائب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الخلاف لا يستلزم البطلان، وإلاَّ لما سلم دين على وجه الأرض، وأيضاً قد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افتراق أمّته بعده إلى ثلاث وسبعين فرقة</w:t>
      </w:r>
      <w:r>
        <w:rPr>
          <w:rStyle w:val="FootnoteAnchor"/>
          <w:rtl w:val="true"/>
        </w:rPr>
        <w:footnoteReference w:id="101"/>
      </w:r>
      <w:r>
        <w:rPr>
          <w:rFonts w:ascii="Amiri" w:hAnsi="Amiri" w:eastAsia="Amiri" w:cs="Amiri"/>
          <w:color w:val="111111"/>
          <w:sz w:val="28"/>
          <w:sz w:val="28"/>
          <w:szCs w:val="28"/>
          <w:rtl w:val="true"/>
          <w:lang w:bidi="ar-SA"/>
        </w:rPr>
        <w:t xml:space="preserve">، هذا مضافاً إلى أنَّه لم تختلف الأمّة الشيعية بشكلها العامّ عن قضيّة الغيبة بعدما كانت الروايات قد مهَّدت لظاهرة الغيبة ابتداءً من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وانتهاءً بعصر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42" w:name="pg7330_68934"/>
    </w:p>
    <w:p>
      <w:pPr>
        <w:pStyle w:val="Heading6"/>
        <w:numPr>
          <w:ilvl w:val="5"/>
          <w:numId w:val="1"/>
        </w:numPr>
        <w:rPr/>
      </w:pPr>
      <w:bookmarkStart w:id="143" w:name="__RefHeading___Toc1013579_1051229030"/>
      <w:bookmarkStart w:id="144" w:name="_Toc50"/>
      <w:bookmarkEnd w:id="142"/>
      <w:bookmarkEnd w:id="143"/>
      <w:r>
        <w:rPr>
          <w:rtl w:val="true"/>
        </w:rPr>
        <w:t>الشبهة العاشرة</w:t>
      </w:r>
      <w:r>
        <w:rPr>
          <w:rtl w:val="true"/>
        </w:rPr>
        <w:t xml:space="preserve">: </w:t>
      </w:r>
      <w:r>
        <w:rPr>
          <w:rtl w:val="true"/>
        </w:rPr>
        <w:t>فكرة المهدي موروثة من الأديان المنحرفة</w:t>
      </w:r>
      <w:r>
        <w:rPr>
          <w:rtl w:val="true"/>
        </w:rPr>
        <w:t>:</w:t>
      </w:r>
      <w:bookmarkEnd w:id="144"/>
    </w:p>
    <w:p>
      <w:pPr>
        <w:pStyle w:val="BookText"/>
        <w:rPr/>
      </w:pPr>
      <w:r>
        <w:rPr>
          <w:rFonts w:ascii="Amiri" w:hAnsi="Amiri" w:eastAsia="Amiri" w:cs="Amiri"/>
          <w:color w:val="111111"/>
          <w:sz w:val="28"/>
          <w:sz w:val="28"/>
          <w:szCs w:val="28"/>
          <w:rtl w:val="true"/>
          <w:lang w:bidi="ar-SA"/>
        </w:rPr>
        <w:t>أنَّ الغيبة فكرة مشتركة بين اليهود، والنصارى، والمجوسية، فهي دخيلة على الإسلام روَّج لها الشيعة، فروايات المهدي إسرائيليات دُسَّت في التراث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فكرةٍ واعتقادٍ مشترك بين الأديان السماوية أمر لا يمكن إنكاره، ومجرَّد الاشتراك لا يستدعي التضعيف وكونها مدسوسة وموضوعة، بل يلزم التأصيل لاشتراك الأديان بها</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1013581_1051229030"/>
      <w:bookmarkStart w:id="146" w:name="_Toc51"/>
      <w:bookmarkEnd w:id="145"/>
      <w:r>
        <w:rPr>
          <w:rtl w:val="true"/>
        </w:rPr>
        <w:t>الشبهة الحادية عشرة</w:t>
      </w:r>
      <w:r>
        <w:rPr>
          <w:rtl w:val="true"/>
        </w:rPr>
        <w:t xml:space="preserve">: </w:t>
      </w:r>
      <w:r>
        <w:rPr>
          <w:rtl w:val="true"/>
        </w:rPr>
        <w:t>شبهة الولادة</w:t>
      </w:r>
      <w:r>
        <w:rPr>
          <w:rtl w:val="true"/>
        </w:rPr>
        <w:t>:</w:t>
      </w:r>
      <w:bookmarkEnd w:id="146"/>
    </w:p>
    <w:p>
      <w:pPr>
        <w:pStyle w:val="BookText"/>
        <w:rPr/>
      </w:pPr>
      <w:r>
        <w:rPr>
          <w:rFonts w:ascii="Amiri" w:hAnsi="Amiri" w:eastAsia="Amiri" w:cs="Amiri"/>
          <w:color w:val="111111"/>
          <w:sz w:val="28"/>
          <w:sz w:val="28"/>
          <w:szCs w:val="28"/>
          <w:rtl w:val="true"/>
          <w:lang w:bidi="ar-SA"/>
        </w:rPr>
        <w:t>إنّا نسلّم بفكرة المهدي ولكن نشكّك في ولادته، وبالتالي فهو غير موجود الآن ولو بضمّ بعض الأصول كأصالة العدم واستصحابه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أمرٍ أو نفيه في الوقوع إنَّما يكون ويُقبَل ممَّن كان أقربَ منه شأناً، فهو أعرف بخصائص ودقائق ذلك الشيء، لأنَّه ممَّا يهمّه ويخصّه، وعليه فلا يقبل الإثبات والنفي ممَّا كان المثبت أو النافي بعيداً منه شأناً، وإلاَّ فهل يقبل المستشكل أن نثبت له اعتقاداً ما ليس عنده أو ننفيه؟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عن الجواب الأوّل، فإنَّ هناك الكثير ممَّن اعترف بولادته، كمحمّد بن طلحة الشافعي في مطالب السؤول</w:t>
      </w:r>
      <w:r>
        <w:rPr>
          <w:rStyle w:val="FootnoteAnchor"/>
          <w:rtl w:val="true"/>
        </w:rPr>
        <w:footnoteReference w:id="102"/>
      </w:r>
      <w:r>
        <w:rPr>
          <w:rFonts w:ascii="IRNazanin" w:hAnsi="IRNazanin" w:eastAsia="IRNazanin"/>
          <w:color w:val="111111"/>
          <w:sz w:val="28"/>
          <w:sz w:val="28"/>
          <w:szCs w:val="28"/>
          <w:rtl w:val="true"/>
          <w:lang w:bidi="fa-IR"/>
        </w:rPr>
        <w:t xml:space="preserve">، وابن </w:t>
      </w:r>
      <w:bookmarkStart w:id="147" w:name="pg7330_68936"/>
    </w:p>
    <w:p>
      <w:pPr>
        <w:pStyle w:val="BookText"/>
        <w:rPr/>
      </w:pPr>
      <w:bookmarkEnd w:id="147"/>
      <w:r>
        <w:rPr>
          <w:rFonts w:ascii="Amiri" w:hAnsi="Amiri" w:eastAsia="Amiri" w:cs="Amiri"/>
          <w:color w:val="111111"/>
          <w:sz w:val="28"/>
          <w:sz w:val="28"/>
          <w:szCs w:val="28"/>
          <w:rtl w:val="true"/>
          <w:lang w:bidi="ar-SA"/>
        </w:rPr>
        <w:t>خلكان</w:t>
      </w:r>
      <w:r>
        <w:rPr>
          <w:rStyle w:val="FootnoteAnchor"/>
          <w:rtl w:val="true"/>
        </w:rPr>
        <w:footnoteReference w:id="103"/>
      </w:r>
      <w:r>
        <w:rPr>
          <w:rFonts w:ascii="Amiri" w:hAnsi="Amiri" w:eastAsia="Amiri" w:cs="Amiri"/>
          <w:color w:val="111111"/>
          <w:sz w:val="28"/>
          <w:sz w:val="28"/>
          <w:szCs w:val="28"/>
          <w:rtl w:val="true"/>
          <w:lang w:bidi="ar-SA"/>
        </w:rPr>
        <w:t>، وصاحب الفصول المهمّة</w:t>
      </w:r>
      <w:r>
        <w:rPr>
          <w:rStyle w:val="FootnoteAnchor"/>
          <w:rtl w:val="true"/>
        </w:rPr>
        <w:footnoteReference w:id="104"/>
      </w:r>
      <w:r>
        <w:rPr>
          <w:rFonts w:ascii="Amiri" w:hAnsi="Amiri" w:eastAsia="Amiri" w:cs="Amiri"/>
          <w:color w:val="111111"/>
          <w:sz w:val="28"/>
          <w:sz w:val="28"/>
          <w:szCs w:val="28"/>
          <w:rtl w:val="true"/>
          <w:lang w:bidi="ar-SA"/>
        </w:rPr>
        <w:t>، بل لم يحتو نصٌّ في ظرفه وما قاربه على عدم ثبوت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بحث الظلمة عنه دليلٌ على اعترافهم بولادته فإنَّهم وإن لم يجدوه، لكن نفس البحث ربَّما يكون دليلاً على الولادة ومظنَّتها، وإلاَّ فلو كان عندهم وضوح بعدم الولادة لكان فعلهم سفهياً ولا نريد بهذا الجواب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أمارة الولادة كما هو واضح، وإنَّما نريد دعوى عدم الوضوح في نفي الولادة</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1013583_1051229030"/>
      <w:bookmarkStart w:id="149" w:name="_Toc52"/>
      <w:bookmarkEnd w:id="148"/>
      <w:r>
        <w:rPr>
          <w:rtl w:val="true"/>
        </w:rPr>
        <w:t>الشبهة الثانية عشرة</w:t>
      </w:r>
      <w:r>
        <w:rPr>
          <w:rtl w:val="true"/>
        </w:rPr>
        <w:t xml:space="preserve">: </w:t>
      </w:r>
      <w:r>
        <w:rPr>
          <w:rtl w:val="true"/>
        </w:rPr>
        <w:t>لا فائدة من الإمام الغائب</w:t>
      </w:r>
      <w:r>
        <w:rPr>
          <w:rtl w:val="true"/>
        </w:rPr>
        <w:t>:</w:t>
      </w:r>
      <w:bookmarkEnd w:id="149"/>
    </w:p>
    <w:p>
      <w:pPr>
        <w:pStyle w:val="BookText"/>
        <w:rPr/>
      </w:pPr>
      <w:r>
        <w:rPr>
          <w:rFonts w:ascii="Amiri" w:hAnsi="Amiri" w:eastAsia="Amiri" w:cs="Amiri"/>
          <w:color w:val="111111"/>
          <w:sz w:val="28"/>
          <w:sz w:val="28"/>
          <w:szCs w:val="28"/>
          <w:rtl w:val="true"/>
          <w:lang w:bidi="ar-SA"/>
        </w:rPr>
        <w:t>ما هي فائدة الإمام الغائب، علماً أنَّه لا بدَّ من فرض فائدة لتنصيب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اعترفت الشيعة بعدم إمكان تسيير الأمور للأمّة الإسلاميّة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بالإمام، فغيبته تنافي ذلك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قام البرهان على وجوده فلا مجال للاستفسار عن تصرّفاته، فعدم إدراك الفائدة لا يسوّغ تضعيف الآثار، ومن ثَمَّ نفي الوجود مضافاً إلى تأثيره التكويني، وأثره الغيبي غير المحسوس، فإنَّ معتقد الشيعة بلابدّية الإمام ولو لأجل الحفاظ على الأثر التكويني، ناهيك عن ترتّب جملة من الآثار المحسوسة الثابتة بناءً على قاعدة اللطف</w:t>
      </w:r>
      <w:r>
        <w:rPr>
          <w:rFonts w:eastAsia="Amiri" w:cs="Amiri" w:ascii="Amiri" w:hAnsi="Amiri"/>
          <w:color w:val="111111"/>
          <w:sz w:val="28"/>
          <w:szCs w:val="28"/>
          <w:rtl w:val="true"/>
          <w:lang w:bidi="ar-SA"/>
        </w:rPr>
        <w:t xml:space="preserve">. </w:t>
      </w:r>
      <w:bookmarkStart w:id="150" w:name="pg7330_68938"/>
    </w:p>
    <w:p>
      <w:pPr>
        <w:pStyle w:val="BookText"/>
        <w:rPr/>
      </w:pPr>
      <w:bookmarkEnd w:id="150"/>
      <w:r>
        <w:rPr>
          <w:rFonts w:ascii="Amiri" w:hAnsi="Amiri" w:eastAsia="Amiri" w:cs="Amiri"/>
          <w:color w:val="111111"/>
          <w:sz w:val="28"/>
          <w:sz w:val="28"/>
          <w:szCs w:val="28"/>
          <w:rtl w:val="true"/>
          <w:lang w:bidi="ar-SA"/>
        </w:rPr>
        <w:t>وعلى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العقيدة بالمهدي ثابتة بالتواتر، ويجب التسليم بها، لأنَّها من الغيب، أو من جهة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 عنها، ولا بدَّ من الإيمان بإخبار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1013585_1051229030"/>
      <w:bookmarkStart w:id="152" w:name="_Toc53"/>
      <w:bookmarkEnd w:id="151"/>
      <w:r>
        <w:rPr>
          <w:rtl w:val="true"/>
        </w:rPr>
        <w:t>الشبهة الثالثة عشرة</w:t>
      </w:r>
      <w:r>
        <w:rPr>
          <w:rtl w:val="true"/>
        </w:rPr>
        <w:t xml:space="preserve">: </w:t>
      </w:r>
      <w:r>
        <w:rPr>
          <w:rtl w:val="true"/>
        </w:rPr>
        <w:t>الفكرة ومنشأها عوامل نفسية</w:t>
      </w:r>
      <w:r>
        <w:rPr>
          <w:rtl w:val="true"/>
        </w:rPr>
        <w:t>:</w:t>
      </w:r>
      <w:bookmarkEnd w:id="152"/>
    </w:p>
    <w:p>
      <w:pPr>
        <w:pStyle w:val="BookText"/>
        <w:rPr/>
      </w:pPr>
      <w:r>
        <w:rPr>
          <w:rFonts w:ascii="Amiri" w:hAnsi="Amiri" w:eastAsia="Amiri" w:cs="Amiri"/>
          <w:color w:val="111111"/>
          <w:sz w:val="28"/>
          <w:sz w:val="28"/>
          <w:szCs w:val="28"/>
          <w:rtl w:val="true"/>
          <w:lang w:bidi="ar-SA"/>
        </w:rPr>
        <w:t>فكرة الغيبة وليدة دفع الكبت النفسي الذي يعايشه الشيعة بسبب اضطهادهم من الحكومات الظالمة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نظير هذا الكلام قيل في توجيه الاعتقاد بالله تعالى،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نكتة الاعتقاد به أمر نفسي، كما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أنَّ أدنى مراجعة لمفردات المنظومة المهدوية، ولثقافتها تردُّ هذه الشبهة، ثمّ ما هو الدليل على أصل مدّعاهم، إذ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مدّعاهم هو التأثّر النفسي ضدّ المذهب الشيعي واتّساع حركته وزيادة قبوله</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1013587_1051229030"/>
      <w:bookmarkStart w:id="154" w:name="_Toc54"/>
      <w:bookmarkEnd w:id="153"/>
      <w:r>
        <w:rPr>
          <w:rtl w:val="true"/>
        </w:rPr>
        <w:t>الشبهة الرابعة عشرة</w:t>
      </w:r>
      <w:r>
        <w:rPr>
          <w:rtl w:val="true"/>
        </w:rPr>
        <w:t xml:space="preserve">: </w:t>
      </w:r>
      <w:r>
        <w:rPr>
          <w:rtl w:val="true"/>
        </w:rPr>
        <w:t>غيبة اللطف</w:t>
      </w:r>
      <w:r>
        <w:rPr>
          <w:rtl w:val="true"/>
        </w:rPr>
        <w:t>:</w:t>
      </w:r>
      <w:bookmarkEnd w:id="154"/>
    </w:p>
    <w:p>
      <w:pPr>
        <w:pStyle w:val="BookText"/>
        <w:rPr/>
      </w:pPr>
      <w:r>
        <w:rPr>
          <w:rFonts w:ascii="Amiri" w:hAnsi="Amiri" w:eastAsia="Amiri" w:cs="Amiri"/>
          <w:color w:val="111111"/>
          <w:sz w:val="28"/>
          <w:sz w:val="28"/>
          <w:szCs w:val="28"/>
          <w:rtl w:val="true"/>
          <w:lang w:bidi="ar-SA"/>
        </w:rPr>
        <w:t>الإمام لطفٌ، بمعنى المقرّبية لله تعالى، فكيف تجوز غيبة اللطف، إذ شأنه لا بدَّ أن يكون ظاهراً فلا يجتمع اللطف مع الغيبة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معطَّل، والذي ينافي اللطف التعطيل لا الغيبة، وفرق بينهما، وقد دلَّت الآثار على أنَّ الإمام ليس بمعطّل، وإنَّما غائب لا تدركه النفوس الضيّقة كما شبّه بعدم إدراك البصر للشمس عندما تحجبها الغيوم، والسحاب، فهل يعني أنَّنا نتنازل عن فائدتها أثناء الحجب؟ مضافاً أنَّ نفي اللطف يكون قبيحاً ومنافياً إذا كان من الله تعالى، أمَّا إذا كان بسبب العباد فالتقصير منهم، وإليهم يعود القبح</w:t>
      </w:r>
      <w:r>
        <w:rPr>
          <w:rFonts w:eastAsia="Amiri" w:cs="Amiri" w:ascii="Amiri" w:hAnsi="Amiri"/>
          <w:color w:val="111111"/>
          <w:sz w:val="28"/>
          <w:szCs w:val="28"/>
          <w:rtl w:val="true"/>
          <w:lang w:bidi="ar-SA"/>
        </w:rPr>
        <w:t xml:space="preserve">. </w:t>
      </w:r>
      <w:bookmarkStart w:id="155" w:name="pg7330_68939"/>
    </w:p>
    <w:p>
      <w:pPr>
        <w:pStyle w:val="Heading6"/>
        <w:numPr>
          <w:ilvl w:val="5"/>
          <w:numId w:val="1"/>
        </w:numPr>
        <w:rPr/>
      </w:pPr>
      <w:bookmarkStart w:id="156" w:name="__RefHeading___Toc1013589_1051229030"/>
      <w:bookmarkStart w:id="157" w:name="_Toc55"/>
      <w:bookmarkEnd w:id="155"/>
      <w:bookmarkEnd w:id="156"/>
      <w:r>
        <w:rPr>
          <w:rtl w:val="true"/>
        </w:rPr>
        <w:t>الشبهة الخامسة عشرة</w:t>
      </w:r>
      <w:r>
        <w:rPr>
          <w:rtl w:val="true"/>
        </w:rPr>
        <w:t xml:space="preserve">: </w:t>
      </w:r>
      <w:r>
        <w:rPr>
          <w:rtl w:val="true"/>
        </w:rPr>
        <w:t>المهدي سيولد بعد ذلك</w:t>
      </w:r>
      <w:r>
        <w:rPr>
          <w:rtl w:val="true"/>
        </w:rPr>
        <w:t>:</w:t>
      </w:r>
      <w:bookmarkEnd w:id="157"/>
    </w:p>
    <w:p>
      <w:pPr>
        <w:pStyle w:val="BookText"/>
        <w:rPr/>
      </w:pPr>
      <w:r>
        <w:rPr>
          <w:rFonts w:ascii="Amiri" w:hAnsi="Amiri" w:eastAsia="Amiri" w:cs="Amiri"/>
          <w:color w:val="111111"/>
          <w:sz w:val="28"/>
          <w:sz w:val="28"/>
          <w:szCs w:val="28"/>
          <w:rtl w:val="true"/>
          <w:lang w:bidi="ar-SA"/>
        </w:rPr>
        <w:t>التسليم بفكرة المهدي إلاَّ أنَّه سيولد بعد ذلك، كما هو رأي العامّة الذين استندوا لبعض الروايات من أنَّه سيولد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هذا الكم الهائل من الروايات عندهم، مع عدم تعرّضها إلى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عبَّرت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الزمان، ومن الواضح أنَّ الظهور صفة يسبقها الخفاء، فمن هنا جاء التأكيد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للتدليل على أنَّ من صفات الموعود هو الغيبة 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تعابيرهم</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1013591_1051229030"/>
      <w:bookmarkStart w:id="159" w:name="_Toc56"/>
      <w:bookmarkEnd w:id="158"/>
      <w:r>
        <w:rPr>
          <w:rtl w:val="true"/>
        </w:rPr>
        <w:t>الشبهة السادسة عشرة</w:t>
      </w:r>
      <w:r>
        <w:rPr>
          <w:rtl w:val="true"/>
        </w:rPr>
        <w:t xml:space="preserve">: </w:t>
      </w:r>
      <w:r>
        <w:rPr>
          <w:rtl w:val="true"/>
        </w:rPr>
        <w:t>فكرة الغيبة تنافي أحكاماً فقهية</w:t>
      </w:r>
      <w:r>
        <w:rPr>
          <w:rtl w:val="true"/>
        </w:rPr>
        <w:t>:</w:t>
      </w:r>
      <w:bookmarkEnd w:id="159"/>
    </w:p>
    <w:p>
      <w:pPr>
        <w:pStyle w:val="BookText"/>
        <w:rPr/>
      </w:pPr>
      <w:r>
        <w:rPr>
          <w:rFonts w:ascii="Amiri" w:hAnsi="Amiri" w:eastAsia="Amiri" w:cs="Amiri"/>
          <w:color w:val="111111"/>
          <w:sz w:val="28"/>
          <w:sz w:val="28"/>
          <w:szCs w:val="28"/>
          <w:rtl w:val="true"/>
          <w:lang w:bidi="ar-SA"/>
        </w:rPr>
        <w:t>الغيبة تنافي الأمر بالمعروف والنهي عن المنكر، والاهتمام بأمور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للأمر بالمعروف والنهي عن المنكر شروطاً، ومن الشروط أن يستعين الآمر بالأسباب الطبيعية، المعهودة، وآمرية الإمام تستدعي أن يدخل في سياق الأمر الظهوري، فإنَّ للشريعة ظاهراً وباطناً، وقد ذكر في فقه التزاحم تقديم الأهمّ، فأهمّية خفائه تتقدَّم على آمرية الأمر بالمعروف، بل يأتي هذا الإشكال في حقّ الخضر ونحوه مضافاً إلى أنَّه يمكن اجتماع الغيبة مع الآمرية لأنَّ المراد غيبة الهوية لا الذات</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1013593_1051229030"/>
      <w:bookmarkStart w:id="161" w:name="_Toc57"/>
      <w:bookmarkEnd w:id="160"/>
      <w:r>
        <w:rPr>
          <w:rtl w:val="true"/>
        </w:rPr>
        <w:t>الشبهة السابعة عشرة</w:t>
      </w:r>
      <w:r>
        <w:rPr>
          <w:rtl w:val="true"/>
        </w:rPr>
        <w:t xml:space="preserve">: </w:t>
      </w:r>
      <w:r>
        <w:rPr>
          <w:rtl w:val="true"/>
        </w:rPr>
        <w:t>ادّعاء مجموعة أنَّهم هم المهدي يستدعي رفض فكرة المهدي</w:t>
      </w:r>
      <w:r>
        <w:rPr>
          <w:rtl w:val="true"/>
        </w:rPr>
        <w:t>:</w:t>
      </w:r>
      <w:bookmarkEnd w:id="16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هذا المهدي أيضاً كذلك، فقد ادّعى ذلك الكثير أو ادّعيت لهم كالمهدي السوداني ومحمّد بن الحنفية ومحمّد بن عبد الله بن الحسن والعبّاسيين وغيرهم</w:t>
      </w:r>
      <w:r>
        <w:rPr>
          <w:rFonts w:eastAsia="Amiri" w:cs="Amiri" w:ascii="Amiri" w:hAnsi="Amiri"/>
          <w:color w:val="111111"/>
          <w:sz w:val="28"/>
          <w:szCs w:val="28"/>
          <w:rtl w:val="true"/>
          <w:lang w:bidi="ar-SA"/>
        </w:rPr>
        <w:t xml:space="preserve">. </w:t>
      </w:r>
      <w:bookmarkStart w:id="162" w:name="pg7330_68941"/>
    </w:p>
    <w:p>
      <w:pPr>
        <w:pStyle w:val="BookText"/>
        <w:rPr/>
      </w:pPr>
      <w:bookmarkEnd w:id="162"/>
      <w:r>
        <w:rPr>
          <w:rFonts w:ascii="Amiri" w:hAnsi="Amiri" w:eastAsia="Amiri" w:cs="Amiri"/>
          <w:color w:val="111111"/>
          <w:sz w:val="28"/>
          <w:sz w:val="28"/>
          <w:szCs w:val="28"/>
          <w:rtl w:val="true"/>
          <w:lang w:bidi="ar-SA"/>
        </w:rPr>
        <w:t>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 هذه الملازمة لصحَّ إبطال كثير من الأمور كالعدالة مثلاً إذ ادّعاها طواغيت الأرض كلّهم، ولحكمنا على العلماء بالجهل لكثرة من ادّعى العلم، وهكذا كالشجاعة والكرم إذ ما من صفة كريمة إلاَّ وقد ادّعاها من ليست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جملة من الإشكالات التي ذكرها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عنها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العشرة في الغيبة</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1013595_1051229030"/>
      <w:bookmarkStart w:id="164" w:name="_Toc58"/>
      <w:bookmarkEnd w:id="163"/>
      <w:r>
        <w:rPr>
          <w:rtl w:val="true"/>
        </w:rPr>
        <w:t>الخلاصة</w:t>
      </w:r>
      <w:r>
        <w:rPr>
          <w:rtl w:val="true"/>
        </w:rPr>
        <w:t>:</w:t>
      </w:r>
      <w:bookmarkEnd w:id="164"/>
    </w:p>
    <w:p>
      <w:pPr>
        <w:pStyle w:val="BookText"/>
        <w:rPr/>
      </w:pPr>
      <w:r>
        <w:rPr>
          <w:rFonts w:ascii="Amiri" w:hAnsi="Amiri" w:eastAsia="Amiri" w:cs="Amiri"/>
          <w:color w:val="111111"/>
          <w:sz w:val="28"/>
          <w:sz w:val="28"/>
          <w:szCs w:val="28"/>
          <w:rtl w:val="true"/>
          <w:lang w:bidi="ar-SA"/>
        </w:rPr>
        <w:t>إنَّ ثبوت قضيّة المهدي، وخروجه، وانتظاره، غير مخالف للعقل، ولا للأصول الشرعية، ولا لقاعدة مجمع عليها، ولا لفرع محقَّق، هذا بلحاظ أصل القضيّة المهدوية، وأنَّ هناك مهدياً، وهو إمام غائب ويجب انتظاره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تفاصيل هذه العقيدة، فما كان منها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معارضاً لأصل عقلي، أو شرعي، بل حتَّى الفرع المجمع عليه، فهو مرفوض، وإلاَّ فإن لم يصحّ سنده كالخبر الضعيف لم يجز نسبته إلى الشارع إلاَّ على سياق قاعدة التسامح، أو روايات من بلغ إن كان لها مجال فيما نحن فيه، وإن صحَّ سنده كالخبر الصحيح والحسن والموثَّق فهو خبر عادي يصحّ نسبته ولا يجب تكليفاً الاعتقاد بالأمور التفصيلية ما لم يلزم محذور آخر، وإلاَّ فإن لزم محذور آخر في عدم الاعتقاد مع عدم الضرر بالاعتقاد فلا بدَّ من الاعتقاد به، وإلاَّ فإن لم يلزم محذور آخر من عدم الاعتقاد كقضيّة جزئية جدّاً، أو لزم الاعتقاد به حكم الضرر فينبغي عدم الاعتقاد به، إمَّا لعدم الدليل عليه وإمَّا لحكم الضرر ونحوه، كما هو واضح وفق الموازين المذكورة في محلّها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العقيدة بالمهدي، بلحاظ أصلها، كقضيّة عقدية، فهي ثابتة </w:t>
      </w:r>
    </w:p>
    <w:p>
      <w:pPr>
        <w:pStyle w:val="BookText"/>
        <w:rPr/>
      </w:pPr>
      <w:r>
        <w:rPr>
          <w:rFonts w:ascii="Amiri" w:hAnsi="Amiri" w:eastAsia="Amiri" w:cs="Amiri"/>
          <w:color w:val="111111"/>
          <w:sz w:val="28"/>
          <w:sz w:val="28"/>
          <w:szCs w:val="28"/>
          <w:rtl w:val="true"/>
          <w:lang w:bidi="ar-SA"/>
        </w:rPr>
        <w:t xml:space="preserve">بالتواتر، فيجب التسليم بها، لأنَّها من الغيب، أو من جهة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عنها، فلا بدَّ من الإيمان بإخبارات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القطعية صدوراً، وأمَّا التفاصيل فلا يجب الاعتقاد بها وإن احتجنا إلى جلّها كما هو الحال في غيرها من القضايا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وكيفما كان، فمعرفة الإمام ضرورة دينية، لما ورد في حديث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والزكاة والصوم والحجّ والولاية ولم يناد بشيء كما نودي بالولاية، فأخذ الناس بأربع وتركوا هذه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الولاية </w:t>
      </w:r>
      <w:r>
        <w:rPr>
          <w:rFonts w:eastAsia="Amiri" w:cs="Amiri" w:ascii="Amiri" w:hAnsi="Amiri"/>
          <w:color w:val="111111"/>
          <w:sz w:val="28"/>
          <w:szCs w:val="28"/>
          <w:rtl w:val="true"/>
          <w:lang w:bidi="ar-SA"/>
        </w:rPr>
        <w:t>_)</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ذروة الأمر وسنامه ومفتاحه وباب الأشياء ورضا الرحمن تبارك وتعالى الطاعة للإمام بعد معرفته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جواب سؤال زرارة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أفضل لأنَّها مفتاحهنَّ والوالي هو الدليل عليهنَّ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يعذر الله يوم القيامة أحداً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لم أعلم أنَّ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الولاة على الناس كافّة</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ثبت في محلّه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ليس المراد من الولاية محض الحبّ، وإنَّما المراد منها معنى الإمامة بالمعنى الذي تقول به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في الحديث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يعبد الله من يعرف الله، فأمَّا من لا يعرف الله فإنَّما يعبده هكذا ضلالاً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معرفة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تصديق الله عز وجل وتصديق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وموالاة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والائتمام به وبأئمّة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والبراءة إلى الله عز وجل من عدوّهم، هكذا يعرف الله عز وجل</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فالتعرّف بأمر الإمام من السعادة الأخروية وموجبات الاطمئنان وعلامات المؤمن والآثار الإيجابية الكثيرة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7330_68949"/>
      <w:bookmarkStart w:id="166" w:name="pg7330_68949"/>
      <w:bookmarkEnd w:id="166"/>
    </w:p>
    <w:p>
      <w:pPr>
        <w:pStyle w:val="Heading3"/>
        <w:numPr>
          <w:ilvl w:val="2"/>
          <w:numId w:val="1"/>
        </w:numPr>
        <w:rPr/>
      </w:pPr>
      <w:bookmarkStart w:id="167" w:name="pg7330_68949"/>
      <w:bookmarkStart w:id="168" w:name="__RefHeading___Toc1013597_1051229030"/>
      <w:bookmarkStart w:id="169" w:name="_Toc59"/>
      <w:bookmarkEnd w:id="167"/>
      <w:bookmarkEnd w:id="168"/>
      <w:r>
        <w:rPr>
          <w:rtl w:val="true"/>
        </w:rPr>
        <w:t>الفصل الثالث</w:t>
      </w:r>
      <w:r>
        <w:rPr>
          <w:rtl w:val="true"/>
        </w:rPr>
        <w:t xml:space="preserve">: </w:t>
      </w:r>
      <w:r>
        <w:rPr>
          <w:rtl w:val="true"/>
        </w:rPr>
        <w:t>رؤية الإمام الغائب ومشاهدته بين الصدق والدجل</w:t>
      </w:r>
      <w:bookmarkEnd w:id="169"/>
    </w:p>
    <w:p>
      <w:pPr>
        <w:pStyle w:val="Heading4"/>
        <w:numPr>
          <w:ilvl w:val="3"/>
          <w:numId w:val="1"/>
        </w:numPr>
        <w:rPr/>
      </w:pPr>
      <w:bookmarkStart w:id="170" w:name="__RefHeading___Toc1013599_1051229030"/>
      <w:bookmarkStart w:id="171" w:name="_Toc60"/>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ظاهرة الغيبة وخصائص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نماذج من طلب الحاجات من الإمام عليه السلام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مناقشة روايات وأدعية الرؤية وتحليلها</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7330_68953"/>
      <w:bookmarkStart w:id="173" w:name="pg7330_68953"/>
      <w:bookmarkEnd w:id="173"/>
    </w:p>
    <w:p>
      <w:pPr>
        <w:pStyle w:val="Heading4"/>
        <w:numPr>
          <w:ilvl w:val="3"/>
          <w:numId w:val="1"/>
        </w:numPr>
        <w:rPr/>
      </w:pPr>
      <w:bookmarkStart w:id="174" w:name="pg7330_68953"/>
      <w:bookmarkStart w:id="175" w:name="__RefHeading___Toc1013601_1051229030"/>
      <w:bookmarkStart w:id="176" w:name="_Toc61"/>
      <w:bookmarkEnd w:id="174"/>
      <w:bookmarkEnd w:id="175"/>
      <w:r>
        <w:rPr>
          <w:rtl w:val="true"/>
        </w:rPr>
        <w:t>ظاهرة الغيبة وخصائص المرحلة</w:t>
      </w:r>
      <w:r>
        <w:rPr>
          <w:rtl w:val="true"/>
        </w:rPr>
        <w:t>:</w:t>
      </w:r>
      <w:bookmarkEnd w:id="176"/>
    </w:p>
    <w:p>
      <w:pPr>
        <w:pStyle w:val="Heading5"/>
        <w:numPr>
          <w:ilvl w:val="4"/>
          <w:numId w:val="1"/>
        </w:numPr>
        <w:rPr/>
      </w:pPr>
      <w:bookmarkStart w:id="177" w:name="__RefHeading___Toc1013603_1051229030"/>
      <w:bookmarkStart w:id="178" w:name="_Toc62"/>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 xml:space="preserve">امتدَّت مرحلة الغيبة الصغرى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الحقبة الزمنية لها خصوصيتها، فهي حقيقة واقعية خاضتها شريحة من الناس كانوا روّاداً لهذه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خصائص هذه المرحلة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إنَّ جملة ممَّن عاش وعاصر زمن الغيبة الصغرى هم من أصحاب الإمام الجواد، والهادي،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كعلي بن جعفر أبو هاشم، وداود بن القاسم الجعفري الذي رأى خمسة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وداود بن أبي يزيد النيسابوري، ومحمّد بن علي بن بلال، وعبد الله بن جعفر الحميري، وإسحاق بن الربيع الكوفي، وأبو القاسم جابر بن يزيد الفارسي، وإبراهيم بن عبيد الله بن إبراهيم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جملة ممَّن عاصر الغيبة الصغرى من وكلاء الإمام المهدي كمحمّد بن أحمد بن جعفر، وجعفر بن سهيل، ومحمّد بن الحسن الصفّار، وعبدوس العطّار، وسندي بن النيسابوري، وأبي طالب الحسن بن جعفر الفافاء، وأبي البختري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نوّاب الإمام في زمن الغيبة الصغرى هم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العمري، محمّد بن عثمان، الحسين بن روح، علي بن محمّد السمري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مجموعة ممَّن عاصر الغيبة الصغرى هم من العلماء الفقهاء، كالكليني، والصدوق وأبيه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امتازت هذه المرحلة أيضاً بأنَّ الأجوبة كانت تظهر بشكل مكاتبات ومراسلات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تمتاز هذه المرحلة أيضاً بوجود قاعدة جماهيرية تحمل ثقافة الارتباط بالإمام المنصوب، والاعتقاد بالأئمّة السابقين، ويحملون هوية معيّنة، وانتماءاً خاصّاً، واعتماداً في مجال العمل على طريقة فقهية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وقفة فيما بعد في تحليل ومعرفة كيفية رجوع هذه القواعد الجماهيرية بعد شهادة العسكري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تبتلى بإرباك ولو كان 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أنَّ هذه القواعد الجماهيرية تحمل خصوصيات فكرية، وسلوكية، تعكس لنا فوائد جمّة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 الجميع أنَّ طريق الاتّصال بالإمام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 طريق النوّاب، ولم ينعكس لنا من روّاد هذه المرحلة، كالكليني، السعي العملي في طلب مشاهدته ورؤيته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كان مفروغاً عن عدمه ولو من جهة وجود المانع وإن كان المقتضي للرؤية تامّاً، ولو فرض سعي البعض في ذلك الظرف للرؤية كما نقل عن أبي العبّاس أحمد بن الخضر بن أبي صالح الخجندي، حيث ورد النهي والمنع عن هذا السعي الذي أشار إليه التوقيع الشريف من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اُغْريَ بالفحص والطلب وسار عن وطنه ليتبيَّن له ما يعمل عليه، فكانت نسخة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بحث فقد طلب، ومن طلب فقد دلَّ، ومن دلَّ فقد أشاط، ومن أشاط فقد أشرك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 الطلب ورجع</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79" w:name="pg7330_68957"/>
    </w:p>
    <w:p>
      <w:pPr>
        <w:pStyle w:val="BookText"/>
        <w:rPr/>
      </w:pPr>
      <w:bookmarkEnd w:id="179"/>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لشخص الباحث يحمل على القضيّة الخارجية والجزئية مردود بظاهر التعليل المنسجم مع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كانت مسألة الرؤية للإمام والسعي العملي والفعلي لها خصوصاً في ظرف الغيبة الصغرى وبشرط المحمول كمالاً ومحبوباً، فلِمَ لم يقصده الوكلاء، والأصحاب، والعلماء، وأهل الإيمان، مع شدّة حرصهم على الإتيان بالنوافل، بل قد حفظ لنا التاريخ أنَّهم طلبوا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أخرى عن طريق السفراء</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1013605_1051229030"/>
      <w:bookmarkStart w:id="181" w:name="_Toc63"/>
      <w:bookmarkEnd w:id="180"/>
      <w:r>
        <w:rPr>
          <w:rtl w:val="true"/>
        </w:rPr>
        <w:t xml:space="preserve">نماذج من طلب الحاجات من الإمام </w:t>
      </w:r>
      <w:r>
        <w:rPr>
          <w:rtl w:val="true"/>
        </w:rPr>
        <w:t>(</w:t>
      </w:r>
      <w:r>
        <w:rPr>
          <w:rtl w:val="true"/>
        </w:rPr>
        <w:t>عليه السلام</w:t>
      </w:r>
      <w:r>
        <w:rPr>
          <w:rtl w:val="true"/>
        </w:rPr>
        <w:t>):</w:t>
      </w:r>
      <w:bookmarkEnd w:id="181"/>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علي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علي بن الحسين بن موسى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أسأل أبا القاسم الروحي أن يسأل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الله عز وجل أن يرزقه ولداً ذكراً،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فأنهى ذلك، ثمّ أخبرني بعد ذلك بثلاثة أيّام أنَّه قد دعا لعلي بن الحسين وأنَّه سيولد له ولد مبارك ينفع الله به وبعده أولاد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الأسئلة التي رفعت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الطوسي في غيبته</w:t>
      </w:r>
      <w:r>
        <w:rPr>
          <w:rStyle w:val="FootnoteAnchor"/>
          <w:rtl w:val="true"/>
        </w:rPr>
        <w:footnoteReference w:id="1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جماعة من أهل بلدنا المقيمين كانوا ببغداد في السنة التي خرجت القرامطة على الحاجّ وهي سنة تناثر الكواكب أنَّ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 في الخروج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bookmarkStart w:id="182" w:name="pg7330_68959"/>
    </w:p>
    <w:p>
      <w:pPr>
        <w:pStyle w:val="BookText"/>
        <w:rPr/>
      </w:pPr>
      <w:bookmarkEnd w:id="182"/>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زياد الصيمري يسأل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كفناً يتيمَّن بما يكون من عنده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الزراري من الحسين بن روح أن يدعو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أمره مع زوجته أم عبّاس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للشيخ المفيد،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ولد فكتبت أستأذن في تطهيره يوم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وتهيَّأت للحجّ وودَّعت الناس وكنت على الخروج،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لذلك كارهون، والأمر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فضاق صدري واغتممت وكتبت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مقيم على السمع والطاعة، غير أنّي مغتمّ بتخلّفي عن الحجّ، فوقع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يضيقنَّ صدرك، فإنَّك ستحجّ قابلاً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الراوي طلب الحجّ فقط، وهكذا في ذيل الرواية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عادلت محمّد بن العبّاس، وأنا واثق بديانته، فهنا أيضاً يطلب الاستفسار عن الصديق فقط</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1013607_1051229030"/>
      <w:bookmarkStart w:id="184" w:name="_Toc64"/>
      <w:bookmarkEnd w:id="183"/>
      <w:r>
        <w:rPr>
          <w:rtl w:val="true"/>
        </w:rPr>
        <w:t>مناقشة روايات وأدعية الرؤية وتحليلها</w:t>
      </w:r>
      <w:r>
        <w:rPr>
          <w:rtl w:val="true"/>
        </w:rPr>
        <w:t>:</w:t>
      </w:r>
      <w:bookmarkEnd w:id="18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من الروايات المؤيّدة التي قد يظهر منها السعي لطلب الرؤية في زمن الغيبة فهي على فرض تماميّتها سنداً ودلالةً، تصلح أن تأسّس لثقافة عامّة، مع عدم المانع والرادع من الإمام، وسنشير إلى أهمّها وإبداء الرأي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جعفر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لمَّا سأل النائب الأوّل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فأسألك بحقّ الله وبحقّ الإمامين اللذين وثّقاك هل رأيت ابن أبي محمّد الذي هو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تخبر بذلك أحداً وأنا حي،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بها أنَّ أبا عمرو قد منع الإخبار في ظرف حياته فلم يمنع من ذلك في جميع الأوقات فليس المانع دائمياً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الظاهر من الرواية أنَّ عبد الله بن جعفر لم يطلب من أبي عمر التوسيط في تحصيل الرؤية وإنَّما أقصى 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تحقَّقت الرؤية من قبله؟</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خلف،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وصلَّيت الظهر في أوّل وقتها، ودعوت بالطعام وسألت الشيخ أن يأكل معي فأجابني، فلمَّا طعمنا سألت عن اسمه واسم أبيه وعن بلده وحرفته ومقصده، فذكر أنَّ اسمه محمّد بن عبد الله، وأنَّه من أهل قم، وذكر أنَّه يسيح منذ ثلاثين سنة في طلب الحقّ ويتنقَّل في البلدان والسواحل، وأنَّه أوطن مكّة والمدينة نحو عشرين سنة يبحث عن الأخبار ويتبع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بها مبني على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يبحث عن الأخبار ويتبع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رؤية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ردّه بأمور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تثبت وثاقة الشيخ، بل كان شخصه مجهولاً حتَّى عند الراوي لذا سأله عن اسمه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أنَّ الرجل شيعي وكان يطلب رؤية الإمام، ولو تنزَّلنا وسلَّمنا لكن قد ورد المانع من الإمام حيث ورد في ذيلها المنع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قربتُ منه إذ أنا بأسود مثل الفنيق قد اعترضني فصاح بي بصوت لم أسمع أهول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 عافاك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فأرعدت ووقفت، وزال الشخص عن 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أجل في ذيل الرواية وهي طويلة جدَّاً أنَّه وفق للرؤية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رأيت طلبتك؟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ذاك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رأيته في عشيتك هو صاحب زمانك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رجالات مجهولون، وهو منام، نعم يصلح أن يكون مؤمناً لورود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فذكر أنَّه مكث سبع سنين يدعو ربّه ويسأله معاينة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حبيب بن محمّد بن يونس بن شاذان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إلى علي بن إبراهيم بن مهزيار الأهوازي فسألته عن آل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لقد سألت عن أمر عظيم، حججت عشرين حجّة كلاً أطلب به عيان الإمام فلم أجد إلى ذلك سبيلاً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السيّد الخوئي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ضعيفة السند جدَّاً على أنَّها متعارضة من جهة نسبة القصّة إلى علي بن إبراهيم بن مهزيار، أو إلى إبراهيم بن مهزيار، والله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هذا الأمر طلباً شاقّاً حتَّى ذهب لي فيه مال صالح، فوقعتُ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ذهبتُ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إلى العَمْري وخدمته ولزمته وسألته بعد ذلك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 أنَّ المشار إليه في هذا أي رؤية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طلب من العمري أن يوصله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فأوصله، وذكر أنَّه سأله فأجابه عن كلّ ما أراد، ثمّ قام ودخل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لأسأل فلم يستمع، والحديث مضافاً إلى كونه مرفوعاً، وتعارض نقله ونهي الإمام للزهري فهو على مدّعانا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محمّد بن شاذان سأل الكابلي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خبره فذكر أنَّه لم يزل في الطلب وأنَّه أقام بالمدينة فكان لا يذكره لأحدٍ إلاَّ زجره، فلقي شيخاً من بني هاشم وهو يحيى بن محمّد العريضي،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تطلبه بصرياء،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فقصدت صرياء فجئت إلى دهليز مرشوش، وطرحت نفسي على الدكّان فخرج إليَّ غلام أسود فزجرني وانتهرني،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من هذا المكان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في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وصفه بالكذّاب في نفس الرواية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 سألت مولانا المهدي صلوات الله عليه أن يأذن لي في أن أكون ممَّن يشرَّف بصحبته وخدمته، في وقت غيبته، أسوة بمن يخدمه من عبيده وخاصَّته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ويردّه مضافاً إلى الضعف السندي،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يخدمه من عبيده وخاصَّته لا يعرفونه بهويَّته، وهو طلب ذلك فلا يصلح أن يكون دليلاً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توجد روايات أخرى على هذا المستوى من الضعف ويبقى الاستقراء ناقصاً،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الروايات من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أرني الطلعة الرشيدة، والغرة الحميدة، وأكحل مرهي</w:t>
      </w:r>
      <w:r>
        <w:rPr>
          <w:rStyle w:val="FootnoteAnchor"/>
          <w:rtl w:val="true"/>
        </w:rPr>
        <w:footnoteReference w:id="125"/>
      </w:r>
      <w:r>
        <w:rPr>
          <w:rFonts w:ascii="Amiri" w:hAnsi="Amiri" w:eastAsia="Amiri" w:cs="Amiri"/>
          <w:color w:val="111111"/>
          <w:sz w:val="28"/>
          <w:sz w:val="28"/>
          <w:szCs w:val="28"/>
          <w:rtl w:val="true"/>
          <w:lang w:bidi="ar-SA"/>
        </w:rPr>
        <w:t>بنظرة منّي إليه</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وغيرها من الأدعية الشريفة فهي ظاهرة في الإطلاق فتشمل زمن الغيبة والظهور وإن كان يحتمل أن تكون كناية عن طلب التشرّف بالكون تحت لواءه، والانضمام في مشروعه، ولو على سبيل الرجعة، أو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شخصه وإن لم أعرف عنوانه لأنَّه أيضاً من أعلى مراتب الكمال أو بمعنى الدعوة إلى إزالة المانع</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اتَّضح ممَّا سبق أنَّ السعي العملي والسفر في البلدان والجبال والوديان لغرض لقاء المحبوب والتشرّف برؤيته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مرغوب فيه، 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النهي عنه كما مرَّ في بداية الفصل، ولنا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تتبّعنا لعملية ارتباط الأمّة بالقيادة في حلّ مشاكلها في زمن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في زمن الجواد، والهادي،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يظهر لدينا أنَّهم كانوا يحبّذون اللقاءات المباشرة إمَّا من جهة المانع، وإمَّا من جهة إعداد الأمّة للتهيّؤ إلى ظاهرة الغيبة، لذا نجدهم أنشأوا في زمانهم فكرة النيابة والوكالات أو فعَّلوها، وقد عمل الإمامان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حينما كانا في سامراء على تعميق نظام الوكالة، وأنَّ هرم النظام السياسي، والاجتماعي، والاقتصادي، أسّس وقام على نظام الوكالة، بل نظام الوكالة والنيابة كان معمولاً به أيضاً في زمن الأئمّة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الإرهاب السياسي والسجن وانتشار الشيعة في مناطق مختلفة تبتعد عن الأئمّة 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تكثّف هذا النظام وأخذ بعداً جديداً بعد الإعداد للغيبة، واحتجاب الأئمّة المتأخّرين، فقد روى الطوسي في رواية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الموالي ببغداد والمدائن والسواد وما يليها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أقمتُ أبا علي بن راشد مقام علي بن الحسين بن عبد ربّه، ومن قبله من وكلائي</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اُعامل أو عمَّن آخذ، وقول مَن أقبل؟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ثقتي فما أدّى إليك عنّي فعنّي يؤدّي وما قال لك عنّي فعنّي يقول، فاسمع له وأطع، فإنَّه الثقة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وأخبرني أبو علي أنَّه سأل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ذلك،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وابنه ثقتان، فما أدّيا إليك عنّي فعنّي يؤدّيان وما قالا لك فعنّي يقولان، فاسمع لهما وأطعهما فإنَّهما الثقتان المأمونان</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محمّد بن عيسى، والحسن بن علي بن يقطين جميعاً،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لا أكاد أصل إليك أسألك عن كلّ ما أحتاج إليه من معالم ديني، أفيونس بن عبد الرحمن ثقة آخذ عنه ما أحتاج إليه من معالم ديني؟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العزيز بن المهتدي، قال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شُقتي بعيدة فلست أصِلُ إليك في كلّ وقت، فآخذ معالم ديني عن يونس مولى آل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المسيب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شقتي بعيدة فلست أصل إليك في كلّ وقت فممَّن آخذ معالم ديني؟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زكريا بن آدم القمي المأمون على الدين والدنيا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يوصل لي كتاباً قد سألت فيه عن مسائل أشكلت عليَّ، فورد التوقيع بخطّ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سألت عنه أرشدك الله وثبَّتك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فظاهرة الرجوع إلى الفقهاء لم تنشأ بعد الغيبة الصغرى، بل حسب الرصد العلمي كانت هذه الظاهرة موجودة في الأزمنة السابقة، والأئمّة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هذا الأمر مركوزاً في الأذهان بسبب النصوص القرآنية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السؤال كان عن الشخص الثقة ليرجع إليه، وهذا السؤال من الشيعة إنَّما يؤكّد أنَّ الشيعة لم يرتضوا أصالة التسامح في رجوعهم وتبعيَّتهم للأشخاص، بل التحقيق هو الموجب للخروج عن عهدة التكليف والوصول إلى شاطئ الأمان وإبراء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فأصل رؤية الإمام ومشاهدته في حدَّ نفسها كمال، وإن لم تُفد أنَّ الرائي أفضل من غيره وأنَّه ثقة وقوله حجّة، وهذا هو معنى تمام المقتضي للكمال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وتكفينا عمومات الباب كرؤية العالم والكعبة، والقرآن، والمؤمن، وهكذا طلب الرؤية 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بمعنى السعي العملي كما مرَّت الإشارة إليه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 يصدر من أهل العلم، والفضل، وأصحاب التقى والنهى، كما أنَّ سيرة المتشرّعة قائمة على الانضمام تحت لوائه من دون ضرورة طلب رؤيته، وإنَّما المهمّ كسب رضاه ومعرفة هدفه وتنجيز مشروعه، والسعي التامّ في إعداد مقدّمات الظهور كتهذيب النفس ونشر الدين وإصلاح العالم، نعم إذا عدَّت الرؤية لازماً لا ينفك عن هذه المقدّمات فلا بأس بها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 بعض الأدعية والأعمال الموجبة لرؤية الإمام فالمقصود حسب الظاهر التشرّف بلقائه، وقد تحقَّقت الرؤية لبعض الأولياء لا لخصوص الكُمَّل، ولكن ليس هناك استلزام بأنَّ من تحقَّقت له الرؤية يكون هو الأفضل، ولا بدَّ من الالتفات إلى الفرق بين طلب الرؤية وحصول الرؤية، ولو قبلنا أنَّ أصل الرؤية مطلقاً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وفي جميع الظروف ولكلّ الأفراد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مزيةٌ وكمال لكانت كمالاً لكلّ من كان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بقيّة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نظرية عدالة الصحابة عند </w:t>
      </w:r>
      <w:bookmarkStart w:id="185" w:name="pg7330_68975"/>
    </w:p>
    <w:p>
      <w:pPr>
        <w:pStyle w:val="BookText"/>
        <w:rPr/>
      </w:pPr>
      <w:bookmarkEnd w:id="185"/>
      <w:r>
        <w:rPr>
          <w:rFonts w:ascii="Amiri" w:hAnsi="Amiri" w:eastAsia="Amiri" w:cs="Amiri"/>
          <w:color w:val="111111"/>
          <w:sz w:val="28"/>
          <w:sz w:val="28"/>
          <w:szCs w:val="28"/>
          <w:rtl w:val="true"/>
          <w:lang w:bidi="ar-SA"/>
        </w:rPr>
        <w:t>غيرنا فالصحبة والرؤية مزيّة بشرطها وشروطها وحالهما كحال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نِساءَ النَّبِيِّ مَنْ يَأْتِ مِنْكُنَّ بِفاحِشَةٍ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لَسْتُنَّ كَأَحَدٍ مِنَ النِّساءِ إِنِ اتَّقَيْتُنَّ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الأصل الأوّلي لكلّ مدّع هو عدم التصديق به وعدم قبول دعواه، لاسيّما إذا كان يجرُّ مكسباً لصاحب الدعوى، وذلك بأن يخلق نتائج جوهرية لنفسه طريقةً، أو منهجاً، أو مشروعاً خاصّاً، ومن ذلك أغلب مدّعي الرؤية فلا بدَّ أن يكون الأصل في دعواه هو عدم التصديق، فلا يمكن إثبات حقّانية مذهبه بواسطة الرؤية واللقاء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يدّعيه بعض الصوفية لإثبات حقّانية مطالبهم</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1013609_1051229030"/>
      <w:bookmarkStart w:id="187" w:name="_Toc65"/>
      <w:bookmarkEnd w:id="186"/>
      <w:r>
        <w:rPr>
          <w:rtl w:val="true"/>
        </w:rPr>
        <w:t>الخلاصة</w:t>
      </w:r>
      <w:r>
        <w:rPr>
          <w:rtl w:val="true"/>
        </w:rPr>
        <w:t>:</w:t>
      </w:r>
      <w:bookmarkEnd w:id="187"/>
    </w:p>
    <w:p>
      <w:pPr>
        <w:pStyle w:val="BookText"/>
        <w:rPr/>
      </w:pPr>
      <w:r>
        <w:rPr>
          <w:rFonts w:ascii="Amiri" w:hAnsi="Amiri" w:eastAsia="Amiri" w:cs="Amiri"/>
          <w:color w:val="111111"/>
          <w:sz w:val="28"/>
          <w:sz w:val="28"/>
          <w:szCs w:val="28"/>
          <w:rtl w:val="true"/>
          <w:lang w:bidi="ar-SA"/>
        </w:rPr>
        <w:t>فانكشفت بذلك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طلب الرؤية بمعنى السعي الفعلي لها في عصر الغيبة ليس راجحاً لوجود المانع، وفرقٌ بين طلب الرؤية وبين تحقّقها الخارجي، وكذا لا نسلّم بوجود تلازم بين تحقّق الرؤية خارجاً، وبين صيرورة صاحبها أفضل علماً وورعاً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الأصل الأوّلي هو عدم قبول دعوى مدّعي الرؤية، إلاَّ على سبيل القطع والاطمئنان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إنَّه يمكن قبول دعوى الرؤية والمشاهدة بعد إقامة الشواهد في حقّ من لا يسلّم بهذه الدعوى، ويكون خالياً من الأغراض الشخصية، وإنَّما المهمّ عنده التأكيد على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يجب أن لا يتجاوز مدى مدّعي الرؤية القضايا الخارجية </w:t>
      </w:r>
    </w:p>
    <w:p>
      <w:pPr>
        <w:pStyle w:val="BookText"/>
        <w:rPr/>
      </w:pPr>
      <w:r>
        <w:rPr>
          <w:rFonts w:ascii="Amiri" w:hAnsi="Amiri" w:eastAsia="Amiri" w:cs="Amiri"/>
          <w:color w:val="111111"/>
          <w:sz w:val="28"/>
          <w:sz w:val="28"/>
          <w:szCs w:val="28"/>
          <w:rtl w:val="true"/>
          <w:lang w:bidi="ar-SA"/>
        </w:rPr>
        <w:t>الشخصية دون القضايا المصيرية، بل سيرة السلف من الأصحاب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يرتضون هذه الطريقة لأمضوها، سيّما أنَّها تعدُّ قضيّة مركزية وجوهرية، بل الأمر بالعكس فقد تمَّ تنشيط ظاهرة الوكالات العامّة، بل قد ورد التكذيب في مدّعي الرؤية بهذا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تصير الرؤية دليلاً شرعياً لفكرة، أو لموقف فقهي، أو امضاءً سياسياً ونحو ذلك من الرؤية، فقد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وسيأتي شيعتي من يدّعي المشاهدة، ألا فمن ادّعى المشاهدة قبل خروج السفياني والصيحة فهو كاذب مفتر</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لا ريب أنَّ للمذهب علّة مبقية، فقد صمد هذا المذهب طوال هذه الفترة الطويلة من عصر الغيبة حتَّى يومنا، ولم يسجّل الملف التاريخي أنَّ سبب هذا البقاء هم دعاة الرؤية، بل المسجَّل أنَّ المذهب تواصل على سواعد الفقهاء كالكليني، والطوسي، والمرتضى، والعلاّمة، والشهيد، ممَّن كان على نهج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التنصيب والرجوع إليهم على أساس النيابة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هناك إطباقاً قولياً وعملياً على عدم الاعتناء بقول مدّعي الرؤية، وهذا الإجماع يكشف عن أنَّ الموقف العملي الدقيق هو ذلك، وأنَّ سيرة الأعلام جرت على الاستهانة بمن يدّعي الرؤية، ويريد أن يثبت الأمور المصيرية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جوابهم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أنَّه لو تمَّ أسلوب الرؤية والمشاهدة في تحديد المسائل المهمّة للزم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الهَرْجُ والمَرْجُ، لأنَّ المدّعين كثيرون وهم متناقضون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الملفت للانتباه أنَّ جلّ هؤلاء هم أصحاب تاريخ مجهول، بل تاريخ بعضهم مظلم، والنظر في سلوكية هؤلاء مورد تأمّل، بل الهدف الذي تبنّاه أصحاب هذه المسالك المنحرفة هو عزل الأمّة عن الفقهاء الذين أكَّدنا أنَّهم هم السبيل الذي اُمضي من قبل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وبعد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اتّضاح هذا الأمر فمتابعة الشواذ ممَّن يدّعي الرؤية غير مغتفر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نشر الثقافة المغلوطة في بعض المجتمعات الجاهلة والمنقطعة عن الثقافة الإسلاميّة الأصيلة برهة من الزمن للأسباب والظروف السياسية والقمعية التي منيت بها، فهذه الثقافة تكون سبباً للهلوسة في نفوس السذّج فيدّعي ويُتَّبَع، كما أنَّها تكون سبباً لصدور بعض التصرّفات غير المستدلّ عليها شرعاً، والموجبة للوهن بالمذهب، والطعن في شموخه، فالثقافة العاتمة غير ذات الأسس الأرضية تؤمّن لصاحبها شيئاً من المعرفة الجزئية، وقد يحدث أن تؤدّي هذه الثقافة بصاحبها إلى مستويات اجتماعية، وتُوسَّع من دائرة نفوذه على المستوى الجماهيري، باعتبار أنَّ الأمّة تخضع في تركيبتها إلى اعتبارات مختلفة من حيث الوعي، والإدراك، والمستوى الثقافي، فهي تتأثَّر بكثير من المعطيات من دون الوقوف على خلفياتها، وأهدافها، وأبعادها، بل إنَّما تنساق بشكل عفوي باتّجاه الأمور الجاهزة من دون مناقشة وتحليل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أن يكون الميزان في قبول الثقافة هو الخضوع لاعتبارات عقلية، وقواعد منطقية، وأصول البحث العلمي، وضوابط تمييز الحقّ من الباطل، وإلاَّ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يلزم غياب الحقيقة، وهو مخالف للفطرة، والمنطق، والقانون، والوجدان، بل غير مغتفر عند من له أدنى حظّ من العلم، فلا بدَّ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وصِمَام الأمان، فمقياس أيّ ثقافة صمودها أمام النقد العلمي، وتملّكها لمكوّناتها العلمية، ولا شفاعة للكثرة العددية، ولا للواقع الاجتماعي، والسياسي، إذا كان يعيش الجهالة والبعد عن الثقافة الإسلاميّة الحقّة، فالعبرة في الرجوع للكفاءة العلمية المتخصّصة، والمتمرّسة، وذات الباع الطويل في التنقيب والتحليل، والتجرّد عن الأهواء، إذ الكفاءة هي المحكّ العلمي والعملي في التمييز، لا من يتناوشها عن بعد بمنأى عن المراقبة والنقد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7330_68985"/>
      <w:bookmarkStart w:id="189" w:name="pg7330_68985"/>
      <w:bookmarkEnd w:id="189"/>
    </w:p>
    <w:p>
      <w:pPr>
        <w:pStyle w:val="Heading3"/>
        <w:numPr>
          <w:ilvl w:val="2"/>
          <w:numId w:val="1"/>
        </w:numPr>
        <w:rPr/>
      </w:pPr>
      <w:bookmarkStart w:id="190" w:name="pg7330_68985"/>
      <w:bookmarkStart w:id="191" w:name="__RefHeading___Toc1013611_1051229030"/>
      <w:bookmarkStart w:id="192" w:name="_Toc66"/>
      <w:bookmarkEnd w:id="190"/>
      <w:bookmarkEnd w:id="191"/>
      <w:r>
        <w:rPr>
          <w:rtl w:val="true"/>
        </w:rPr>
        <w:t>الفصل الرابع</w:t>
      </w:r>
      <w:r>
        <w:rPr>
          <w:rtl w:val="true"/>
        </w:rPr>
        <w:t xml:space="preserve">: </w:t>
      </w:r>
      <w:r>
        <w:rPr>
          <w:rtl w:val="true"/>
        </w:rPr>
        <w:t>للمهدي حيرة وغيبة</w:t>
      </w:r>
      <w:bookmarkEnd w:id="192"/>
    </w:p>
    <w:p>
      <w:pPr>
        <w:pStyle w:val="Heading4"/>
        <w:numPr>
          <w:ilvl w:val="3"/>
          <w:numId w:val="1"/>
        </w:numPr>
        <w:rPr/>
      </w:pPr>
      <w:bookmarkStart w:id="193" w:name="__RefHeading___Toc1013613_1051229030"/>
      <w:bookmarkStart w:id="194" w:name="_Toc67"/>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مقوّمات الفكرة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أوجه الغيبة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الروائي على الولادة</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قد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للمهدي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غيبة وحيرة، يضلُّ فيها أقوام</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المراد من الحيرة؟</w:t>
      </w:r>
    </w:p>
    <w:p>
      <w:pPr>
        <w:pStyle w:val="BookText"/>
        <w:rPr/>
      </w:pPr>
      <w:r>
        <w:rPr>
          <w:rFonts w:ascii="Amiri" w:hAnsi="Amiri" w:eastAsia="Amiri" w:cs="Amiri"/>
          <w:color w:val="111111"/>
          <w:sz w:val="28"/>
          <w:sz w:val="28"/>
          <w:szCs w:val="28"/>
          <w:rtl w:val="true"/>
          <w:lang w:bidi="ar-SA"/>
        </w:rPr>
        <w:t xml:space="preserve">هل الحيرة في العقائد الدينية بسبب الفراغ الفكري في الأمّة، أم الحيرة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طول غيبته توجب وقوع الناس في الشكّ والاختلاف في شأنه، أم الحيرة في شأن مصير العالم، أم الحيرة في غلبة الظلمة وأهل الباطل واليأس من النصر الإلهي؟</w:t>
      </w:r>
    </w:p>
    <w:p>
      <w:pPr>
        <w:pStyle w:val="BookText"/>
        <w:rPr/>
      </w:pPr>
      <w:r>
        <w:rPr>
          <w:rFonts w:ascii="Amiri" w:hAnsi="Amiri" w:eastAsia="Amiri" w:cs="Amiri"/>
          <w:color w:val="111111"/>
          <w:sz w:val="28"/>
          <w:sz w:val="28"/>
          <w:szCs w:val="28"/>
          <w:rtl w:val="true"/>
          <w:lang w:bidi="ar-SA"/>
        </w:rPr>
        <w:t>ولماذا الغيبة توجب الحيرة والضلال؟</w:t>
      </w:r>
    </w:p>
    <w:p>
      <w:pPr>
        <w:pStyle w:val="BookText"/>
        <w:rPr/>
      </w:pPr>
      <w:r>
        <w:rPr>
          <w:rFonts w:ascii="Amiri" w:hAnsi="Amiri" w:eastAsia="Amiri" w:cs="Amiri"/>
          <w:color w:val="111111"/>
          <w:sz w:val="28"/>
          <w:sz w:val="28"/>
          <w:szCs w:val="28"/>
          <w:rtl w:val="true"/>
          <w:lang w:bidi="ar-SA"/>
        </w:rPr>
        <w:t>ظاهرة الغيبة حالة جديدة، وليست مألوفة عند عامّة المسلمين، وإن ثقَّف لها القرآن، والاعتقاد بوجود إمام، وأنَّه غائب يوهم التعطيل، فيحتاج إلى وعي ووفرة علمية حتَّى تنجلي الحيرة، وكلَّما طالت الفترة إزداد الغموض، لاسيّما إذا اكتنفت الواقعة بعوامل مساعدة من قبيل استتار الولادة، والإطالة غير المألوفة زمناً للغيبة، والانقطاع التامّ، والتشرّف بالإمامة في سنّ مبكّر جدَّاً، وخفاء وتردّد اسم الاُمّ، والمنح التي منحت له فاقت منح الأنبياء والرسل، والانجاز الذي سيحقّقه يفوق عمل الأنبياء، كلّ هذا وغيره يوجب الغموض، وصعوبة القبول، خصوصاً إنّا نعيش زمناً يصعب فيه تقبّل العلوم الميتافيزيقية والغيبية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ظاهرة حين نواجهها للوهلة الأولى نحتاج إلى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95" w:name="pg7330_68991"/>
    </w:p>
    <w:p>
      <w:pPr>
        <w:pStyle w:val="BookText"/>
        <w:rPr/>
      </w:pPr>
      <w:bookmarkEnd w:id="195"/>
      <w:r>
        <w:rPr>
          <w:rFonts w:ascii="Amiri" w:hAnsi="Amiri" w:eastAsia="Amiri" w:cs="Amiri"/>
          <w:color w:val="111111"/>
          <w:sz w:val="28"/>
          <w:sz w:val="28"/>
          <w:szCs w:val="28"/>
          <w:rtl w:val="true"/>
          <w:lang w:bidi="ar-SA"/>
        </w:rPr>
        <w:t>تصوّرها وتعقّل أطرافها، وأطوارها، ولبقاء العقل البشري مرتاباً نحتاج إلى أن يقام البرهان الساطع، خصوصاً أنَّ الأصل العقلي النظري والعملي يستدعي التحقيق، وعدم القذف بالإنكار لمجرَّد الغرابة والاستبعاد، فمقتضى العقل الحسّي البشري يستبعد وجود عالم ما وراء عالم الموت، ويرفض النشور والحساب، بيد أنَّ اكتناف الغموض والاستتار لما وراء هذا العالم لا يستدعي الانكار من العقل، بل لا بدَّ من مواجهة الوسائل المعرفية لهذه المعلومة، حتَّى ينكشف لنا سقم هذه القضيّة أو صحَّتها، وهكذا العقل الحسّي لا يدرك لابدّية وجود حجّة في الأرض، وأنَّ تأثير هذا الحجّة تأثير 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استطاع العقل البشري الحسّي تعقّل ظاهرة الوحي أو وجود موجودات أخرى كالملائكة والجنّ وعوالم أخرى غير خاضعة لإدراك الحواس؟ فإنَّ هذه الموارد وغيرها مستبعدة بحكم العقلي الحسّي لا الرفض من قبل العقل التجرّدي</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013615_1051229030"/>
      <w:bookmarkStart w:id="197" w:name="_Toc68"/>
      <w:bookmarkEnd w:id="196"/>
      <w:r>
        <w:rPr>
          <w:rtl w:val="true"/>
        </w:rPr>
        <w:t>مقوّمات الفكرة المهدوية</w:t>
      </w:r>
      <w:r>
        <w:rPr>
          <w:rtl w:val="true"/>
        </w:rPr>
        <w:t>:</w:t>
      </w:r>
      <w:bookmarkEnd w:id="197"/>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الفكرة المهدوية متقوّمة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المهدي وسماته وصفاته وانجازاته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 منها والكبرى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الولادة، وطول الغيبة، ومجهولية التوقيت، واختفاء الهوية الشخصية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والمتردّد والمشكّك في مثل هذه الأمور، بل المنكر أيضاً لم يدّع استحالة هذه الظواهر وامتناعها، بل يدّعي عدم الدليل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هذه الأمور الثلاثة نقول</w:t>
      </w:r>
      <w:r>
        <w:rPr>
          <w:rFonts w:eastAsia="Amiri" w:cs="Amiri" w:ascii="Amiri" w:hAnsi="Amiri"/>
          <w:color w:val="111111"/>
          <w:sz w:val="28"/>
          <w:szCs w:val="28"/>
          <w:rtl w:val="true"/>
          <w:lang w:bidi="ar-SA"/>
        </w:rPr>
        <w:t xml:space="preserve">: </w:t>
      </w:r>
      <w:bookmarkStart w:id="198" w:name="pg7330_68993"/>
    </w:p>
    <w:p>
      <w:pPr>
        <w:pStyle w:val="Heading4"/>
        <w:numPr>
          <w:ilvl w:val="3"/>
          <w:numId w:val="1"/>
        </w:numPr>
        <w:rPr/>
      </w:pPr>
      <w:bookmarkStart w:id="199" w:name="__RefHeading___Toc1013617_1051229030"/>
      <w:bookmarkStart w:id="200" w:name="_Toc69"/>
      <w:bookmarkEnd w:id="198"/>
      <w:bookmarkEnd w:id="199"/>
      <w:r>
        <w:rPr>
          <w:rtl w:val="true"/>
        </w:rPr>
        <w:t>الأمر الأوّل</w:t>
      </w:r>
      <w:r>
        <w:rPr>
          <w:rtl w:val="true"/>
        </w:rPr>
        <w:t xml:space="preserve">: </w:t>
      </w:r>
      <w:r>
        <w:rPr>
          <w:rtl w:val="true"/>
        </w:rPr>
        <w:t>المهدي وسماته وانجازاته</w:t>
      </w:r>
      <w:r>
        <w:rPr>
          <w:rtl w:val="true"/>
        </w:rPr>
        <w:t>:</w:t>
      </w:r>
      <w:bookmarkEnd w:id="200"/>
    </w:p>
    <w:p>
      <w:pPr>
        <w:pStyle w:val="BookText"/>
        <w:rPr/>
      </w:pPr>
      <w:r>
        <w:rPr>
          <w:rFonts w:ascii="Amiri" w:hAnsi="Amiri" w:eastAsia="Amiri" w:cs="Amiri"/>
          <w:color w:val="111111"/>
          <w:sz w:val="28"/>
          <w:sz w:val="28"/>
          <w:szCs w:val="28"/>
          <w:rtl w:val="true"/>
          <w:lang w:bidi="ar-SA"/>
        </w:rPr>
        <w:t xml:space="preserve">فقد تواترت الروايات على ذلك، وبمجرَّد الوقوف على الكم الهائل من الروايات يجعلنا نذعن بأنَّ حقيقة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نقل دينية فطرية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الروايات قد تحدَّثت عن خصوصيات المهدي، وإمكانياته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اُلّفت كتب تتضمَّن الحديث عن المهدي كحلية الأولياء لأبي نعيم الأصبهاني، وسنن أبي داود، وكتاب آل محمّد للشيخ حسام الدين المردي، وسنن الترمذي، وكتاب الفتن، وسنن ابن ماجة،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مجال للاجتهاد مقابل النصّ، والاعتراض بأنَّ الأمّة التي لم تَنْقَدْ للأنبياء كيف تنقاد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لورود النصّ الصريح سنداً ودلالةً على أنَّ الذي يقوم بهذا الأمر العظيم والخطير هو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تمكّن الأنبياء لهذا الدور لا يستلزم ممنوعية قيام المهدي به بعد ورود النصّ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شرذمة من العلماء أنكروا المهدي، لشبهات مقابل البديهيات، كتبنّيهم لنظريات في علم الاجتماع لا تنسجم مع الفكرة العالمية للمنقذ، أو حمل ظاهرة المهدي على أنَّها ظاهرة اجتماعية ليس من شأن الفرد القيام بها، ولأنَّ بعض المغرضين تلبَّس باسم المهدي لكسب مآرب دنيوية، بل سعى أمراء الدولة العبّاسية أن يضعوا لوجوداتهم شيئاً من الشرعية والقداسة فسمّوا أولادهم بأسماء مختصّة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أدنى مراجعة للروايات يوجب رفض تلك النظريات، لما ورد من تشخيصه بأنَّه ابن فلان وسماته الشخصية، ونحو ذلك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انتهى الأمر إلى التشكيك في هذا الكمّ الهائل من الروايات، لم يصمد يقين في أيّة ضرورة دينية، ولسرى الشكُّ في كلّ الظواهر، </w:t>
      </w:r>
      <w:bookmarkStart w:id="201" w:name="pg7330_68996"/>
    </w:p>
    <w:p>
      <w:pPr>
        <w:pStyle w:val="BookText"/>
        <w:rPr/>
      </w:pPr>
      <w:bookmarkEnd w:id="201"/>
      <w:r>
        <w:rPr>
          <w:rFonts w:ascii="Amiri" w:hAnsi="Amiri" w:eastAsia="Amiri" w:cs="Amiri"/>
          <w:color w:val="111111"/>
          <w:sz w:val="28"/>
          <w:sz w:val="28"/>
          <w:szCs w:val="28"/>
          <w:rtl w:val="true"/>
          <w:lang w:bidi="ar-SA"/>
        </w:rPr>
        <w:t>ولانتهى الأمر إلى التشكيك وإنكار كلّ الحقائق والمسلّمات الدينية، هذا مضافاً إلى أنَّ البنية التحتية لرفض هذه الروايات هو نظريات وضعية لا يعلم سقمها من صحَّتها، وعلى فرض التسليم بصحَّتها، فهل هي عامّة وشاملة لكلّ الظواهر بما فيها الظواهر الدينية أم لا؟ إذ أنَّ مجرّد الاستقراء الناقص لا يوجب تأسيس العموم العلمي</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013619_1051229030"/>
      <w:bookmarkStart w:id="203" w:name="_Toc70"/>
      <w:bookmarkEnd w:id="202"/>
      <w:r>
        <w:rPr>
          <w:rtl w:val="true"/>
        </w:rPr>
        <w:t>الأمر الثاني</w:t>
      </w:r>
      <w:r>
        <w:rPr>
          <w:rtl w:val="true"/>
        </w:rPr>
        <w:t xml:space="preserve">: </w:t>
      </w:r>
      <w:r>
        <w:rPr>
          <w:rtl w:val="true"/>
        </w:rPr>
        <w:t>الغيبة</w:t>
      </w:r>
      <w:r>
        <w:rPr>
          <w:rtl w:val="true"/>
        </w:rPr>
        <w:t>:</w:t>
      </w:r>
      <w:bookmarkEnd w:id="203"/>
    </w:p>
    <w:p>
      <w:pPr>
        <w:pStyle w:val="BookText"/>
        <w:rPr/>
      </w:pPr>
      <w:r>
        <w:rPr>
          <w:rFonts w:ascii="Amiri" w:hAnsi="Amiri" w:eastAsia="Amiri" w:cs="Amiri"/>
          <w:color w:val="111111"/>
          <w:sz w:val="28"/>
          <w:sz w:val="28"/>
          <w:szCs w:val="28"/>
          <w:rtl w:val="true"/>
          <w:lang w:bidi="ar-SA"/>
        </w:rPr>
        <w:t xml:space="preserve">فلم يصطدم بها المؤمنون في بداية الغيبة فضلاً عمَّن تأخَّر عنها، بل هي نتاج أخبار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هي مفتاح المعرفة والبرهنة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له غيبة وحيرة حتَّى تضلّ الخلق عن أديانهم</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له غيبة وحيرة يضلُّ فيها أقوام</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أخي الحسين بن سيدة الإماء، يطيل الله عمره في غيبته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 هذه الأمّة هو التاسع من ولدي وهو صاحب الغيبة</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منّا تخفى ولادته على الناس</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يخنس في زمانه عند انقضاء من علمه سنة ستّين ومائتين، ثمّ يبدو كالشهاب الوقّاد</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غيبة فليتّق الله عبد وليتمسَّك بدينه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بدَّ لصاحب هذا الأمر من غيبة</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بالشيعة عند فقدهم الثالث من ولدي يطلبون المرعى ولا يجدونه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يا 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إمامهم يغيب عنهم</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تخفى على الناس ولادته ويغيب عنهم شخصه</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الخلف بعدك؟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علي، وابنا علي، ثمّ أطرق مليّاً، ثمّ رفع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ستكون حيرة</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من يبقى بعد غيبة قائمكم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الداعين إليه والدالّين عليه والذابّين عن دينه بحجج الله والمنقذين لضعفاء عباد الله من شباك إبليس ومردته ومن فخاخ النواصب لما بقي أحد إلاَّ ارتدَّ عن دين الله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محمّد هو الإمام والحجّة بعدي، من مات ولم يعرفه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له غيبة يحار فيها الجاهلون، ويهلك فيها المبطلون، ويكذب فيها الوقّاتون، ثمّ يخرج فكأنّي أنظر إلى الأعلام البيض تخفق فوق رأسه بنجف الكوفة</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مَنْ روى حديث السفينة</w:t>
      </w:r>
      <w:r>
        <w:rPr>
          <w:rStyle w:val="FootnoteAnchor"/>
          <w:rtl w:val="true"/>
        </w:rPr>
        <w:footnoteReference w:id="148"/>
      </w:r>
      <w:r>
        <w:rPr>
          <w:rFonts w:ascii="Amiri" w:hAnsi="Amiri" w:eastAsia="Amiri" w:cs="Amiri"/>
          <w:color w:val="111111"/>
          <w:sz w:val="28"/>
          <w:sz w:val="28"/>
          <w:szCs w:val="28"/>
          <w:rtl w:val="true"/>
          <w:lang w:bidi="ar-SA"/>
        </w:rPr>
        <w:t>، وروايات الأمان لأهل الأرض</w:t>
      </w:r>
      <w:r>
        <w:rPr>
          <w:rStyle w:val="FootnoteAnchor"/>
          <w:rtl w:val="true"/>
        </w:rPr>
        <w:footnoteReference w:id="149"/>
      </w:r>
      <w:r>
        <w:rPr>
          <w:rFonts w:ascii="Amiri" w:hAnsi="Amiri" w:eastAsia="Amiri" w:cs="Amiri"/>
          <w:color w:val="111111"/>
          <w:sz w:val="28"/>
          <w:sz w:val="28"/>
          <w:szCs w:val="28"/>
          <w:rtl w:val="true"/>
          <w:lang w:bidi="ar-SA"/>
        </w:rPr>
        <w:t>، وروايات من مات ولم يعرف إمامه</w:t>
      </w:r>
      <w:r>
        <w:rPr>
          <w:rStyle w:val="FootnoteAnchor"/>
          <w:rtl w:val="true"/>
        </w:rPr>
        <w:footnoteReference w:id="150"/>
      </w:r>
      <w:r>
        <w:rPr>
          <w:rFonts w:ascii="Amiri" w:hAnsi="Amiri" w:eastAsia="Amiri" w:cs="Amiri"/>
          <w:color w:val="111111"/>
          <w:sz w:val="28"/>
          <w:sz w:val="28"/>
          <w:szCs w:val="28"/>
          <w:rtl w:val="true"/>
          <w:lang w:bidi="ar-SA"/>
        </w:rPr>
        <w:t>، وروايات الخلفاء والأئمّة الاثني عشر</w:t>
      </w:r>
      <w:r>
        <w:rPr>
          <w:rStyle w:val="FootnoteAnchor"/>
          <w:rtl w:val="true"/>
        </w:rPr>
        <w:footnoteReference w:id="151"/>
      </w:r>
      <w:r>
        <w:rPr>
          <w:rFonts w:ascii="Amiri" w:hAnsi="Amiri" w:eastAsia="Amiri" w:cs="Amiri"/>
          <w:color w:val="111111"/>
          <w:sz w:val="28"/>
          <w:sz w:val="28"/>
          <w:szCs w:val="28"/>
          <w:rtl w:val="true"/>
          <w:lang w:bidi="ar-SA"/>
        </w:rPr>
        <w:t>، وروايات الثقلين</w:t>
      </w:r>
      <w:r>
        <w:rPr>
          <w:rStyle w:val="FootnoteAnchor"/>
          <w:rtl w:val="true"/>
        </w:rPr>
        <w:footnoteReference w:id="152"/>
      </w:r>
      <w:r>
        <w:rPr>
          <w:rFonts w:ascii="Amiri" w:hAnsi="Amiri" w:eastAsia="Amiri" w:cs="Amiri"/>
          <w:color w:val="111111"/>
          <w:sz w:val="28"/>
          <w:sz w:val="28"/>
          <w:szCs w:val="28"/>
          <w:rtl w:val="true"/>
          <w:lang w:bidi="ar-SA"/>
        </w:rPr>
        <w:t>، ورواية مَنْ سَرَّه</w:t>
      </w:r>
      <w:r>
        <w:rPr>
          <w:rStyle w:val="FootnoteAnchor"/>
          <w:rtl w:val="true"/>
        </w:rPr>
        <w:footnoteReference w:id="153"/>
      </w:r>
      <w:r>
        <w:rPr>
          <w:rFonts w:ascii="Amiri" w:hAnsi="Amiri" w:eastAsia="Amiri" w:cs="Amiri"/>
          <w:color w:val="111111"/>
          <w:sz w:val="28"/>
          <w:sz w:val="28"/>
          <w:szCs w:val="28"/>
          <w:rtl w:val="true"/>
          <w:lang w:bidi="ar-SA"/>
        </w:rPr>
        <w:t>، وروايات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الرجعة</w:t>
      </w:r>
      <w:r>
        <w:rPr>
          <w:rStyle w:val="FootnoteAnchor"/>
          <w:rtl w:val="true"/>
        </w:rPr>
        <w:footnoteReference w:id="154"/>
      </w:r>
      <w:r>
        <w:rPr>
          <w:rFonts w:ascii="Amiri" w:hAnsi="Amiri" w:eastAsia="Amiri" w:cs="Amiri"/>
          <w:color w:val="111111"/>
          <w:sz w:val="28"/>
          <w:sz w:val="28"/>
          <w:szCs w:val="28"/>
          <w:rtl w:val="true"/>
          <w:lang w:bidi="ar-SA"/>
        </w:rPr>
        <w:t>، وروايات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بلى لا تخلو الأرض من قائم لله بحجّة، إمَّا ظاهراً مشهوراً أو خائفاً مغموراً لئلاَّ تبطل حجج الله وبيّناته</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وروايات علامات الظهور</w:t>
      </w:r>
      <w:r>
        <w:rPr>
          <w:rStyle w:val="FootnoteAnchor"/>
          <w:rtl w:val="true"/>
        </w:rPr>
        <w:footnoteReference w:id="156"/>
      </w:r>
      <w:r>
        <w:rPr>
          <w:rFonts w:ascii="Amiri" w:hAnsi="Amiri" w:eastAsia="Amiri" w:cs="Amiri"/>
          <w:color w:val="111111"/>
          <w:sz w:val="28"/>
          <w:sz w:val="28"/>
          <w:szCs w:val="28"/>
          <w:rtl w:val="true"/>
          <w:lang w:bidi="ar-SA"/>
        </w:rPr>
        <w:t xml:space="preserve">، وكتب اُلّفت قبل أو أثناء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يؤكّد أنَّ ظاهرة الغيبة كانت مألوفة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وإن تقدَّم أنَّها غير مألوفة بحسب طبعها الأوّلي، ولكن استأنسها الشيعة بسبب الميراث الروائي والسلوكي عند أهل الحديث والفقهاء وفي أذهان الشيعة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تلك المرحلة الزمنية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تلك الكتب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للعبّاس بن هشام الناشري، وهو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 القائم للفضل بن شاذان، وكتاب عبد الله بن جعفر الحميري، وكتاب محمّد بن القاسم البغدادي، وكتاب عبد الوهاب المادرائي، وكتاب علي بن محمّد بن رياح السواق، وكتاب أخبار القائم لمحمّد بن إبراهيم المعروف بعلان الكليني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أصحاب العسكري كانت مركوزةً عندهم فكرة الغيبة وأنَّ الشيعة سيتَّجهون إلى ظاهرة الغيبة واحتجاب إمامهم، كأحمد بن إسحاق الأشعري، وعثمان بن سعيد العمري، وأحمد بن إدريست</w:t>
      </w:r>
      <w:r>
        <w:rPr>
          <w:rFonts w:eastAsia="Amiri" w:cs="Amiri" w:ascii="Amiri" w:hAnsi="Amiri"/>
          <w:color w:val="111111"/>
          <w:sz w:val="28"/>
          <w:szCs w:val="28"/>
          <w:rtl w:val="true"/>
          <w:lang w:bidi="ar-SA"/>
        </w:rPr>
        <w:t xml:space="preserve">. </w:t>
      </w:r>
      <w:bookmarkStart w:id="204" w:name="pg7330_69004"/>
    </w:p>
    <w:p>
      <w:pPr>
        <w:pStyle w:val="BookText"/>
        <w:rPr/>
      </w:pPr>
      <w:bookmarkEnd w:id="204"/>
      <w:r>
        <w:rPr>
          <w:rFonts w:ascii="Amiri" w:hAnsi="Amiri" w:eastAsia="Amiri" w:cs="Amiri"/>
          <w:color w:val="111111"/>
          <w:sz w:val="28"/>
          <w:sz w:val="28"/>
          <w:szCs w:val="28"/>
          <w:rtl w:val="true"/>
          <w:lang w:bidi="ar-SA"/>
        </w:rPr>
        <w:t>الأشعري أبو علي، ومحمّد بن علي بن بلال الثقة، ومحمّد بن الحسين بن أبي الخطّاب الزيّات، ومحمّد بن الحسن الصفّار، وحمدان بن سليمان النيسابوري، وعروة الوكيل القمي، والعزيز بن زهير، ومحمّد بن بلال، ومحمّد بن صالح بن محمّد الهمداني الدهقان، وعلي بن زياد الصيمري، وأبو سليمان المحمودي، وابن سعدان الكاتب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وغيرهم قبلوا الغيبة بسهولة، ولم ينعكس لنا تاريخياً أنَّ أحد أصحاب الإمام الهادي، أو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عاش ظاهرة الحيرة، وهكذا الكلام مع وكلاء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وداود بن القاسم، وابني علي بن إبراهيم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الكلام مع وكلاء الغيبة الكبرى كالكليني والطوسي وكونها ظاهرة عاشتها الشيعة وتعاملوا معها ولم يسجّل الباحثون والنقّاد للمذهب الشيعي حالة انقلاب وتمزّق بسبب الغيبة</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013621_1051229030"/>
      <w:bookmarkStart w:id="206" w:name="_Toc71"/>
      <w:bookmarkEnd w:id="205"/>
      <w:r>
        <w:rPr>
          <w:rtl w:val="true"/>
        </w:rPr>
        <w:t>الأمر الثالث</w:t>
      </w:r>
      <w:r>
        <w:rPr>
          <w:rtl w:val="true"/>
        </w:rPr>
        <w:t xml:space="preserve">: </w:t>
      </w:r>
      <w:r>
        <w:rPr>
          <w:rtl w:val="true"/>
        </w:rPr>
        <w:t>الولادة، وطول الغيبة، ومجهولية التوقيت، واختفاء الهويّة الشخصية</w:t>
      </w:r>
      <w:r>
        <w:rPr>
          <w:rtl w:val="true"/>
        </w:rPr>
        <w:t>:</w:t>
      </w:r>
      <w:bookmarkEnd w:id="206"/>
    </w:p>
    <w:p>
      <w:pPr>
        <w:pStyle w:val="Heading5"/>
        <w:numPr>
          <w:ilvl w:val="4"/>
          <w:numId w:val="1"/>
        </w:numPr>
        <w:rPr/>
      </w:pPr>
      <w:bookmarkStart w:id="207" w:name="__RefHeading___Toc1013623_1051229030"/>
      <w:bookmarkStart w:id="208" w:name="_Toc72"/>
      <w:bookmarkEnd w:id="207"/>
      <w:r>
        <w:rPr>
          <w:rtl w:val="true"/>
        </w:rPr>
        <w:t>اشارة</w:t>
      </w:r>
      <w:bookmarkEnd w:id="20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الوجه في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استمراراً حتَّى صارت سبباً لإنكار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فبعد ما ثبت بالأدلّة القطعية وجوب نصب الإمام وانحصار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الاثني عشر، ثمّ وجدناه غائباً عن الأبصار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علماً أنَّ ذلك لسببٍ ولا يضرُّ في المنظومة المهدوية عدم معرفة السبب وإن دلَّت عليه الروايات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فهو نظير عدم معرفة المراد من الآيات المتشابهة، وآيات التجسيم، والجبر، وغيرها، وكذا عدم معرفة فلسفة العبادات، كعدد الركعات، والوجه في أعمال ومناسك الحجّ</w:t>
      </w:r>
      <w:r>
        <w:rPr>
          <w:rFonts w:eastAsia="Amiri" w:cs="Amiri" w:ascii="Amiri" w:hAnsi="Amiri"/>
          <w:color w:val="111111"/>
          <w:sz w:val="28"/>
          <w:szCs w:val="28"/>
          <w:rtl w:val="true"/>
          <w:lang w:bidi="ar-SA"/>
        </w:rPr>
        <w:t xml:space="preserve">. </w:t>
      </w:r>
      <w:bookmarkStart w:id="209" w:name="pg7330_69006"/>
    </w:p>
    <w:p>
      <w:pPr>
        <w:pStyle w:val="Heading5"/>
        <w:numPr>
          <w:ilvl w:val="4"/>
          <w:numId w:val="1"/>
        </w:numPr>
        <w:rPr/>
      </w:pPr>
      <w:bookmarkStart w:id="210" w:name="__RefHeading___Toc1013625_1051229030"/>
      <w:bookmarkStart w:id="211" w:name="_Toc73"/>
      <w:bookmarkEnd w:id="209"/>
      <w:bookmarkEnd w:id="210"/>
      <w:r>
        <w:rPr>
          <w:rtl w:val="true"/>
        </w:rPr>
        <w:t>بعض أوجه الغيبة</w:t>
      </w:r>
      <w:r>
        <w:rPr>
          <w:rtl w:val="true"/>
        </w:rPr>
        <w:t>:</w:t>
      </w:r>
      <w:bookmarkEnd w:id="211"/>
    </w:p>
    <w:p>
      <w:pPr>
        <w:pStyle w:val="BookText"/>
        <w:rPr/>
      </w:pPr>
      <w:r>
        <w:rPr>
          <w:rFonts w:ascii="Amiri" w:hAnsi="Amiri" w:eastAsia="Amiri" w:cs="Amiri"/>
          <w:color w:val="111111"/>
          <w:sz w:val="28"/>
          <w:sz w:val="28"/>
          <w:szCs w:val="28"/>
          <w:rtl w:val="true"/>
          <w:lang w:bidi="ar-SA"/>
        </w:rPr>
        <w:t>ثمّ إنَّ الروايات أشارت إلى بعض أوجه الغيبة،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تكون في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لأحد، فعن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منّا إذا قام لم يكن لأحد في عنقه بيعة فلذلك تختفي ولادته ويغيب شخصه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القتل قبل تحقّق الهدف، فعن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غيبة قبل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وأومأ بيده إلى بطنه </w:t>
      </w:r>
      <w:r>
        <w:rPr>
          <w:rFonts w:eastAsia="Amiri" w:cs="Amiri" w:ascii="Amiri" w:hAnsi="Amiri"/>
          <w:color w:val="111111"/>
          <w:sz w:val="28"/>
          <w:szCs w:val="28"/>
          <w:rtl w:val="true"/>
          <w:lang w:bidi="ar-SA"/>
        </w:rPr>
        <w:t>_)</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اختبار الناس وتمحيصهم، 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بقيتم بلا إمام هدى ولا علم؟ يتبرَّأ بعضكم من بعض؟ فعند ذلك تميّزون وتمحّصون وتغربلون، وعند ذلك اختلاف السيفين، وإمارة أوّل من النهار وقتل وخلع من آخر النهار</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تجري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ابني هو القائم من بعدي وهو الذي يجري فيه سنن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بالتعمير والغيبة</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تحقيق خروج المؤمنين من أصلاب الكافرين، 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يظهر أبداً حتَّى تظهر ودائع الله عز وجل فإذا ظهرت ظهر على من يظهر فقتله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ظهر عليه القوم، وكيف لم يدفعهم وما يمنعه من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في كتاب الله عز وجل منعته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آية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لله عز وجل ودائع مؤمنون في أصلاب قوم كافرين ومنافقين فلم يكن علي عليه السلام ليقتل الآباء حتَّى يخرج الودائع فلمَّا خرجت الودائع ظهر على من ظهر فقاتله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قائمنا أهل البيت لن يظهر أبداً حتَّى تظهر ودائع الله عز وجل فإذا ظهرت ظهر على من يظهر فقتله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فسح المجال لوصول جميع أصناف الناس إلى الحكم، فقد ورد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هذا الأمر حتَّى لا يبقى صنف من الناس إلاَّ وقد ولّوا على الناس حتَّى لا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ولّينا لعدلنا، ثمّ يقوم القائم بالحقّ والعدل</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إلهي غيبي، فعن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غيبة لا بدَّ منها يرتاب فيها كلّ مبطل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لأمر لم يؤذن لنا في كشفه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الحكمة في غيبته؟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 الحكمة في غيبته وجه الحكمة في غيبات من تقدَّمه من حجج الله تعالى ذكره، إنَّ وجه الحكمة في ذلك لا ينكشف إلاَّ بعد ظهوره كما لم ينكشف وجه الحكمة فيما أتاه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خرق السفينة، وقتل الغلام، وإقامة الجدار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وقت افتراقهما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منّا بيان الوجه في كيفية الجمع بين هذه الروايات، إذ أنَّها لا تنافي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بحسب الألسن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تقدَّم من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12" w:name="pg7330_69010"/>
    </w:p>
    <w:p>
      <w:pPr>
        <w:pStyle w:val="Heading5"/>
        <w:numPr>
          <w:ilvl w:val="4"/>
          <w:numId w:val="1"/>
        </w:numPr>
        <w:rPr/>
      </w:pPr>
      <w:bookmarkStart w:id="213" w:name="__RefHeading___Toc1013627_1051229030"/>
      <w:bookmarkStart w:id="214" w:name="_Toc74"/>
      <w:bookmarkEnd w:id="212"/>
      <w:bookmarkEnd w:id="213"/>
      <w:r>
        <w:rPr>
          <w:rtl w:val="true"/>
        </w:rPr>
        <w:t>الدليل الروائي على الولادة</w:t>
      </w:r>
      <w:r>
        <w:rPr>
          <w:rtl w:val="true"/>
        </w:rPr>
        <w:t>:</w:t>
      </w:r>
      <w:bookmarkEnd w:id="214"/>
    </w:p>
    <w:p>
      <w:pPr>
        <w:pStyle w:val="BookText"/>
        <w:rPr/>
      </w:pPr>
      <w:r>
        <w:rPr>
          <w:rFonts w:ascii="Amiri" w:hAnsi="Amiri" w:eastAsia="Amiri" w:cs="Amiri"/>
          <w:color w:val="111111"/>
          <w:sz w:val="28"/>
          <w:sz w:val="28"/>
          <w:szCs w:val="28"/>
          <w:rtl w:val="true"/>
          <w:lang w:bidi="ar-SA"/>
        </w:rPr>
        <w:t>أمَّا ما ورد في الروايات من الدليل على الولادة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ولد؟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سيكون لي ولد يملأ الأرض قسطاً وعدلاً، فأمَّا الآن فلا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بعض أصحابنا أنَّه لمَّا حملت جارية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ستحملين ذكراً واسمه محمّد وهو القائم من بعدي</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مُحَمَّدِ بْن الْقَاسِم بْن حَمْزَةَ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حَكِيمَةُ بِنْتُ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اجْعَلِي إِفْطَارَكِ اللَّيْلَةَ عِنْدَنَا فَإنَّهَا لَيْلَةُ النّصْفِ مِنْ شَعْبَانَ فَإنَّ اللهَ تَبَارَكَ وَتَعَالَى سَيُظْهِرُ فِي هَذِهِ اللَّيْلَةِ الْحُجَّةَ وَهُوَ حُجَّتُهُ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اُمُّهُ؟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جَعَلَنِيَ اللهُ فِدَاكَ مَا بِهَا أثَرٌ،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فَلَمَّا سَلَّمْتُ وَجَلَسْتُ جَاءَتْ تَنْزعُ خُفّي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كَيْفَ أمْسَيْتِ؟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وَسَيَّدَةُ أهْلِي،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قَوْلِي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اللهَ تَبَارَكَ وَتَعَالَى سَيَهَبُ لَكِ فِي لَيْلَتِكِ هَذِهِ غُلاَماً سَيَّداً فِي الدُّنْيَا وَالآخِرَةِ،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وَاسْتَحْيَتْ فَلَمَّا أنْ فَرَغْتُ مِنْ صَلاَةِ الْعِشَاءِ الآخِرَةِ </w:t>
      </w:r>
    </w:p>
    <w:p>
      <w:pPr>
        <w:pStyle w:val="BookText"/>
        <w:rPr/>
      </w:pPr>
      <w:r>
        <w:rPr>
          <w:rFonts w:ascii="Amiri" w:hAnsi="Amiri" w:eastAsia="Amiri" w:cs="Amiri"/>
          <w:color w:val="111111"/>
          <w:sz w:val="28"/>
          <w:sz w:val="28"/>
          <w:szCs w:val="28"/>
          <w:rtl w:val="true"/>
          <w:lang w:bidi="ar-SA"/>
        </w:rPr>
        <w:t>وَأفْطَرْتُ وَأخَذْتُ مَضْجَعِي فَرَقَدْتُ فَلَمَّا أنْ كَانَ فِي جَوْفِ اللَّيْل قُمْتُ إِلَى الصَّلاَةِ فَفَرَغْتُ مِنْ صَلاَتِي وَهِيَ نَائِمَةٌ لَيْسَ بِهَا حَادِثٌ ثُمَّ جَلَسْتُ مُعَقّبَةً ثُمَّ اضْطَجَعْتُ ثُمَّ انْتَبَهْتُ فَزعَةً وَهِيَ رَاقِدَةٌ ثُمَّ قَامَتْ فَصَلَّت‏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فَدَخَلَتْنِي الشُّكُوكُ 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تَعْجَلِي يَا عَمَّةُ فَإنَّ الأمْرَ قَدْ 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الم السَّجْدَةَ وَيس فَبَيْنَمَا أنَا كَذَلِكِ إِذَا انْتَبَهَتْ فَزعَةً فَوَثَبْتُ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عَلَيْكَ،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اجْمَعِي نَفْسَكِ وَاجْمَعِي قَلْبَكِ فَهُوَ مَا قُلْتُ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أخَذَتْنِي فَتْرَةٌ وَأخَذَتْهَا فَتْرةٌ فَانْتَبَهْتُ بِحِسّ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فَكَشَفْتُ الثَّوْبَ عَنْهُ فَإذَا أنَا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سَاجِداً يَتَلَقَّى الأرْضَ بِمَسَاجِدِهِ فَضَمَمْتُهُ إِلَيَّ فَإِذَا أنَا بِهِ نَظِيفٌ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 إِلَيَّ ابْني يَا 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فَجِئْتُ بِهِ إِلَيْهِ فَوَضَعَ يَدَيْهِ تَحْتَ ألْيَتَيْهِ وَظَهْرهِ وَوَضَعَ قَدَمَيْهِ عَلَى صَدْرِهِ ثُمَّ أدْلَى لِسَانَهُ فِي فِيهِ وَأمَرَّ يَدَهُ عَلَى عَيْنَيْهِ وَسَمْعِهِ وَمَفَاصِلِهِ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صَلَّى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الأئِمَّةِ إِلَى أنْ وَقَفَ عَلَى أبيهِ ثُمَّ أحْجَمَ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اذْهَبِي بِهِ إِلَى اُمَّهِ لِيُسَلّمَ عَلَيْهَا وَائْتِني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فَذَهَبْتُ بِهِ فَسَلَّمَ عَلَيْهَا وَرَدَدْتُهُ وَوَضَعْتُهُ فِي الْمَجْلِس،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إِذَا كَانَ يَوْمُ السَّابِع فَأتِينَا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جِئْتُ لاُسَلّمَ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فَكَشَفْتُ السِّتْرَ لأفْتَقِدَ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فَعَلَ سَيَّدِي؟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اسْتَوْدَعْنَاهُ الَّذِي اسْتَوْدَعَتْهُ 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السَّابِع جِئْتُ وَسَلَّمْتُ وَجَلَسْتُ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 إِلَيَّ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فَجِئْتُ بِسَيَّدِي فِي الْخِرْقَةِ فَفَعَلَ بِهِ كَفَعْلَتِهِ الاُولَى ثُمَّ أدْلَى لِسَانَهُ فِي فِيهِ كَأنَّهُ يُغَذِّيهِ لَبَناً أوْ عَسَلاً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وَثَنَّى بِالصَّلاَةِ عَلَى مُحَمَّدٍ وَعَلَى أمِير الْمُؤْمِنِينَ وَالأئِمَّةِ صَلَوَاتُ اللهِ عَلَيْهِمْ أجْمَعِينَ حَتَّى وَقَفَ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علي الشلمغاني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حمزة بن نصر غلام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تباشر أهل الدار بذلك فلمَّا نشأ خرج إليَّ الأمر أن أبتاع في كلّ يوم مع اللحم قصب مخ،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لمولانا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غانم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فسمّاه محمّداً، فعرضه على أصحابه يوم الثالث،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 من بعدي</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الشَّارِي، عَنْ نَسِيم وَمَارِيَةَ، أنَّهُ لَمَّا سَقَطَ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 اُمَّهِ سَقَطَ جَاثِياً عَلَى رُكْبَتَيْهِ، رَافِعاً سَبَّابَتَيْهِ إِلَى السَّمَاءِ، ثُمَّ عَطَسَ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وَصَلَّى اللهُ عَلَى مُحَمَّدٍ 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زَعَمَتِ الظَّلَمَةُ أنَّ حُجَّةَ اللهِ دَاحِضَةٌ، وَلَوْ اُذِنَ لَنَا فِي الْكَلاَم لَزَالَ الشَّكُّ</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فحصول الاطمئنان بأيّ قضيّة تاريخية يتمُّ من خلال الشواهد، والقرائن، وتقوية القيمة الاحتمالية بسبب انضمام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أنَّ منشأ التشكيك والترديد في مثل هذه الظاهرة هو غياب أساليب المعرفة، والركون إلى المحسوس، أو نشوء شبهات، وترّهات، أو عدم الرجوع إلى الروايات لعدم خبرويتهم، وغير ذلك، وإلاَّ فالمسألة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أصحاب الحيرة هم الذين قلوبهم مريضة، وعقولهم عليلة، وإيمانهم مستودع، وميثاقهم متزلزل، وعقائدهم كبيت نسجته العنكبوت، يخرقها ريح البليّات، ويطيّرها صرصر الشبهات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215" w:name="pg7330_69017"/>
    </w:p>
    <w:p>
      <w:pPr>
        <w:pStyle w:val="Heading3"/>
        <w:numPr>
          <w:ilvl w:val="2"/>
          <w:numId w:val="1"/>
        </w:numPr>
        <w:rPr/>
      </w:pPr>
      <w:bookmarkStart w:id="216" w:name="__RefHeading___Toc1013629_1051229030"/>
      <w:bookmarkStart w:id="217" w:name="_Toc75"/>
      <w:bookmarkEnd w:id="215"/>
      <w:bookmarkEnd w:id="216"/>
      <w:r>
        <w:rPr>
          <w:rtl w:val="true"/>
        </w:rPr>
        <w:t>الفصل الخامس</w:t>
      </w:r>
      <w:r>
        <w:rPr>
          <w:rtl w:val="true"/>
        </w:rPr>
        <w:t xml:space="preserve">: </w:t>
      </w:r>
      <w:r>
        <w:rPr>
          <w:rtl w:val="true"/>
        </w:rPr>
        <w:t>الثقافة المهدوية بين المبالغة والاستخفاف</w:t>
      </w:r>
      <w:bookmarkEnd w:id="217"/>
    </w:p>
    <w:p>
      <w:pPr>
        <w:pStyle w:val="Heading4"/>
        <w:numPr>
          <w:ilvl w:val="3"/>
          <w:numId w:val="1"/>
        </w:numPr>
        <w:rPr/>
      </w:pPr>
      <w:bookmarkStart w:id="218" w:name="__RefHeading___Toc1013631_1051229030"/>
      <w:bookmarkStart w:id="219" w:name="_Toc76"/>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حكم الدول قبل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مصير أهل الذمّة في عصر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أزمة الفكرة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الرؤية الدينية بين السلفية والاعتزالية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أزمة الخطاب المهدوي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نماذج من الخطاب المهدوي</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7330_69021"/>
      <w:bookmarkStart w:id="221" w:name="pg7330_69021"/>
      <w:bookmarkEnd w:id="221"/>
    </w:p>
    <w:p>
      <w:pPr>
        <w:pStyle w:val="BookText"/>
        <w:rPr/>
      </w:pPr>
      <w:bookmarkStart w:id="222" w:name="pg7330_69021"/>
      <w:bookmarkEnd w:id="222"/>
      <w:r>
        <w:rPr>
          <w:rFonts w:ascii="Amiri" w:hAnsi="Amiri" w:eastAsia="Amiri" w:cs="Amiri"/>
          <w:color w:val="111111"/>
          <w:sz w:val="28"/>
          <w:sz w:val="28"/>
          <w:szCs w:val="28"/>
          <w:rtl w:val="true"/>
          <w:lang w:bidi="ar-SA"/>
        </w:rPr>
        <w:t xml:space="preserve">من الآفات الكبرى لفهم الدين أن يعيش أتباعه إحدى الظاهرتين المتضادتين، إمَّا ظاهرة التحجّر، وإمَّا ظاهرة التسامح والابتعاد عن خطّ الاعتدال المرسوم من قبل الشريعة، فيقعُ الأتباع بين طرفي كمّاشة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كلّ طرف منهما في الزاوية الحادّة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يشكّل خطراً ويستدعي نتائج وخيمة وسلبية، قد يؤدّي بالناظر والمشاهد إلى الانكماش والنفرة عن العقيدة، ظنّاً منه أنَّ هذا المتلبّس هو الذي يمثّل الأصالة للفكر والرؤية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جملة مصاديق لهذه الظاهرة</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013633_1051229030"/>
      <w:bookmarkStart w:id="224" w:name="_Toc77"/>
      <w:bookmarkEnd w:id="223"/>
      <w:r>
        <w:rPr>
          <w:rtl w:val="true"/>
        </w:rPr>
        <w:t xml:space="preserve">أ </w:t>
      </w:r>
      <w:r>
        <w:rPr>
          <w:rtl w:val="true"/>
        </w:rPr>
        <w:t xml:space="preserve">- </w:t>
      </w:r>
      <w:r>
        <w:rPr>
          <w:rtl w:val="true"/>
        </w:rPr>
        <w:t xml:space="preserve">حكم الدول قبل القائم </w:t>
      </w:r>
      <w:r>
        <w:rPr>
          <w:rtl w:val="true"/>
        </w:rPr>
        <w:t>(</w:t>
      </w:r>
      <w:r>
        <w:rPr>
          <w:rtl w:val="true"/>
        </w:rPr>
        <w:t>عليه السلام</w:t>
      </w:r>
      <w:r>
        <w:rPr>
          <w:rtl w:val="true"/>
        </w:rPr>
        <w:t>):</w:t>
      </w:r>
      <w:bookmarkEnd w:id="224"/>
    </w:p>
    <w:p>
      <w:p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راية ترفع قبل قيام القائم فصاحبها طاغوت يُعبد من دون الله عز وجل</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فهم البعض من هذه الرواية انحصار الحكومة العادلة بحكومة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وبالتالي فكلّ حكومة تكون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حكومة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الفكرة في الحقيقة مآلها إلى العلمانية وعزل الدين عن التصدّي للحكومة وإدارة شؤون الناس، وقد عطَّل هذا الفهم للحديث وفق هذه النظرة جملة من الآيات والروايات، وكما أنَّ هذا الفهم صار سبباً للحثّ على عدم التصدّي للإقرار لحكومة عادلة، وكأنَّ هذه المسألة ليست بفقهية، ولا تحتاج إلى نظر الفقيه في فهم النصّ </w:t>
      </w:r>
      <w:bookmarkStart w:id="225" w:name="pg7330_69023"/>
    </w:p>
    <w:p>
      <w:pPr>
        <w:pStyle w:val="BookText"/>
        <w:rPr/>
      </w:pPr>
      <w:bookmarkEnd w:id="225"/>
      <w:r>
        <w:rPr>
          <w:rFonts w:ascii="Amiri" w:hAnsi="Amiri" w:eastAsia="Amiri" w:cs="Amiri"/>
          <w:color w:val="111111"/>
          <w:sz w:val="28"/>
          <w:sz w:val="28"/>
          <w:szCs w:val="28"/>
          <w:rtl w:val="true"/>
          <w:lang w:bidi="ar-SA"/>
        </w:rPr>
        <w:t>الديني والاكتفاء بظاهر الحديث إن سلم هذا الظهور وعدم ملاحظة المعارض، والسير العلمي لفهم هذا النصّ أنَّ كل راية تدّعي أنَّها راية المهدي قبل ظهور القائم فهي راية انحراف وضلال، ووزان هذا الحديث وزان الحديث الواصل عن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ادّعى مقامنا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الإمامة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فهو كافر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 </w:t>
      </w:r>
      <w:r>
        <w:rPr>
          <w:rFonts w:eastAsia="Amiri" w:cs="Amiri" w:ascii="Amiri" w:hAnsi="Amiri"/>
          <w:color w:val="111111"/>
          <w:sz w:val="28"/>
          <w:szCs w:val="28"/>
          <w:rtl w:val="true"/>
          <w:lang w:bidi="ar-SA"/>
        </w:rPr>
        <w:t>_)</w:t>
      </w:r>
      <w:r>
        <w:rPr>
          <w:rStyle w:val="FootnoteAnchor"/>
          <w:rtl w:val="true"/>
        </w:rPr>
        <w:footnoteReference w:id="171"/>
      </w:r>
      <w:r>
        <w:rPr>
          <w:rFonts w:ascii="Amiri" w:hAnsi="Amiri" w:eastAsia="Amiri" w:cs="Amiri"/>
          <w:color w:val="111111"/>
          <w:sz w:val="28"/>
          <w:sz w:val="28"/>
          <w:szCs w:val="28"/>
          <w:rtl w:val="true"/>
          <w:lang w:bidi="ar-SA"/>
        </w:rPr>
        <w:t>، وعليه يكون المراد من رواية أبي بصير أنَّ كلّ راية ترفع باسم المهدي وبمشروعيَّته أنَّها كراية المهدي فصاحبها طاغوت، أمَّا رفع الراية بمعنى دفع الضرر الأفسد أو لأجل إقامة الأمر بالمعروف والنهي عن المنكر أو نحو ذلك فلا نهي عنه في الرواية، هذا من زاوية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الزاوية المقابلة من الفهم المعوج وإن لم يكن منتزعاً من الرواية بناءً على الفهم المنحرف لها تعطى المشروعية لكلّ حكومة، وعدم تسجيل أيّة ضابطة في الحكومات، وبالتالي 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الناس بمعزل عن النصوص الدينية، اعتقاداً أنَّ هذه المفردة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إدارة شؤون الناس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تحتاج في تحديدها إلى النصوص الدينية، أو أنَّ النصّ الديني ساكت عنها، أو أنَّ النصّ الديني أجنبي عن هذه الأمور فلتطلب من مظانّها الأخرى، بل قد يقال بقبح الخطاب الديني في الأمر البديهي اعتقاداً منهم أنَّ إدارة شؤون الناس من البديهي</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013635_1051229030"/>
      <w:bookmarkStart w:id="227" w:name="_Toc78"/>
      <w:bookmarkEnd w:id="226"/>
      <w:r>
        <w:rPr>
          <w:rtl w:val="true"/>
        </w:rPr>
        <w:t xml:space="preserve">ب </w:t>
      </w:r>
      <w:r>
        <w:rPr>
          <w:rtl w:val="true"/>
        </w:rPr>
        <w:t xml:space="preserve">- </w:t>
      </w:r>
      <w:r>
        <w:rPr>
          <w:rtl w:val="true"/>
        </w:rPr>
        <w:t xml:space="preserve">مصير أهل الذمّة في عصر الإمام </w:t>
      </w:r>
      <w:r>
        <w:rPr>
          <w:rtl w:val="true"/>
        </w:rPr>
        <w:t>(</w:t>
      </w:r>
      <w:r>
        <w:rPr>
          <w:rtl w:val="true"/>
        </w:rPr>
        <w:t>عليه السلام</w:t>
      </w:r>
      <w:r>
        <w:rPr>
          <w:rtl w:val="true"/>
        </w:rPr>
        <w:t>):</w:t>
      </w:r>
      <w:bookmarkEnd w:id="22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يكون من </w:t>
      </w:r>
      <w:bookmarkStart w:id="228" w:name="pg7330_69025"/>
    </w:p>
    <w:p>
      <w:pPr>
        <w:pStyle w:val="BookText"/>
        <w:rPr/>
      </w:pPr>
      <w:bookmarkEnd w:id="228"/>
      <w:r>
        <w:rPr>
          <w:rFonts w:ascii="Amiri" w:hAnsi="Amiri" w:eastAsia="Amiri" w:cs="Amiri"/>
          <w:color w:val="111111"/>
          <w:sz w:val="28"/>
          <w:sz w:val="28"/>
          <w:szCs w:val="28"/>
          <w:rtl w:val="true"/>
          <w:lang w:bidi="ar-SA"/>
        </w:rPr>
        <w:t xml:space="preserve">أهل الذمّة عنده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عند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يسالمهم كما سالمهم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ويؤدّون الجزية عن يد وهم صاغرون</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بين أهل التوراة بالتوراة، وبين أهل الإنجيل بالإنجيل، وبين أهل الزبور بالزبور، وبين أهل القرآن بالقرآن</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فبمقتضى هذه النصوص، فهم البعض أنَّ أهل الكتب على حقّ، بدليل أنَّه يملأ الأرض قسطاً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قوانين الإمام إمضاء الديانات الأخرى، والحكم على وفق حكمهم، والحال أنَّ حكم الإمام كلّه عدل وحقّ وقسط، ثمّ إنَّه لم يتصدَّ إلى توجيههم، بل إنَّه أمضى طريقتهم، وهذا يعني القول بحقّانية تلك الأديان، وعدم انحصار الحقّانية بالدين الإسلامي، هذا من زاوية، وفي الزاوية المقابلة يذهب البعض إلى إقامة أشد العقوبة على الأمم غير الشيعية اعتماداً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بمقتضى الجمع العرفي بين الروايات أنَّ حكم الجزية في عصر الإمام يكون ثابتاً في المرحلة الأولى من دولته، وقبل استقرار حكومته، أو أنَّه حكم ثابت إلى أن تقام الحجّة الكاملة عليهم، أو إلى حين تحقّق الرجعة</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013637_1051229030"/>
      <w:bookmarkStart w:id="230" w:name="_Toc79"/>
      <w:bookmarkEnd w:id="229"/>
      <w:r>
        <w:rPr>
          <w:rtl w:val="true"/>
        </w:rPr>
        <w:t xml:space="preserve">جـ </w:t>
      </w:r>
      <w:r>
        <w:rPr>
          <w:rtl w:val="true"/>
        </w:rPr>
        <w:t xml:space="preserve">- </w:t>
      </w:r>
      <w:r>
        <w:rPr>
          <w:rtl w:val="true"/>
        </w:rPr>
        <w:t>أزمة الفكرة المهدوية</w:t>
      </w:r>
      <w:r>
        <w:rPr>
          <w:rtl w:val="true"/>
        </w:rPr>
        <w:t>:</w:t>
      </w:r>
      <w:bookmarkEnd w:id="23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الظاهرة الدينية بما فيها الفكرة المهدوية تعيش بين أزمتين، أزمة الخرافة والتسويق للغيب المطلق المنفلت، وأزمة رفض عالم ما وراء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فقضيّة الجنّ مثلاً، والملك، والشيطان، فسّرت في الأوساط </w:t>
      </w:r>
    </w:p>
    <w:p>
      <w:pPr>
        <w:pStyle w:val="BookText"/>
        <w:rPr/>
      </w:pPr>
      <w:r>
        <w:rPr>
          <w:rFonts w:ascii="Amiri" w:hAnsi="Amiri" w:eastAsia="Amiri" w:cs="Amiri"/>
          <w:color w:val="111111"/>
          <w:sz w:val="28"/>
          <w:sz w:val="28"/>
          <w:szCs w:val="28"/>
          <w:rtl w:val="true"/>
          <w:lang w:bidi="ar-SA"/>
        </w:rPr>
        <w:t>الدينية للمتحمّسين الجهّال على أساس الخرافة، وحماقة البشر، وساقت الناس إلى التلاعب بالعقول، وانتهاز السذّج، وتهديم المعارف العلمية، وتحصيل المكاسب المالية والسياسية، كقصَّة قتيل الجنّ، وتسخير الجنّ، وإخباراته، وتصرّفاته الوسيعة في عالمنا، وبين تفسير الظاهرة الدينية على أساس القوانين الحسّية الصرفة، فرفضت أصل فكرة الجنّ وألبستها لباساً علمياً جديداً تحت عنوان الظواهر المادية غير المرتقبة في الذهن، كما لو فسَّرنا سقوط التفاحة من الشجرة على أنَّ الجنَّ أسقطها، إلى أن ظهرت نظرية الجاذبية الأرضية، أو تفسير تسوّس الأسنان بمكث الجنّ فيها، إلى أن اكتشفت الجراثيم ونحوها، كما ورد ذلك في تفسير المنار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عاشت القضيّة المهدوية ظاهرة الخرافة، فكراً وسلوكاً، عمداً وجهلاً، واستغلَّت لمقاصد سياسية، أو ذاتية غير موضوعية، تحرّكها الأحاسيس الجماهيرية، وتخلق لها القصص، فصارت مكسباً لتحصيل القداسة، والوجاهة للمفلَّسين، وسعت إلى تعطيل العلوم، والتخصّصات، أو حلَّت محلّ العِدل والبديل، فاستغلَّت الفكرة الخلابة لتسويق البشر إلى مطحنة الجهل، وقلبت المفاهيم الواقعية والحقّة، فغالت في الغيب، ورمته في أحضان الخرافة، وأغلقت الميزان، والعلم، وحملت الناس على السلوك إلى الغيب المطلق، بعيداً عن الأسباب الطبيعية، والتكوينية التي نذعن نحن أنَّ الله جعلها نظام السير الكوني في عالم الاختبار والامتحان، وإنّا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للغيب قسطاً، لكنَّه ليس كلّ شيء، وإنَّما للعلوم والفنون مجال في ذلك، هذا من زاوية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الزاوية الأخرى رُفضت القضيّة المهدوية جملةً وتفصيلاً، ولو بسبب ردود الفعل اللاشعورية للموقف الصادر من أرباب الغيب المطلق، كما في </w:t>
      </w:r>
    </w:p>
    <w:p>
      <w:pPr>
        <w:pStyle w:val="BookText"/>
        <w:rPr/>
      </w:pPr>
      <w:r>
        <w:rPr>
          <w:rFonts w:ascii="Amiri" w:hAnsi="Amiri" w:eastAsia="Amiri" w:cs="Amiri"/>
          <w:color w:val="111111"/>
          <w:sz w:val="28"/>
          <w:sz w:val="28"/>
          <w:szCs w:val="28"/>
          <w:rtl w:val="true"/>
          <w:lang w:bidi="ar-SA"/>
        </w:rPr>
        <w:t>الزاوية الأولى، ففنّدت الفكرة واُطّرت بإطار علمي، كظاهرة الإصلاح الاجتماعي العامّ، وكغلبة قريش على الأمم بدل الإصلاح الذي يقوم به فرد معيَّن، أو تمييع الظاهرة إلى حدّ تنزيلها منزلة سائر الدعاوى الأخرى، أو تفريغ فائدة الإيمان بها وإرجاء الحديث عنها إلى وقت حصولها وترحيلها إلى المستقبل، أو أنَّها من الخيال والأسطورة والميراث من المجتمعات الأخرى، وروّاد هذه النظرية أحمد أمين المصري، أو سعد محمّد حسن، أو محمّد عبد الله عثمان، أو الخطيب أو ابن خلدون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العقلانية والواقعية لا تعني رفض الغيب، وكذا الإيمان بالغيب لا يعني الانفلات وتعطيل العلوم، بل الجمع بين المقولتين العقلانية والغيب ممكن وحاصل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فالمعيار هو الواقع والحقّ، ولكن ليس في مساحة الواقع المحسوس، بل الواقع النفس أمري الذي يحتضن عالم الغيب ويرتضي المعارف الدينية ويحدّد لها طريقاً لا يتقاطع مع الثوابت العلمية والنتاج العلمي، فقضيّة المهدي تعيش روح الغيب المنتظَم، فإنَّ أصل غيبته وفلسفة ذلك وبعض تفاصيل الغيب، كخروجه بغتة مثلاً، هو من الغيب، بيد أنَّه بعدما ورد بالسير العلمي وجود الإمام وأثره، فلا مجال لرفضه،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مِنْ أَنْباءِ الْغَيْبِ نُوحِيها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الغيب المنتظَم لا من الغيب الموهوم، ومن الغيب الذي لا يتقاطع مع العلم والفكر، لا من الغيب الذي يصادرهما ويصدّهما، فلا نرتضي ترحيل الإصلاح العلمي والاجتماعي والسياسي والاقتصادي إلى يد الغيب، أو يد المستقبل، حتَّى يظهر الإمام والمنقذ، بل لا بدَّ من السعي الحثيث لتنشيط المفاصل الاقتصادية والعلمية والاجتماعية التي تكون هي السبب في ظهوره، بل في تعجيله</w:t>
      </w:r>
      <w:r>
        <w:rPr>
          <w:rFonts w:eastAsia="Amiri" w:cs="Amiri" w:ascii="Amiri" w:hAnsi="Amiri"/>
          <w:color w:val="111111"/>
          <w:sz w:val="28"/>
          <w:szCs w:val="28"/>
          <w:rtl w:val="true"/>
          <w:lang w:bidi="ar-SA"/>
        </w:rPr>
        <w:t xml:space="preserve">. </w:t>
      </w:r>
      <w:bookmarkStart w:id="231" w:name="pg7330_69031"/>
    </w:p>
    <w:p>
      <w:pPr>
        <w:pStyle w:val="Heading4"/>
        <w:numPr>
          <w:ilvl w:val="3"/>
          <w:numId w:val="1"/>
        </w:numPr>
        <w:rPr/>
      </w:pPr>
      <w:bookmarkStart w:id="232" w:name="__RefHeading___Toc1013639_1051229030"/>
      <w:bookmarkStart w:id="233" w:name="_Toc80"/>
      <w:bookmarkEnd w:id="231"/>
      <w:bookmarkEnd w:id="232"/>
      <w:r>
        <w:rPr>
          <w:rtl w:val="true"/>
        </w:rPr>
        <w:t xml:space="preserve">د </w:t>
      </w:r>
      <w:r>
        <w:rPr>
          <w:rtl w:val="true"/>
        </w:rPr>
        <w:t xml:space="preserve">- </w:t>
      </w:r>
      <w:r>
        <w:rPr>
          <w:rtl w:val="true"/>
        </w:rPr>
        <w:t>الرؤية الدينية بين السلفية والاعتزالية</w:t>
      </w:r>
      <w:r>
        <w:rPr>
          <w:rtl w:val="true"/>
        </w:rPr>
        <w:t>:</w:t>
      </w:r>
      <w:bookmarkEnd w:id="233"/>
    </w:p>
    <w:p>
      <w:pPr>
        <w:pStyle w:val="BookText"/>
        <w:rPr/>
      </w:pPr>
      <w:r>
        <w:rPr>
          <w:rFonts w:ascii="Amiri" w:hAnsi="Amiri" w:eastAsia="Amiri" w:cs="Amiri"/>
          <w:color w:val="111111"/>
          <w:sz w:val="28"/>
          <w:sz w:val="28"/>
          <w:szCs w:val="28"/>
          <w:rtl w:val="true"/>
          <w:lang w:bidi="ar-SA"/>
        </w:rPr>
        <w:t>الفهم الديني يتمثَّل عند البعض بالرؤية السلفية الأشعرية المقتصرة على الألفاظ، وإن عارض العقل فهي رؤية مانعة للتأويل، وانجرَّت هذه الرؤية إلى مظاهر التجسيم، والإكثار من مصطلح البدعة ورفض الإصلاح، والإصرار على التوقيفية السلوكية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ويتمثَّل عند آخر بالرؤية الاعتزالية التي بالغت في قدرة العقل ونفوذه في جميع القضايا، فنشأت عندنا ظاهرة العقل الظنّي، والقياس، والاستحسان، بل بلغ الأمر إلى نفي كلّ مورد لم يكن للعقل بتٌّ فيه، وعطّلت عملياً دائرة النصّ الديني، إلى أن ولدت البراهمة بثوب جديد لتقلّل من شأن النصّ المخالف للعقل الاستحساني، وابتعدت من حيث لا تشعر عن الغيب والاستتار، وأبحرت إلى الواقعية التجريبية ووصفت القرآن الكريم بالبشرية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الديني يتحقَّق من العقل البشري النظري والعملي والوحياني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الواصل إلينا من طريق السماء والوحي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وأنَّ الألفاظ والخطاب الديني سبيل العقل الوحياني، لكنَّها محكومة بالأساليب اللغوية، والظواهر معتبرة ومعتدٌّ بها ما لم تنصب قرائن ولو منفصلة على إرادة خلاف الظاهر، وأنَّ المجاز اللغوي وما بحكمه من الكناية، والاستعارة، والتمثيل مستحسن في النصّ الديني عند قيام القرينة، والنصّ مصاغ مع مراعاته لمقتضى الحال لعصر روعي فيه أصحابه، فلا سلفية في النصّ ولا اعتزالية في سلطنة العقل، ولا رفض للعقل البشري ولا تعطيل لنشاط العقل العملي الذي ينتهي إلى التسليم والإذعان والإيمان، ولا بدَّ من الرجوع إلى العقل الوحياني وفق ضوابطه </w:t>
      </w:r>
      <w:bookmarkStart w:id="234" w:name="pg7330_69033"/>
    </w:p>
    <w:p>
      <w:pPr>
        <w:pStyle w:val="BookText"/>
        <w:rPr/>
      </w:pPr>
      <w:bookmarkEnd w:id="234"/>
      <w:r>
        <w:rPr>
          <w:rFonts w:ascii="Amiri" w:hAnsi="Amiri" w:eastAsia="Amiri" w:cs="Amiri"/>
          <w:color w:val="111111"/>
          <w:sz w:val="28"/>
          <w:sz w:val="28"/>
          <w:szCs w:val="28"/>
          <w:rtl w:val="true"/>
          <w:lang w:bidi="ar-SA"/>
        </w:rPr>
        <w:t>وفي مساحته المرتسمة لكلّ من قبل الدين ومن لم يقبله، فهي دساتير شرّعت لا من متن العقل الوحياني فحسب، بل من متن الموضوعية العلمية التي هي أعمّ من أن يكون الفرد في دائرة الدين وممَّن يرتضيه، أو في خارج الدائرة وممَّن لا يرتضيه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والظاهرة المهدوية لا بدَّ أن تُعلم، وأن تُمارس وفق أسلوب العقل النظري والعملي والوحياني بالمنهج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تلوح مفاسد وانحرافات في بعض مفاهيم الظاهرة المهدوية لأسباب سلفية شيعية، يوجدها الجهّال المتحجّرون المقدَّسون، فيتمسَّكون بالسطحيات، ويبتعدون عن أسرار الحركة المهدوية، أو لأسباب اعتزالية شيعية، تنحسر في محاكماتها إلى جادة العقل النظري البشري فقط، أو لأسباب شيعية جافّة بعيدة عن الأبعاد المعنوية المدركة لنا بطريق العقل العملي، فتحاكم الظاهرة المهدوية وتستخلص بعقل بعيد عن الطراوة المعنوية</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013641_1051229030"/>
      <w:bookmarkStart w:id="236" w:name="_Toc81"/>
      <w:bookmarkEnd w:id="235"/>
      <w:r>
        <w:rPr>
          <w:rtl w:val="true"/>
        </w:rPr>
        <w:t xml:space="preserve">هـ </w:t>
      </w:r>
      <w:r>
        <w:rPr>
          <w:rtl w:val="true"/>
        </w:rPr>
        <w:t xml:space="preserve">- </w:t>
      </w:r>
      <w:r>
        <w:rPr>
          <w:rtl w:val="true"/>
        </w:rPr>
        <w:t>أزمة الخطاب المهدوي</w:t>
      </w:r>
      <w:r>
        <w:rPr>
          <w:rtl w:val="true"/>
        </w:rPr>
        <w:t>:</w:t>
      </w:r>
      <w:bookmarkEnd w:id="236"/>
    </w:p>
    <w:p>
      <w:pPr>
        <w:pStyle w:val="Heading5"/>
        <w:numPr>
          <w:ilvl w:val="4"/>
          <w:numId w:val="1"/>
        </w:numPr>
        <w:rPr/>
      </w:pPr>
      <w:bookmarkStart w:id="237" w:name="__RefHeading___Toc1013643_1051229030"/>
      <w:bookmarkStart w:id="238" w:name="_Toc82"/>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الأطروحة المهدوية وإن كانت تامّة من حيث الفكر والمحتوى، بيد أنَّ أصحاب وصنّاع الخطاب المهدوي يوجبون أحياناً خفاءها، وفقدان متانتها، ممَّا يوجب الغموض في الفكر، وعدم التفاعل 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وضعف الخطاب له نماذج</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بمفرداته المعقَّدة، وآلياته القديمة، وسياقاته البالية، والعكوف على الشبهات القديمة، سيّما إذا اكتنف بتصرّفات بهذا المستوى فإنَّه يستدعي خطاباً قديماً، يضفي القدم على الفكرة أيضاً، وأنَّ هذه الفكرة من الموروث العاجز عن مواكبة الحاضر والمستقبل، فلا بدَّ </w:t>
      </w:r>
    </w:p>
    <w:p>
      <w:pPr>
        <w:pStyle w:val="BookText"/>
        <w:rPr/>
      </w:pPr>
      <w:r>
        <w:rPr>
          <w:rFonts w:ascii="Amiri" w:hAnsi="Amiri" w:eastAsia="Amiri" w:cs="Amiri"/>
          <w:color w:val="111111"/>
          <w:sz w:val="28"/>
          <w:sz w:val="28"/>
          <w:szCs w:val="28"/>
          <w:rtl w:val="true"/>
          <w:lang w:bidi="ar-SA"/>
        </w:rPr>
        <w:t>من الانتفاض ضدّها وعزلها عن الساحات العلمية، بل البعض يصل إلى حالة الاستحياء من الانتماء إلى تلك الفكرة ظنّاً منه مقاطعة وسام الثقافة مع الخطاب المهدوي، لعدم ثقته به ولاتّهام الغير له بذلك، فيتبرَّأ في اللاشعور من الفكر المهدوي بسبب أزمة الخطاب المهدوي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الجديد المنسجم مع رؤى الناس الذي يسدُّ خلَّة الشباب، إلاَّ أنَّه يشبع حاجة طبقة وجيل خاصّ فقط، فيعطي الفكر المهدوي أوسمة وعناوين حديثة، مثل ديمقراطية المهدي بأن يستشير المهدي أصحابه ويقدّم رأي الأكثر على رأيه، وإن كان رأي الأكثر يتنافى مع رأيه، واشتراكية المهدي، وشيوعية أو عولمة المهدي، أو الحرّية المستوحاة من الفكر المهدوي، أو الحداثة المهدوية، وما بعد الحداثة، أو تكنوقراطية دولة المهدي، ونحوها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ومشكلة هذا الخطاب أنَّ نفس هذه الأفكار ليست هي عين الرضا عندنا، فتنزيل فكرة سماوية على نغمة وضعية محلّ نظر، أجل ربَّما تستعمل هذه المصطلحات بحسب النقل لمعانٍ جديدة غير المعاني المقصود بها عند أصحابها المرفوضة بمبدأ الإسلام، إلاَّ أنَّ هذه المعاني الجديدة حتَّى وإن قبلت إسلاميّاً، إلاَّ أنَّها تبقى ظاهرة إلتقاطية لألفاظ غير إسلاميّة، فإنَّ نظرية تحديث وأسلمة الألفاظ الغربية فيها أحياناً إرباك للمعاني، فضلاً عن ركّة الطريقة، وعدم الثقة بألفاظ الحضارة الإسلاميّة، وكيفما كان فليس هناك أزمة ألفاظ ليستعان بمصطلحات الثقافات الأخرى، وإن كان ولا بدَّ لدى البعض من ذلك، فينبغي من نصب القرينة الواضحة جدَّاً لنفرَّ من قلق المعنى، والحمل على المعنى السقيم، فمثلاً لو اصطلح على لفظ الديمقراطية بمعنى الاستشارة لرأي </w:t>
      </w:r>
    </w:p>
    <w:p>
      <w:pPr>
        <w:pStyle w:val="BookText"/>
        <w:rPr/>
      </w:pPr>
      <w:r>
        <w:rPr>
          <w:rFonts w:ascii="Amiri" w:hAnsi="Amiri" w:eastAsia="Amiri" w:cs="Amiri"/>
          <w:color w:val="111111"/>
          <w:sz w:val="28"/>
          <w:sz w:val="28"/>
          <w:szCs w:val="28"/>
          <w:rtl w:val="true"/>
          <w:lang w:bidi="ar-SA"/>
        </w:rPr>
        <w:t>الآخر والاستعانة ببعض خبرويته، وهو وإن كان مبدأ إسلاميّاً مقبولاً إلاَّ أنَّ استعماله ربَّما يوجب الإيهام في المعنى الآخر وهو حاكمية رأي الأكثر على رأي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 الخطاب المهدوي بلحن عرفاني مسرف، أو من الخيال المفرط الذي لا يتحمله العقل، إلاَّ بتكلّف وتأويل، والعمل على خلاف الظاهر من وقف على بواطن الحقائق ودقائقها فقد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يوماً لحذيفة بن اليمان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حذيفة لا تحدّث الناس بما لا يعرفون فيطغوا ويكفروا</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 وحيث إنَّ منظومة المهدوية لها مراتب من المعارف وبعضها لا يتحمّله إلاَّ الأوحدي من الناس فإنَّ عامّة الناس يمجّونها فلا معنى للحديث بمثل هذه إذ ورد أيضاً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الأنبياء أمرنا أن نكلّم الناس على قدر عقولهم</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آفات الخطاب المهدوي أيضاً الاستعانة بالمبالغات، والمجازات، أو إحالة الفكرة إلى الغيب الجبري، وسلب إرادة التغيير والتأثير لدى الإنسان المؤمن، وتعطيل خطابات الأمر بالمعروف والنهي عن المنكر من حيث الخطاب، أو توصيف الفكر المهدوي بخطاب يوحي أنَّ أطروحته عادية يمكن للكثير أن يصنعها، ولا حاجة إلى اللياقات السماوية، والدعم الربّاني، أو تحديث الخطاب الذي يسعى لتمجيد شخصيات تعيش حقباً زمانيةً خاصّةً، أو تغييب الخطاب المهدوي عن الواقع المعاش، أو تنظيم الخطاب المحقّق للتطرّف والعنف والتعسكر والتجيّش والتعصّب والتضيّق والاقصاء وخلق روح اليأس واللامسؤولية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39" w:name="pg7330_69039"/>
    </w:p>
    <w:p>
      <w:pPr>
        <w:pStyle w:val="BookText"/>
        <w:rPr/>
      </w:pPr>
      <w:bookmarkEnd w:id="239"/>
      <w:r>
        <w:rPr>
          <w:rFonts w:ascii="Amiri" w:hAnsi="Amiri" w:eastAsia="Amiri" w:cs="Amiri"/>
          <w:color w:val="111111"/>
          <w:sz w:val="28"/>
          <w:sz w:val="28"/>
          <w:szCs w:val="28"/>
          <w:rtl w:val="true"/>
          <w:lang w:bidi="ar-SA"/>
        </w:rPr>
        <w:t xml:space="preserve">ولكن الخطاب المهدوي لا بدَّ أن يكون دفاعياً عصرياً أصيلاً علمياً معنوياً عقلانياً غيبياً قرآنياً موصلاً إلى قمم العمران، لا يمينياً سلفياً ولا يسارياً تجديدياً يميّع المفاهيم الإسلاميّة الحقّة، فعن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الملاحم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يعطف الهوى على الهدى إذا عطفوا الهدى على الهوى، ويعطف الرأي على القرآن إذا عطفوا القرآن على الرأي</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يرفض مبدأ سحق الهوى، بل يرشّد الهوى في طريق الهدف، ويمنع العكس، خلافاً للآخرين الذين يسيّسون الأهداف للوصول لأهوائهم، وأنَّ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حاكمية الرأي الشخصي على القرآن، بل يرى الأمر بالعكس كحاكمية القرآن على العقل الفردي</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1013645_1051229030"/>
      <w:bookmarkStart w:id="241" w:name="_Toc83"/>
      <w:bookmarkEnd w:id="240"/>
      <w:r>
        <w:rPr>
          <w:rtl w:val="true"/>
        </w:rPr>
        <w:t>نماذج من الخطاب المهدوي</w:t>
      </w:r>
      <w:r>
        <w:rPr>
          <w:rtl w:val="true"/>
        </w:rPr>
        <w:t>:</w:t>
      </w:r>
      <w:bookmarkEnd w:id="241"/>
    </w:p>
    <w:p>
      <w:pPr>
        <w:pStyle w:val="BookText"/>
        <w:rPr/>
      </w:pPr>
      <w:r>
        <w:rPr>
          <w:rFonts w:ascii="Amiri" w:hAnsi="Amiri" w:eastAsia="Amiri" w:cs="Amiri"/>
          <w:color w:val="111111"/>
          <w:sz w:val="28"/>
          <w:sz w:val="28"/>
          <w:szCs w:val="28"/>
          <w:rtl w:val="true"/>
          <w:lang w:bidi="ar-SA"/>
        </w:rPr>
        <w:t>وإليك نماذج مقتضبة للخطاب المهدوي المبيّن لعقائد وفقه وسلوك فردي وجماعي وطقوس وسنن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اكتفينا طلباً للاختصار بالخطاب القرآني، وإلاَّ فالخطاب المهدوي أوسع من ذلك إذ يعمّ الخطاب النبوي والمولوي وأصحاب النبيّ كأبي بكر وعمر وعثمان وعبد الله بن عمر وأبي هريرة وسمرة بن جندب وسلمان وأبي ذر وعمّار وزوجات النبيّ عائشة وحفصة واُمّ سَلَمة والتابعين كعون بن أبي جحيفة وعباية بن ربعي وقتادة، وخطاب النوّاب والوكلاء والعلماء والمثقّفين والسياسيين والخطاب الأكاديمي، بل يعمّ حتَّى الخطاب المهدوي المسجَّل في التوراة والإنجيل والزبور، وخطاب أبناء العامّة من المفسّرين كالطبري والرازي والخازن والآلوسي وابن كثير والسيوطي ونحو ذلك، ومن الصحاح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 وابن ماجة وأبي داود والنسائي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كتب الحديث كالمستدرك على الصحيحين ومجمع الزوائد ومستند الشافعي وسنن الدارقطني وسنن البيهقي ومستند أبي حنيفة وكنز العمّال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دراسةٍ رصدية بحسب الأزمان والأطوار المتعدّدة ودراسة شاملة مقارنة والبحث عن المشتركات في المطوّلات والمنفردات، والبحث عن علل الخطاب في كلّ مرحلة ونماذجه وأهدافه من التحصين والتوحيد والدعوة، وتقديم دراسة داخلية للخطاب ودراسة خارجية مقارنة مع سائر الخطابات الدينية والوقوف الجاد على تأثير الكلام والفقه والتفسير عليه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7330_69045"/>
      <w:bookmarkStart w:id="243" w:name="pg7330_69045"/>
      <w:bookmarkEnd w:id="243"/>
    </w:p>
    <w:p>
      <w:pPr>
        <w:pStyle w:val="Heading3"/>
        <w:numPr>
          <w:ilvl w:val="2"/>
          <w:numId w:val="1"/>
        </w:numPr>
        <w:rPr/>
      </w:pPr>
      <w:bookmarkStart w:id="244" w:name="pg7330_69045"/>
      <w:bookmarkStart w:id="245" w:name="__RefHeading___Toc1013647_1051229030"/>
      <w:bookmarkStart w:id="246" w:name="_Toc84"/>
      <w:bookmarkEnd w:id="244"/>
      <w:bookmarkEnd w:id="245"/>
      <w:r>
        <w:rPr>
          <w:rtl w:val="true"/>
        </w:rPr>
        <w:t>الفصل السادس</w:t>
      </w:r>
      <w:r>
        <w:rPr>
          <w:rtl w:val="true"/>
        </w:rPr>
        <w:t xml:space="preserve">: </w:t>
      </w:r>
      <w:r>
        <w:rPr>
          <w:rtl w:val="true"/>
        </w:rPr>
        <w:t>علائم الظهور</w:t>
      </w:r>
      <w:bookmarkEnd w:id="246"/>
    </w:p>
    <w:p>
      <w:pPr>
        <w:pStyle w:val="Heading4"/>
        <w:numPr>
          <w:ilvl w:val="3"/>
          <w:numId w:val="1"/>
        </w:numPr>
        <w:rPr/>
      </w:pPr>
      <w:bookmarkStart w:id="247" w:name="__RefHeading___Toc1013649_1051229030"/>
      <w:bookmarkStart w:id="248" w:name="_Toc85"/>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مصطلح العلامة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فلسفة ذكر العلائم</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7330_69048"/>
      <w:bookmarkStart w:id="250" w:name="pg7330_69048"/>
      <w:bookmarkEnd w:id="250"/>
    </w:p>
    <w:p>
      <w:pPr>
        <w:pStyle w:val="Heading4"/>
        <w:numPr>
          <w:ilvl w:val="3"/>
          <w:numId w:val="1"/>
        </w:numPr>
        <w:rPr/>
      </w:pPr>
      <w:bookmarkStart w:id="251" w:name="pg7330_69048"/>
      <w:bookmarkStart w:id="252" w:name="__RefHeading___Toc1013651_1051229030"/>
      <w:bookmarkStart w:id="253" w:name="_Toc86"/>
      <w:bookmarkEnd w:id="251"/>
      <w:bookmarkEnd w:id="252"/>
      <w:r>
        <w:rPr>
          <w:rtl w:val="true"/>
        </w:rPr>
        <w:t>مصطلح العلامة</w:t>
      </w:r>
      <w:r>
        <w:rPr>
          <w:rtl w:val="true"/>
        </w:rPr>
        <w:t>:</w:t>
      </w:r>
      <w:bookmarkEnd w:id="253"/>
    </w:p>
    <w:p>
      <w:pPr>
        <w:pStyle w:val="BookText"/>
        <w:rPr/>
      </w:pPr>
      <w:r>
        <w:rPr>
          <w:rFonts w:ascii="Amiri" w:hAnsi="Amiri" w:eastAsia="Amiri" w:cs="Amiri"/>
          <w:color w:val="111111"/>
          <w:sz w:val="28"/>
          <w:sz w:val="28"/>
          <w:szCs w:val="28"/>
          <w:rtl w:val="true"/>
          <w:lang w:bidi="ar-SA"/>
        </w:rPr>
        <w:t xml:space="preserve">ورد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في موارد شتّى، نذكر بعضها لا على سبيل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علامة مسجّلة في الكتب السماوية، كالتوراة، والإنجيل، تبيّن صفة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وتسمّى بالبشائر،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وَمُبَشِّراً بِرَسُولٍ يَأْتي‏ مِنْ بَعْدِي اسْمُهُ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تفسير القمي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يَعْرِفُونَهُ كَما يَعْرِفُونَ أَبْناءَهُمْ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الله عز وجل قد أنزل عليهم في التوراة والزبور والإنجيل صفة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أصحابه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أن بعث الله عز وجل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المسيح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سوف يأتي من بعدي نبيّ اسمه أحمد من ولد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بتصديقي وتصديقكم، وعذري وعذركم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تزل الأنبياء تبشّر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بعث الله تبارك وتعالى المسيح عيسى بن مريم فبشَّر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اليهود والنصارى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صفة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في التوراة والإنجيل يأمرهم بالمعروف وينهاهم عن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والحديث طويل، ومنقول بمصادر كثيرة، وهو نافع، وقد نقلنا منه موضع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خاطب القرآن أهل الكتاب من اليهود والنصارى الذين عصوا الرسول فيما أمرهم به ودعاهم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قَدْ جاءَكُمْ رَسُولُنا يُبَيِّنُ لَكُمْ كَثِيراً مِمَّا كُنْتُمْ تُخْفُونَ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عليَّ السِفْر الثالث فيه ذكر محمّد وبشارة عيسى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الرضا يتلو السفر من الإنجيل، حتَّى بلغ ذكر محمّد،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جاثليق، من هذا النبيّ الموصوف؟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أصفه إلاَّ بما وصفه الله تعالى، هو صاحب الناقة والعصا والكساء،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يهدي إلى الطريق الأفضل، والمنهاج الأعدل، والصراط الأقوم</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علائم في الكتب السماوية للمصلح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هذه الآية على أشدّ خصومه وهم اليهود وهم بمرأى منه وهم سكوت وهي علامة الرضا، إذ لو لم يكن هذا الحديث في التوراة وهم المتربّصون بالنبيّ الأكرم لاعترضوا عليه ونفوه، ولو كان صدر منهم اعتراض لانعكس إلينا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علامات يوم القيامة وهي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تتحقَّق قبل وقوع القيامة، وتسمّى أشراط الساعة، وقد ذكرت الروايات منها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واندكاك السدّ، وخروج يأجوج ومأجوج، وإتيان السماء بدخان مبين، ونزول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وخروج دابة من الأرض، والفاطمي، وقتل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والجواهر في بيان عقائد الأكابر</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جميع أشراط الساعة التي أخبرنا بها الشارع حقّ لا بدَّ أن تقع كلّها قبل قيام الساعة، وذلك كخروج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الدجّال، ثمّ نزول عيسى، وخروج الدابة، وطلوع الشمس من مغربها، ورفع القرآن، وفتح سدّ يأجوج ومأجوج، حتَّى لو لم يبقَ من الدنيا إلاَّ مقدار يوم واحد لوقع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إِلاَّ السَّاعَةَ أَنْ تَأْتِيَهُمْ بَغْتَةً فَقَدْ جاءَ أَشْراطُها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والأشراط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العلامة، وعلى هذا فإنَّ أشراط الساعة إشارة إلى علامات اقتراب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أكثر المفسّرين أنَّ المراد من أشراط الساعة هو ظهور شخص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بعثت أنا والساعة كهاتين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ويجمع بين سبابتيه </w:t>
      </w:r>
      <w:r>
        <w:rPr>
          <w:rFonts w:eastAsia="Amiri" w:cs="Amiri" w:ascii="Amiri" w:hAnsi="Amiri"/>
          <w:color w:val="111111"/>
          <w:sz w:val="28"/>
          <w:szCs w:val="28"/>
          <w:rtl w:val="true"/>
          <w:lang w:bidi="ar-SA"/>
        </w:rPr>
        <w:t>_)</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ووردت أحاديث عديدة في بيان أشراط الساعة، من قبيل شيوع كثير من المعاصي بين الناس، فقد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أشراط الساعة أن يرفع العلم ويظهر الجهل ويشرب الخمر ويفشو الزنا</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ورد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 فأخذ بحلقة باب الكعبة ثمّ أقبل علينا بوجهه،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بأشراط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أدنى الناس منه يومئذٍ سلمان رحمة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أشراط القيامة إضاعة الصلوات واتّباع الشهوات، والميل إلى الأهواء، وتعظيم أصحاب المال، وبيع الدين بالدنيا، فعندها يذوب قلب المؤمن في جوفه كما يذاب الملح في الماء ممَّا يرى من المنكر فلا يستطيع أن يغيّره</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والحديث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وحوادث كتخلخل النظام الكوني، واندثار النظام السائد، وظهور نظام جديد، كما ذكر ذلك في سورة التكوير، والزلزلة، والانشقاق، والانفطار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علامات 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روى المسلمون على اختلاف طوائفهم أحاديث كثيرة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المهدي وعلامات ظهوره، وما يجري في أيّامه، وهكذا روى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ظهور القائم فتنهَّد</w:t>
      </w:r>
      <w:r>
        <w:rPr>
          <w:rStyle w:val="FootnoteAnchor"/>
          <w:rtl w:val="true"/>
        </w:rPr>
        <w:footnoteReference w:id="18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لها من طامة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وبكى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إذا حكمت في الدولة الخصيان والنسوان والسودان، وأخذت الإمارة الشبان والصبيان، وخرب جامع الكوفة من العمران، وانعقد الجسران، فذلك الوقت زوال ملك بني عمّي العبّاس، وظهور قائمنا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ورد في بعض الروايات أنَّ من علامات الظهور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خسف يكون ببغداد، وخسف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وخسف بالبصرة، ونار تظهر بالمشرق طولاً وتبقى في الجوّ ثلاثة أيّام أو سبعة أيّام، ونار تظهر من أذربيجان لا يقوم لها شيء، وخراب الشام، وعقد الجسر ممَّا يلي الكرخ ببغداد، وارتفاع ريح سوداء بها في أوّل النهار، وزلزلة حتَّى ينخسف كثير منها، واختلاف صنفين من العجم، وسفك دماء كثيرة بينهم، وغلبة العبيد على بلاد الشام، ونداء من السماء يسمعه أهل الأرض كلّ أهل لغة بلغتهم</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الروايات التي ذكرت علامات الظهور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راية من المشرق، وراية من المغرب، وفتنة تُضِلُّ أهل الزوراء، وخروج رجل من ولد عمّي زيد باليمن، وانتهاب ستارة البيت</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أن يملك بنو العبّاس، فإذا ملكوا واختلفوا وتشتَّت أمرهم خرج عليهم الخراساني والسفياني، هذا من المشرق، وهذا من المغرب</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تُقسَّم علائم الظهور إلى علائم محتومة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قابلة للبداء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محتومة، وقد تقسَّم إلى علائم قريبة وبعيدة، وتقسَّم إلى علائم قبل عصر الظهور وعلائم بعد عصر الظهور، وقد تقسَّم إلى علائم طولية وعلائم عرضية، وعلائم قد تحقَّقت وعلائم لم تتحقَّق، وعلائم تتداخل مع علائم يوم القيامة وعلائم تختصّ بظهور القائم، وعلائم فيها جنبة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54" w:name="pg7330_69058"/>
    </w:p>
    <w:p>
      <w:pPr>
        <w:pStyle w:val="BookText"/>
        <w:rPr/>
      </w:pPr>
      <w:bookmarkEnd w:id="254"/>
      <w:r>
        <w:rPr>
          <w:rFonts w:ascii="Amiri" w:hAnsi="Amiri" w:eastAsia="Amiri" w:cs="Amiri"/>
          <w:color w:val="111111"/>
          <w:sz w:val="28"/>
          <w:sz w:val="28"/>
          <w:szCs w:val="28"/>
          <w:rtl w:val="true"/>
          <w:lang w:bidi="ar-SA"/>
        </w:rPr>
        <w:t>العمومية وعلائم ليست فيها جنبة من العمومية، وعلائم قد تكرَّر ذكرها في الروايات وعلائم اختصَّ ذكرها في بعض الروايات، وعلائم قد دلَّت الروايات على أنَّها حصرية وعلائم لم تتناولها الروايات بالحصر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كتب أبناء العامّة علائم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كسنن ابن ماجة، وسنن أبي داود، وكتب السيوطي، والطبراني، والشافعي،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وهدفنا من هذه الدراسة الإشارة إلى أنَّه ينبغي في دراسة علائم الظهور أن تكون الدراسة قائمة على أساس الأشباه والنظائر، نظير علائم البشائر وعلائم القيامة</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013653_1051229030"/>
      <w:bookmarkStart w:id="256" w:name="_Toc87"/>
      <w:bookmarkEnd w:id="255"/>
      <w:r>
        <w:rPr>
          <w:rtl w:val="true"/>
        </w:rPr>
        <w:t>فلسفة ذكر العلائم</w:t>
      </w:r>
      <w:r>
        <w:rPr>
          <w:rtl w:val="true"/>
        </w:rPr>
        <w:t>:</w:t>
      </w:r>
      <w:bookmarkEnd w:id="256"/>
    </w:p>
    <w:p>
      <w:pPr>
        <w:pStyle w:val="BookText"/>
        <w:rPr/>
      </w:pPr>
      <w:r>
        <w:rPr>
          <w:rFonts w:ascii="Amiri" w:hAnsi="Amiri" w:eastAsia="Amiri" w:cs="Amiri"/>
          <w:color w:val="111111"/>
          <w:sz w:val="28"/>
          <w:sz w:val="28"/>
          <w:szCs w:val="28"/>
          <w:rtl w:val="true"/>
          <w:lang w:bidi="ar-SA"/>
        </w:rPr>
        <w:t>ولأجل البحث في فلسفة ذكر هذه العلائم فلا بدَّ من الالتفات إلى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الهدف من ذكر نماذج للعلامات هو التنبيه على أنَّ مصطلح علائم ظهور الإمام ليس منحصراً بهذه الظاهرة، بل لها من النظائر والأشباه، والتأكيد على أنَّ قراءة علائم الظهور لا بدَّ أن تكون على غرار ووزان قراءة العلامات الأخرى مع ملاحظة الفوارق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جملة من علائم الظهور هي من علائم يوم القيامة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إنَّ علائم الظهور ليست في مرتبة واحدة، بل بعض تلك العلائم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العلائم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تحقَّق وبعضها وإن تحقَّق بالمرتبة النازلة منها إلاَّ أنَّها علائم تشكيكية بمعنى أنَّ لها قابلية الزيادة والنقيصة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الميل مع الأهواء أو بيع الدين بالدنيا، فإنَّ من علائم الظهور بعث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وزوال حكومة بني العبّاس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بناءً على عدم عودة حكومة بني العبّاس </w:t>
      </w:r>
      <w:r>
        <w:rPr>
          <w:rFonts w:eastAsia="Amiri" w:cs="Amiri" w:ascii="Amiri" w:hAnsi="Amiri"/>
          <w:color w:val="111111"/>
          <w:sz w:val="28"/>
          <w:szCs w:val="28"/>
          <w:rtl w:val="true"/>
          <w:lang w:bidi="ar-SA"/>
        </w:rPr>
        <w:t xml:space="preserve">_. </w:t>
      </w:r>
    </w:p>
    <w:p>
      <w:pPr>
        <w:pStyle w:val="BookText"/>
        <w:rPr/>
      </w:pPr>
      <w:r>
        <w:rPr>
          <w:rFonts w:ascii="Amiri" w:hAnsi="Amiri" w:eastAsia="Amiri" w:cs="Amiri"/>
          <w:color w:val="111111"/>
          <w:sz w:val="28"/>
          <w:sz w:val="28"/>
          <w:szCs w:val="28"/>
          <w:rtl w:val="true"/>
          <w:lang w:bidi="ar-SA"/>
        </w:rPr>
        <w:t>وعليه فتحقّق العلامة لا يوجب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إنَّ بعض العلائم فيها جنبة الإعجاز والإذعان بظهور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البعض الآخر، وهذا كلّه بالنسبة للعلامة المقارنة للظهور دون العلائم السابقة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العلامة التي فيها جنبة الإعجاز فإنَّ الظاهر المعظم فيها أنَّها للمتخصّص لا لعامّة الناس، فإنَّ العلامة لها وجهتان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واقعية، غير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يميّزها المتخصّص الحاذق، حتَّى العلامة الحتمية كما في حديث المفضَّل الآنف حيث ورد المعروفون بالزيدية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سحر عظيم، كبشائر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ويؤكّده رواية المفضَّل عن أبي عبد الله في حديث الظهور حيث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ويتَّصل به وبأصحابه خبر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يتَّصل بالحسني وأصحابه الذين هم كنوز الله، كنوز لا من ذهب ولا من فضّة، بل رجال كزبر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من هذا الذي نزل بساحتنا؟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بنا إليه حتَّى ننظره من هو وما يريد وهو يعلم أنَّه المهدي</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الحديث، إذ الظاهر مع ورود خبر المهدي لأصحاب الحسني كنوز الله المسبوقين بتلك العلائم خرجوا إليه لمعرفة ما يريد ومن هو فخبره شيء وماذا يريد شيء آخر فمجرَّد وصول الخبر لا يلازم لزوم معرفته شخصياً ومعرفة مشروعه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السرّ في ذكر البشائر على ما ورد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تصديقي وتصديقكم، وعذري وعذركم</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أي سيكون أوّلاً تصديق بالإعجاز الصادر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إخبارهم عن خصائص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حقّانيتهم، وثانياً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تصديقاً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وبعبارة أخرى نصدّق بأخبار الغيبة التي أخبر عنها الأئمّة وذلك بالمشاهدة، ثمّ نطبّق تلك العلائم على الإمام المهدي، فإذعان بالكلّيات والعلائم وتنزيلها على الفرد والمصداق ومادة يحتجُّ بها على الآخرين وهكذا تكون مادة للاعتذار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الجمع بين خصيصتين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المجيء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المجيء بعد الأشراط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تشير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إِلاَّ أَنْ تَأْتِيَهُمْ بَغْتَةً فَقَدْ جاءَ أَشْراطُها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من الانتظار وإنَّ الأشراط جمع شرط وهي العلامة والمراد من أشراط الساعة أي علامات اقتراب القيامة وليس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جاءَ 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تحقَّق جميع العلامات، بل المراد أنَّ بعضها قد ظهر، وفي هذا إشارة إلى اقتراب المشروط، والآية تريد أن تشير لبيان أمر واقعي وهو أنَّ مجيء القيامة يكون بغتة، وليس المراد أنَّهم ينتظرون إتيانها بغتة حتَّى يكون قيد بغتة للانتظار، فحصول المشروط بغتة لا أنَّ الإتيان عندهم بغتة، بل الإتيان عندهم ينبغي أن يكون من أوّل الأمر لا عند حصول المشروط وهي الساعة المفسَّرة بالمهدي المنتظر كما في رواية مختصر بصائر الدرجات</w:t>
      </w:r>
      <w:r>
        <w:rPr>
          <w:rStyle w:val="FootnoteAnchor"/>
          <w:rtl w:val="true"/>
        </w:rPr>
        <w:footnoteReference w:id="191"/>
      </w:r>
      <w:r>
        <w:rPr>
          <w:rFonts w:ascii="Amiri" w:hAnsi="Amiri" w:eastAsia="Amiri" w:cs="Amiri"/>
          <w:color w:val="111111"/>
          <w:sz w:val="28"/>
          <w:sz w:val="28"/>
          <w:szCs w:val="28"/>
          <w:rtl w:val="true"/>
          <w:lang w:bidi="ar-SA"/>
        </w:rPr>
        <w:t xml:space="preserve">، وفي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الساعة لا تأتيكم إلاَّ بغتة</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 فالآية الواردة في سياق التهكّم أي كيف لهم أن ينتفعوا بالذكرى عند قيام المشروط بغتة إذ لا مجال للعمل حينئذٍ، وإنَّما ينبغي الانتفاع بالذكرى من الآن بعد ما جاءت أشراط القيامة وعلاماتها والمهدي، فبعد إذعانكم بالقيامة واقترابها والمهدي بسبب تقدّم أشراطها وعلاماتها، فعليكم بالعمل الآن، لأنَّه ينبغي أن تحتملوا في كلّ آن أنَّ مجيء القيامة بغتة فلا ينفعكم العمل، فالآية واردة في مقام لزوم تأصيل العمل والمبادرة إليه فوراً، وفيها إشارة لا حاجة إلى التسويف في أشراطها، فالعلامات شروط للوجوب خارج عن حيّز التكليف، لا أنَّها شروط وجودية حتَّى تكون محط نظر التكليف والإعداد لها، فحال العلامات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زوال الشمس وإن كان علامة لوجوب الصلاة، ولكن لا أهمّية للزوال وإنَّما تمام الأهمّية للصلاة وإعداد المقدّمات الوجودية للصلاة كالوضوء والطهارة، وتوفير جميع المقدّمات التي يتوقَّف عليه العمل، وهكذا ينبغي لمن يريد الحجّ أن يوفّر جميع الأمور التي يتوقَّف عليها الحجّ قبل تسعة ذي الحجة فشراء التذكرة وإعداد جواز السفر وغير ذلك لا بدَّ أن يوفّرها حالاً حتَّى يتسنّى له العمل في وقته</w:t>
      </w:r>
      <w:r>
        <w:rPr>
          <w:rFonts w:eastAsia="Amiri" w:cs="Amiri" w:ascii="Amiri" w:hAnsi="Amiri"/>
          <w:color w:val="111111"/>
          <w:sz w:val="28"/>
          <w:szCs w:val="28"/>
          <w:rtl w:val="true"/>
          <w:lang w:bidi="ar-SA"/>
        </w:rPr>
        <w:t xml:space="preserve">.). </w:t>
      </w:r>
      <w:bookmarkStart w:id="257" w:name="pg7330_69065"/>
    </w:p>
    <w:p>
      <w:pPr>
        <w:pStyle w:val="Heading4"/>
        <w:numPr>
          <w:ilvl w:val="3"/>
          <w:numId w:val="1"/>
        </w:numPr>
        <w:rPr/>
      </w:pPr>
      <w:bookmarkStart w:id="258" w:name="__RefHeading___Toc1013655_1051229030"/>
      <w:bookmarkStart w:id="259" w:name="_Toc88"/>
      <w:bookmarkEnd w:id="257"/>
      <w:bookmarkEnd w:id="258"/>
      <w:r>
        <w:rPr>
          <w:rtl w:val="true"/>
        </w:rPr>
        <w:t>بيان الحال في المنظومة المهدوية</w:t>
      </w:r>
      <w:r>
        <w:rPr>
          <w:rtl w:val="true"/>
        </w:rPr>
        <w:t>:</w:t>
      </w:r>
      <w:bookmarkEnd w:id="259"/>
    </w:p>
    <w:p>
      <w:pPr>
        <w:pStyle w:val="BookText"/>
        <w:rPr/>
      </w:pPr>
      <w:r>
        <w:rPr>
          <w:rFonts w:ascii="Amiri" w:hAnsi="Amiri" w:eastAsia="Amiri" w:cs="Amiri"/>
          <w:color w:val="111111"/>
          <w:sz w:val="28"/>
          <w:sz w:val="28"/>
          <w:szCs w:val="28"/>
          <w:rtl w:val="true"/>
          <w:lang w:bidi="ar-SA"/>
        </w:rPr>
        <w:t>وبهذا البيان يتَّضح الحال في المنظومة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إذا ظهر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أمره على أحد، وذلك لتقدّم أشراط الظهور، بل وتحقّق بعضها قبل الظهور وحينه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وفلسفة العلامة هو تأمين ظاهرة الانتظار كما ورد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المهدي منّا أهل البيت يصلح الله أمره في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يصلحه الله في ليلة</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أي أنَّ الظهور يكون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لا تصادم بين العلامات وبين الظهور 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 ورد في مختصر بصائر الدرجات منهج التعامل مع القضية المهدوية، فقد ورد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الَّذِينَ يُمارُونَ فِي السَّاعَةِ لَفِي ضَلالٍ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يمارون؟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ولد، ومن رآه، وأين يكون، ومتى يظهر، وكلّ ذلك استعجالاً لأمر الله وشكّاً في قضائه ودخولاً في قدرته</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ثمّ إنَّ عدم معرفة الناس بزمن الظهور، وضمنية كون الظهور يأتي بغتة يستدعي وقوع الظهور في أي وقت وينبغي ترقّبه والاستعداد، فعدم المعرفة له أثر مثبت جليّ في النفوس</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وهكذا لسان بعض الروايات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ليلة لملك فيها رجل من أهل بيتي</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 وهذا اللسان في الروايات قد تكرَّر في موارد منها قصّة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يوماً بارزاً للناس إذ أتاه رجل يمشي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p>
    <w:p>
      <w:pPr>
        <w:pStyle w:val="BookText"/>
        <w:rPr/>
      </w:pPr>
      <w:r>
        <w:rPr>
          <w:rFonts w:ascii="Amiri" w:hAnsi="Amiri" w:eastAsia="Amiri" w:cs="Amiri"/>
          <w:color w:val="111111"/>
          <w:sz w:val="28"/>
          <w:sz w:val="28"/>
          <w:szCs w:val="28"/>
          <w:rtl w:val="true"/>
          <w:lang w:bidi="ar-SA"/>
        </w:rPr>
        <w:t>متى الساعة؟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المسؤول عنها بأعلم من السائل ولكن سأحدّثك عن أشراطها</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نظير النهي عن التوقيت، وأنَّ وقت خروج الإمام مجهول حتَّى لمثل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رواية المفضَّل في 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يوقّت له وقت،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لا أوقّت له وقتاً ولا يوقّت له وقت، إنَّ من وقَّت لمهدينا وقتاً فقد شارك الله تعالى في علمه وادّعى أنَّه ظهر على سرّه</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فالتعليل ظاهر في انتفاء العلم حتَّى للأئمّة والله العالم، مع الحفظ على مقولة علم الإمام</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السَّاعَةِ أَيَّانَ مُرْساها قُلْ إِنَّما عِلْمُها عِنْدَ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كَأَنَّكَ حَفِيٌّ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في الكشّاف للزمخشري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تختصّهم بتعليم وقتها لأجل القرابة</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 وكيفما كان فإنَّ ظاهر الآية الكريمة يريد عدم معرفة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بوقت الساعة، وينفي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أخبر بعض أقربائه دون غيرهم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ورد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ينظر إلى يوم القيامة كأنَّه رأي عين فليقرأ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لأنَّ هذه السورة تعرض علائم يوم القيامة، ومن المعلوم أنَّ الإذعان بيوم القيامة يقتضي أن يكون المكلَّف قد أعدَّ نفسه لهذا السفر، لاسيّما مجيئه بغتةً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يمكن أن نقول في علائم الظهور، فالنظر إلى العلائم لا لموضوعية فيها، وإنَّما هي على نحو الطريقية إلى النظر لصاحب الأمر، فليقرأ علائم الظهور من حيث الإذعان، وفي دائرة العقل العملي لا في العقل النظري كما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الإكثار من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فالهدف حسب الظاهر هو تحريك العقل العملي والوصول إلى شاطئ الإيمان والإذعان، وعقد القلب لاستنارة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لم يحدّثنا التاريخ عن وجود مدرسة تسعى في تحقيق معالم القيامة لأجل التعجيل، فمن المناسب أن ننتهج نفس المنهج في علائم الظهور، فمن زخرف القول أن نعجل في المعاصي لكي يظهر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كما تقدَّم مقدّمات وجوبية لا وجودية فيجب عدم تحقيقها وينبغي السعي للتعجيل في الظهور لا التعجيل في العلامة والفرق واضح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روي أنَّ رجلاً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قيام الساعة؟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أعددت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أعددت لها من كثير عمل لا صلاة ولا صوم إلاَّ أنَّني أحبّ الله ورسوله،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فتغيير السؤال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لبيان المناسب في مقام السؤال وهو النهي عن هذا الوقت، وليس السؤال عن التاريخ والزمان، هذا أوّلاً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المهمّ هو كون الشخص قد ميَّز الحقّ فأحبّه وأحبّ أهله ليستتبع ذلك العمل به فيحشر مع الحقّ وأهله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الأجل غير معلوم، وهو أجل قد أعدَّه الله، لعلمه أنَّ صلاح الخلق في إدامة التكليف عليهم إلى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لابدّية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بالجانب التربوي المترتّب للنظر في تلك العلامات، إذ بمقتضى الإطلاق المقامي وكون المتكلّم في مقام البيان أنَّ الأمر الذي ينبغي أن يقع حوله السؤال هو إعداد العمل، ومن الواضح عدم ذكر العلامات وحصر الأهمّية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أعددت من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انحصار الأهمّية بذلك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يفهم حديث عمر بن أبان،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 العلامة فإذا عرفتها لم يضرّك تقدَّم هذا الأمر أو تأخَّر</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ويؤيّده أنَّ تحقّق بعض تلك العلامات يجتمع مع مفهوم الانتظار وبعد تحقّق العلامة تزول فائدتها من جهة أنَّها سالبة بانتفاء الموضوع، فالذي يبقى مصاحباً هو الانتظار، فهو محط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فالمهمّ في النظر الديني هو تنشيط ظاهرة الانتظار، والإعداد له، وليس المهمّ الوقوف على العلامة إلاَّ بمقدار كونه كاشفاً إذعانياً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ويحتمل أنَّ الإخبار عن الحوادث المستقبلية كعلائم الظهور قد تكون في سياق المعجزة والإخبارات الغيبية، فندور مدارها من الفائدة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لا بدَّ من الالتفات إلى بعض السذّج من الناس حينما يواجهون أحداثاً خطيرة، فإنَّهم يظهرون اهتمامهم بقضيّة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وبعلائم الظهور، ويبحثون عن المزيد ممَّا يمنحهم بصيص أمل،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قد حاول بعض الكتّاب تنفيذ هذه الرغبة، وبذل جهوداً كبيرةً لترسيم المستقبل وفق ما تيسَّر من النصوص التي جاء أكثرها غامضاً وغائماً، واختلط غثها بسمينها، وتعرَّض كثير منها للتحريف، وزيد فيها ونقص وقطع، بل ينبغي للمؤمن أن يعيش عذوبة الانتظار وهذا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 العلامة فإذا عرفتها لم يضرّك تقدَّم هذا الأمر أو تأخَّر</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ذكره البعض من وجوب معرفة علامات الظهور مستدلّين عليه بوجوب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بشخصه ولا يمكن ذلك إلاَّ بالتعرف على العلائم،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لا يأتي في العلائم غير المحتومة والعلائم التي تقع قبل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تنحصر معرفة الإمام بشخصه عن طريق تلك العلائم وإن كانت حتمية ومقارنة لظهوره، نظير معرفة المسلمين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البعثة مع جهلهم بالبشائر، وأنَّ الإمام سيملك من المعاجز التي يستطيع بواسطتها التعرّف عليه، وهكذا مواريث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صيغة افعل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وجوب التعرّف أو استحبابه، ففيه أنَّ الظاهر من الأمر الإرشادية لا النفسية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في المنظومة المهدوية هناك مفردات ينبغي الاهتمام بها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صحيح مسلم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في عنقه بيعة مات ميتة جاهلية</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اُجَدَّدُ لَهُ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صَبِيحَةِ يَوْمِي هَذَا وَمَا عِشْتُ مِنْ أيَّامِي عَهْداً وَعَقْداً وَبَيْعَةً لَهُ فِي عُنُقِي</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دخلوا عليه فرأوه يبكي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غيبتك نفت رقادي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وليتأمَّل في كلام الإمام الصادق حيث يعبّر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إشارة إلى ما ورد في ذيل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نظرت في كتاب الجفر صبيحة هذا اليوم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الكتاب المشتمل على علم المنايا والبلايا والرزايا وعلم ما كان وما يكون إلى يوم القيامة الذي خصَّ الله به محمّداً والأئمّة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وتأمَّلت منه مولد غائبنا وغيبته وإبطاءه وطول عمره وبلوى المؤمنين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فأخذتني الرقّة، واستولت عليَّ الأحزان</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أيّده بنصرك وانصر عبدك وقوّ أصحابك وصبّرهم وافتح لهم من لدنك سلطاناً نصيراً وعجّل فرجه وأمكنه من أعدائك وأعداء رسولك يا أرحم الراحمين</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كزيارة آل 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7330_69079"/>
      <w:bookmarkStart w:id="261" w:name="pg7330_69079"/>
      <w:bookmarkEnd w:id="261"/>
    </w:p>
    <w:p>
      <w:pPr>
        <w:pStyle w:val="Heading3"/>
        <w:numPr>
          <w:ilvl w:val="2"/>
          <w:numId w:val="1"/>
        </w:numPr>
        <w:rPr/>
      </w:pPr>
      <w:bookmarkStart w:id="262" w:name="pg7330_69079"/>
      <w:bookmarkStart w:id="263" w:name="__RefHeading___Toc1013657_1051229030"/>
      <w:bookmarkStart w:id="264" w:name="_Toc89"/>
      <w:bookmarkEnd w:id="262"/>
      <w:bookmarkEnd w:id="263"/>
      <w:r>
        <w:rPr>
          <w:rtl w:val="true"/>
        </w:rPr>
        <w:t>الفصل السابع</w:t>
      </w:r>
      <w:r>
        <w:rPr>
          <w:rtl w:val="true"/>
        </w:rPr>
        <w:t xml:space="preserve">: </w:t>
      </w:r>
      <w:r>
        <w:rPr>
          <w:rtl w:val="true"/>
        </w:rPr>
        <w:t>المنقذ العالمي في الأديان</w:t>
      </w:r>
      <w:bookmarkEnd w:id="26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5" w:name="__RefHeading___Toc1013659_1051229030"/>
      <w:bookmarkStart w:id="266" w:name="_Toc90"/>
      <w:bookmarkEnd w:id="265"/>
      <w:r>
        <w:rPr>
          <w:rtl w:val="true"/>
        </w:rPr>
        <w:t>اشارة</w:t>
      </w:r>
      <w:bookmarkEnd w:id="26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قام الإجماع في الديانات السماوية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اليهودية، والمسيحية، والإسلام، بل غيرها أيضاً، على الاعتراف والاعتقاد بالمنقذ السماوي المتوَّج للقيم الربّانية، والموصل العالم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بما يعمّ المادي منه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مرفأ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هذا المنقذ في ضمن أوصاف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المنقذ روح الله، والنفس المستقيم، وعبد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إنجيل يوحنا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متابعة العالم كلّه، أي العالم بكلّه يتبعه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متى، زبور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المنقذ العادل، والحاكم العادل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إنجيل يوحنا، زبور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مزبور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محو الظلم والظالمين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أشعياء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لا ينطق عن الهوى، وإنَّما يتكلَّم من الله، وما سمعه من النبيّ والأولياء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إنجيل يوحنا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في محلّه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كعلم النبيّ بالأشياء، وإن اختلف في كيفية علمه من إيحاء بناءً على ما هو الصحيح من عدم انحصار الإيحاء بالنبيّ، أو بالكشف، أو بغير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الهداية العامّة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زبور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مزمور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كتاب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خروج كنوز الأرض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زبور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مزمور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كتاب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موجود بين الناس، ويراهم ولا يعرفونه، وذلك بسبب غفلتهم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إنجيل يوحنا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والجور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النصوص السماوية الوارد فيها ذلك، من قبيل كمال العلوم، وعالِم بالعلوم، ومطَّلع على الغيب، ويحكم بحسب الواقع، ولا يعمل بالتقيّة، ويطهّر مقام عيسى في أعين أنصاره، ويشهد بنبوَّته، ويحضر عيسى معه، ويؤمن المسيحيون به قبل غيرهم من الفِرَق الضالّة، ولا يعلم ظهوره حتَّى الملائكة، وله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ولمزيد من النصوص حول ذلك يراجع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 الساباطية في الردّ على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لجواد الساباطي من أعلام القرن الثاني عشر الهجري،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الكتاب المقدَّس تحت المجهر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للكاتب الأردني عودة مهاوش أبو محمّد الأردني،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الأعلام في الردّ على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صادق فخر الإسلام،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اعتنقوا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لسفر محمّد رضا رضائي،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للأستاذ سعيد أيّوب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ويراجع أيضاً الكتب السماوية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إنجيل يوحنا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إنجيل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إنجيل مرقس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إنجيل لوقا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زبور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مزمور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كتاب دانيال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مع اتّفاقهم على لابدّية المنقذ اختلفوا في مصداقه، هل هو العزير، أم المسيح، أم هو من نسل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من نسل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ومنشأ هذا الاختلاف هو الاختلاف في تأويل النصّ الديني بعدما كان متعرّضاً إلى الصفات العامّة على ما تقدَّمت الإشارة إليها، فحملُ النصّ على أشخاصٍ خاصّين ليس ببعيد إذا كان ذلك بسبب العوامل السياسية، والتعصّب، والحبّ، والتأثّر العاطفي، والسعي إلى تسجيل المفاخر لأديانهم بعدما نصَّت البشائر السماوية على كون المصلح ذا صفات عالية وكمالات رفيعة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على أمور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ينبغي التمييز وعدم الخلط بين البشائر بالمنقذ والبشائر بالنبيّ، فإنَّ النبيّ وإن كان منقذاً لكن إنقاذه ليس عالمياً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ينبغي الوقوف والتأنّي ودراسة جميع الصفات للمنقذ العالمي قبل تحديده بمصداق، ثمّ ملاحظة الواقع التاريخي والقرائن في النصوص لملاحظة المصداق مع إدخال جميع ما كان من المحتمل أن يكون هو المنقذ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ما ورد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صفات المنقذ، فلا معنى لحمل المنقذ على كونه نفس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وكفى في تعيين المنقذ العالمي بكونه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النصّ الشريف في سفر الرؤيا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السلطة كانت تريد قتل هذا الغلام ولكن بعد ولادة الطفل غيب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الباحث سعيد أيّوب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الدجّال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أسفار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ما في عمله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علَّق على هذا النصّ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أنَّني وجدته كذلك في كتب أهل الكتاب، لقد تتبَّع أهل الكتاب أخبار المهدي كما تتبَّعوا أخبار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فدلَّت أخبار سفر </w:t>
      </w:r>
      <w:bookmarkStart w:id="267" w:name="pg7330_69089"/>
    </w:p>
    <w:p>
      <w:pPr>
        <w:pStyle w:val="BookText"/>
        <w:rPr/>
      </w:pPr>
      <w:bookmarkEnd w:id="267"/>
      <w:r>
        <w:rPr>
          <w:rFonts w:ascii="Amiri" w:hAnsi="Amiri" w:eastAsia="Amiri" w:cs="Amiri"/>
          <w:color w:val="111111"/>
          <w:sz w:val="28"/>
          <w:sz w:val="28"/>
          <w:szCs w:val="28"/>
          <w:rtl w:val="true"/>
          <w:lang w:bidi="ar-SA"/>
        </w:rPr>
        <w:t>الرؤيا إلى امرأة يخرج من صلبها اثنا عشر رجلاً، ثمّ أشار إلى امرأة أخرى،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تلد الرجل الأخير الذي هو من صلب جدَّته، وقال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المرأة الأخيرة ستحيط بها المخاطر، ورمز للمخاطر باسم التنّين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والتنّين وقف أمام المرأة العتيدة حتَّى تلد ليبتلع ولدها متى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الرؤيا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السلطة كانت تريد قتل هذا الغلام، ولكن بعد ولادة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باركلي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هجمت عليها المخاطر اختطف الله ولدها وحفظه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 w:name="__RefHeading___Toc1013661_1051229030"/>
      <w:bookmarkStart w:id="269" w:name="_Toc91"/>
      <w:bookmarkEnd w:id="268"/>
      <w:r>
        <w:rPr>
          <w:rtl w:val="true"/>
        </w:rPr>
        <w:t>وهاهنا سؤالان</w:t>
      </w:r>
      <w:r>
        <w:rPr>
          <w:rtl w:val="true"/>
        </w:rPr>
        <w:t>:</w:t>
      </w:r>
      <w:bookmarkEnd w:id="269"/>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الاستدلال بالنصوص الدينية الواردة في الكتب التي حكم بتحريفها جزماً؟</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هو السُنّة الشريفة، وما ذكر يصلح أن يكون مؤيّداً، على أنَّه سبيل لإقناع أصحاب تلك الكتب بحقّانية الإسلام والمذهب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جميع ما موجود في تلك الكتب محرَّفاً، بل أنَّ القرآن قد استشهد ببعض الكتب السماوية في بشائر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الكتب قد ذكرت خصائص للمنقذ خاصّةً قبل وقوعها فيصحُّ الاعتماد عليها من جهة إخباراتها الغيبية التي بُرهن على صحَّتها في محكّ الواقع التاريخي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فكرة المهدوية إسلاميّة مع أنَّ وجود هذه النصوص الدينية دليل على كونها إسرائيلية ومستوردة من خارج الفكر والتشريع الإسلامي، بل ليست من صميم الواقع الديني الإسلامي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وجود البشائر للنبيّ والمفاهيم الإسلاميّة لا يستدعي بطلانها وهكذا ذكر الخصوصيات الخاصّة بالرسول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السماوية يلزم على ذلك أن يكون الإسلام وهكذا النبيّ فكرة إسرائيلية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أنَّه لا تلازم بين كون الفكرة مذكورة في الكتب السماوية وبين كونها إسرائيلية باطلة،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نَعْلَمُ أَنَّهُمْ يَقُولُونَ إِنَّما يُعَلِّمُهُ بَشَرٌ لِسانُ الَّذِي يُلْحِدُونَ إِلَيْهِ أَعْجَمِيٌّ وَهذا لِسانٌ عَرَبِيٌّ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الكفّار قد وقفوا على أنَّ بعض المفاهيم القرآنية تتطابق مع الوارد في الكتب السماوية، ولذا اتّهموا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عنده من أهل الكتاب فجاءت الآية في سياق الإطلاق المقامي ولم تنف أنَّ ما عنده لم يكن في الكتب السماوية وإنَّما أشارت إلى أنَّ القرآن لا يصلح أن يكون إيحاء بشر، بل البشر عاجز عن الإتيان به فكيف إذا كان هؤلاء لا يجيدون العربية فبواسطة الإطلاق المقامي لا مانع من اتّحاد الفكرة بين الروايات، ولنا من الشواهد في وحدة الأفكار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فالمنظومة المهدوية كفكرة أسبق من رسالة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الإسلام بفكره الشيعي الأصيل حوَّل الفكرة من أطروحة وحديث المستقبل الفطري إلى مشروع في طريق التنفيذ بعد الاعتقاد بوجوده وتأثيره الكوني والتشريعي والمعنوي والهدايتي، وإخراجه من الغيب إلى الواقع، ومن المستقبل إلى الحاضر، ومن حلم إلى حقيقة نعيشها فتؤثّر بنا ونتأثَّر منها، ومن هنا أخبار المهدي عندنا خلافاً لأبناء العامّة ليست محض خبر مستقبلي، بل حديث الحال</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نعيشه ويعيش معنا، ويحمل همومنا، ويترقَّب الوعد الإلهي كما نترقَّبه بشغف، والولاية عندنا حيّة مستمرّة،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وَنَراهُ قَريباً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70" w:name="pg7330_6909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1" w:name="__RefHeading___Toc1013663_1051229030"/>
      <w:bookmarkStart w:id="272" w:name="_Toc92"/>
      <w:bookmarkEnd w:id="270"/>
      <w:bookmarkEnd w:id="271"/>
      <w:r>
        <w:rPr>
          <w:rtl w:val="true"/>
        </w:rPr>
        <w:t>الفصل الثامن</w:t>
      </w:r>
      <w:r>
        <w:rPr>
          <w:rtl w:val="true"/>
        </w:rPr>
        <w:t xml:space="preserve">: </w:t>
      </w:r>
      <w:r>
        <w:rPr>
          <w:rtl w:val="true"/>
        </w:rPr>
        <w:t>أسرار الانتظار</w:t>
      </w:r>
      <w:bookmarkEnd w:id="27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إنَّ من المفاهيم المقارنة للفكرة المهدوية مفهوم الانتظار حتَّى صارا توأمَين لا ينفكّان، فلا مجال لتعقّل أحدهما إلاَّ بتعقل الآخر، وركّة الإدراك في أحدهما تسري إلى الآخر، ومن هنا فلا بدَّ من بيان المعنى الصحيح للانتظار لنفسه ولسلامة المنظومة المهدوية، فمن هنا نتحدَّث عن أسرار الانتظار والتي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الأمل، والثبات، والحيوية التي تبعثها الغيبة في نفوس المستضعفين المؤمنين بالعقيدة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إيجاد الرعب في قلوب الأعداء، وإقلاق مضاجعهم، فإنَّه آتيهم من حيث لا يشعرون،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يَحْسَبُونَ كُلَّ صَيْحَةٍ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الإنذار الأقصى، والاستعداد التامّ من القاعدة الجماهيرية لإمامهم، من خلال التخلّق بالأخلاق الإسلاميّة وفق منهج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الوعد والوعيد، والتبشير والإنذار، فإنَّ الانتظار يخلف الخوف والرجاء أيضاً للقاعدة الجماهيرية، لما تصطحب هذه الفكرة والثقافة المهدوية من البعد التنذيري والتخويفي للقاعدة الجماهيرية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في الانتظار إشارة إلى سُنّة الحياة في التنازع على البقاء،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دَفْعُ اللَّهِ النَّاسَ بَعْضَهُمْ بِبَعْضٍ لَهُدِّمَتْ صَوامِعُ وَبِيَعٌ وَصَلَواتٌ وَمَساجِدُ يُذْكَرُ فِيهَا اسْمُ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من نعوت وشؤون عالم الدنيا التزاحم والتنازع، ومن هنا سمّي عالم المادة عالم التزاحم وبه تنتظم الحركة والسير من مبدأ إلى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في حركته يتَّجه نحو </w:t>
      </w:r>
    </w:p>
    <w:p>
      <w:pPr>
        <w:pStyle w:val="BookText"/>
        <w:rPr/>
      </w:pPr>
      <w:r>
        <w:rPr>
          <w:rFonts w:ascii="Amiri" w:hAnsi="Amiri" w:eastAsia="Amiri" w:cs="Amiri"/>
          <w:color w:val="111111"/>
          <w:sz w:val="28"/>
          <w:sz w:val="28"/>
          <w:szCs w:val="28"/>
          <w:rtl w:val="true"/>
          <w:lang w:bidi="ar-SA"/>
        </w:rPr>
        <w:t>هذه الغاية والمنتهى وهي حكومة الصالحين بمقتضى الفكر المهدوي، وما دمنا في هذه الحركة فنحن نعيش الانتظار، فهو أمل تبديل ثقافة بثقافة وحياة بحياة وهدف بهدف، وبين مقولة الانتظار واليأس تقابل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فقد الانتظار عاش اليأس، ومن عاش الانتظار هزم اليأس، والانتظار مقولة تحتاج إلى متعلّق وخير متعلّق له هو المهدي الموعود بلحاظ ذاته ومشروعه، ولا تصادم بين مقولة انتظار المهدي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وبعبارة لا بدَّ للمجتمع الإنساني من تكامل، وذروة ذلك التكامل تتجلّى بظهور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فعصره عصر الكمال البشري الإنساني، والأمّة تترقَّب ذلك التكامل للمجتمع البشري، وهي تسير في طريقها لإنجاز ذلك التكامل، فليس دورها معطَّلاً، بل دورها ممهّد لذلك التكامل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يتَّضح، أنَّ الفكرة المهدوية بما لها من مخزون عقائدي وثقافي وإنساني لتكامل البشرية والرقي بها نحو الصلاح والسعادة والعدالة تحرّض جميع البشرية، ولسانها لسان عامّ مستقطب لكلّ الأديان السماوية، فليست هي فكرة انحصارية على خصوص المذهب الحقّ الشيعي، فالإنسان المؤمن والأمّة المؤمنة لا بدَّ أن يحملا هدفاً ويؤمنا به ويضحّيا له، على أن يكون الهدف ممكناً ويصحّ الوصول إليه وهذا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انتظار الفرج من الفرج</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73" w:name="pg7330_69103"/>
    </w:p>
    <w:p>
      <w:pPr>
        <w:pStyle w:val="Heading3"/>
        <w:numPr>
          <w:ilvl w:val="2"/>
          <w:numId w:val="1"/>
        </w:numPr>
        <w:rPr/>
      </w:pPr>
      <w:bookmarkStart w:id="274" w:name="__RefHeading___Toc1013665_1051229030"/>
      <w:bookmarkStart w:id="275" w:name="_Toc93"/>
      <w:bookmarkEnd w:id="273"/>
      <w:bookmarkEnd w:id="274"/>
      <w:r>
        <w:rPr>
          <w:rtl w:val="true"/>
        </w:rPr>
        <w:t>الفصل التاسع</w:t>
      </w:r>
      <w:r>
        <w:rPr>
          <w:rtl w:val="true"/>
        </w:rPr>
        <w:t xml:space="preserve">: </w:t>
      </w:r>
      <w:r>
        <w:rPr>
          <w:rtl w:val="true"/>
        </w:rPr>
        <w:t>أزمة الفكر غير الشيعي في المنظومة المهدوية</w:t>
      </w:r>
      <w:bookmarkEnd w:id="275"/>
    </w:p>
    <w:p>
      <w:pPr>
        <w:pStyle w:val="Heading4"/>
        <w:numPr>
          <w:ilvl w:val="3"/>
          <w:numId w:val="1"/>
        </w:numPr>
        <w:rPr/>
      </w:pPr>
      <w:bookmarkStart w:id="276" w:name="__RefHeading___Toc1013667_1051229030"/>
      <w:bookmarkStart w:id="277" w:name="_Toc94"/>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أزمة فكر المستشرقين في المنظومة المهدوية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أزمة فكر أبناء العامة في المنظومة المهدوية</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7330_69107"/>
      <w:bookmarkStart w:id="279" w:name="pg7330_69107"/>
      <w:bookmarkEnd w:id="279"/>
    </w:p>
    <w:p>
      <w:pPr>
        <w:pStyle w:val="Heading4"/>
        <w:numPr>
          <w:ilvl w:val="3"/>
          <w:numId w:val="1"/>
        </w:numPr>
        <w:rPr/>
      </w:pPr>
      <w:bookmarkStart w:id="280" w:name="pg7330_69107"/>
      <w:bookmarkStart w:id="281" w:name="__RefHeading___Toc1013669_1051229030"/>
      <w:bookmarkStart w:id="282" w:name="_Toc95"/>
      <w:bookmarkEnd w:id="280"/>
      <w:bookmarkEnd w:id="281"/>
      <w:r>
        <w:rPr/>
        <w:t>1</w:t>
      </w:r>
      <w:r>
        <w:rPr>
          <w:rtl w:val="true"/>
        </w:rPr>
        <w:t xml:space="preserve"> - </w:t>
      </w:r>
      <w:r>
        <w:rPr>
          <w:rtl w:val="true"/>
        </w:rPr>
        <w:t>أزمة فكر المستشرقين في المنظومة المهدوية</w:t>
      </w:r>
      <w:r>
        <w:rPr>
          <w:rtl w:val="true"/>
        </w:rPr>
        <w:t>:</w:t>
      </w:r>
      <w:bookmarkEnd w:id="282"/>
    </w:p>
    <w:p>
      <w:pPr>
        <w:pStyle w:val="BookText"/>
        <w:rPr/>
      </w:pPr>
      <w:r>
        <w:rPr>
          <w:rFonts w:ascii="Amiri" w:hAnsi="Amiri" w:eastAsia="Amiri" w:cs="Amiri"/>
          <w:color w:val="111111"/>
          <w:sz w:val="28"/>
          <w:sz w:val="28"/>
          <w:szCs w:val="28"/>
          <w:rtl w:val="true"/>
          <w:lang w:bidi="ar-SA"/>
        </w:rPr>
        <w:t xml:space="preserve">ونقصد أولئك الذين أنكروا فكرة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أساسها بأساليب مختلفة،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الإصلاح والنقد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تنقيب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الحداثة 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العولمة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قذفوا الفكرة بالخرافة، والأسطورة، واستعملوا لغة الاستهزاء، ووقفوا على بعض التصرّفات الشاذّة الصادرة عن غير المُدْرَك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المنكرين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دونلدسن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الإخفاق الذي أصاب الحكومة الأموية في توطيد أركان العدل هو المنشأ لظهور فكرة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أيضاً أنَّ روايات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في عصر ما قبل تدوين 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الكتب الروائية السُنّية قد خلت من هذه الروايات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سرّ وضع الحديث عند الشيعة هو أنَّ القرآن غير ذاكر للإمام فاستغلّوا السُنّة لذلك</w:t>
      </w:r>
      <w:r>
        <w:rPr>
          <w:rFonts w:eastAsia="Amiri" w:cs="Amiri" w:ascii="Amiri" w:hAnsi="Amiri"/>
          <w:color w:val="111111"/>
          <w:sz w:val="28"/>
          <w:szCs w:val="28"/>
          <w:rtl w:val="true"/>
          <w:lang w:bidi="ar-SA"/>
        </w:rPr>
        <w:t xml:space="preserve">). </w:t>
      </w:r>
      <w:bookmarkStart w:id="283" w:name="pg7330_69109"/>
    </w:p>
    <w:p>
      <w:pPr>
        <w:pStyle w:val="BookText"/>
        <w:rPr/>
      </w:pPr>
      <w:bookmarkEnd w:id="283"/>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جولدزيهر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تأسيس فكرة الآمال الصامتة لتهدئة روع الناس، ومن أجلى مظاهر فكرة الآمال الصامتة واقعة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وذهب آخر إلى أنَّ فكرة المهدي خيال موجود في قبائل شمال أفريقيا، على أساس الجهل، والتعصّب، والنفوس الميالة إلى عبادة الأصنام، وادّعى أحمد أمين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والمهدوية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وسعد محمّد 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في الإسلام منذ 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فكرة المهدي أنشأها الفاطميون</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013671_1051229030"/>
      <w:bookmarkStart w:id="285" w:name="_Toc96"/>
      <w:bookmarkEnd w:id="284"/>
      <w:r>
        <w:rPr/>
        <w:t>2</w:t>
      </w:r>
      <w:r>
        <w:rPr>
          <w:rtl w:val="true"/>
        </w:rPr>
        <w:t xml:space="preserve"> – </w:t>
      </w:r>
      <w:r>
        <w:rPr>
          <w:rtl w:val="true"/>
        </w:rPr>
        <w:t>أزمة فكر أبناء العامّة في المنظومة المهدوية</w:t>
      </w:r>
      <w:r>
        <w:rPr>
          <w:rtl w:val="true"/>
        </w:rPr>
        <w:t>:</w:t>
      </w:r>
      <w:bookmarkEnd w:id="285"/>
    </w:p>
    <w:p>
      <w:pPr>
        <w:pStyle w:val="BookText"/>
        <w:rPr/>
      </w:pPr>
      <w:r>
        <w:rPr>
          <w:rFonts w:ascii="Amiri" w:hAnsi="Amiri" w:eastAsia="Amiri" w:cs="Amiri"/>
          <w:color w:val="111111"/>
          <w:sz w:val="28"/>
          <w:sz w:val="28"/>
          <w:szCs w:val="28"/>
          <w:rtl w:val="true"/>
          <w:lang w:bidi="ar-SA"/>
        </w:rPr>
        <w:t>سجَّل أهل الحديث وأهل التفسير من علماء العامّة، واقعة الغيبة بنحو لا مجال للشكّ فيها، وقذفوا المنكر لها بعدم البصيرة والخبروية، وعدم المعرفة بأدنى موازين الفنّ، ومع هذا اختلفوا مع الشيعة في المسألة في جملة من الاستفسارات بعد إذعانهم بإمكان الالتزام بما روي عن الشيعة، وسنشير إلى بعض تلك الاستفسارات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مجهولية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الناس توجب الشكّ في الفكر الإمامي والقضيّة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مجهولية الولادة حصلت حتَّى مع الأنبياء كمجهولية ولادة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مجهولية ولادة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خفاء الولادة للقريب والبعيد وإن كان خلافاً للعادة إلاَّ أنَّ التاريخ حافل بقضايا تستدعي خفاء الولادة لأسباب كثيرة، كما لو تزوَّج الرجل امرأة ثانية وقد أخفى حالها، وكانت قد أنجبت له أطفالاً، وبقي أمره مستوراً حتَّى الوفاة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إنكار جعفر أخي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توارث أمواله، ففعله يستلزم ألاَّ وارث للعسكري من الطبقة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بفعل جعفر وهو ليس بمعصوم غير وارد، فاحتمال ارتكابه للذنب فضلاً عن صدور الخطأ منه احتمال قائم، ومجرَّد كونه ابن الإمام لا يستدعي عصمته أو تصديقه، وأخوة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شاهد، بل إنَّ دواعي إنكار جعفر للولادة وانعدام الوارث الآخر وسمو مقام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مقامه ممَّا تُطال له الرقاب وتطمع إليه النفوس وتسعى إليه الرجال فيكون الإنكار أمراً معتدّاً به، فهو ممَّن يجرّ النار إلى قرصه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صحَّ مثل هذا الاستدلال، لصحَّت دعوى أبي لهب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إنكار الرسالة، وإن اعترفنا بوجود الفارق بين الولادة والرسالة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وصيّة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لوالدته وجعلها وصيّة على أمواله مع عدم ذكر القائم في وصيته بجميع أمواله دليل على عدم وجود الولد، ولم يذكر ولده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أراد إعطاء قيمة قانونية لوصيَّته أشهد على وصيَّته بعض المؤيّدين للحكومة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مولاه واثق، مولاه محمّد بن مأمون، فتح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يستدعي عدم ذكر ولده في الوصيّة للحفاظ على دمه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لماذا باقي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يعتمدوا على نفس طريقة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الإخفاء إذا كانت النكتة هي الخوف على حياته، إذ لا فرق بينه وبينهم في لزوم حفظ الحياة؟ </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عند الجميع، بمقتضى روايات المنقذ، أنَّ الإمام الثاني عشر سيمارس دوراً سياسياً فاعلاً جدَّاً، ولم يعيَّن تاريخ نهضته المباركة، فكلّ حاكم يحتمل أن يكون الندّ الأوّل له 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فمشروعه الرئيس هو مناهضة السلاطين، وهذا بخلافه في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الطابع العامّ لسيرتهم هو التأكيد على التقيّة، بل ورد المنع في خوض الصراع السياسي لأسباب مذكورة في محلّها، هذا مضافاً إلى أنَّ دواعي الإخفاء غير ضرورية في الأئمّة السابقين باعتبار وجود حلقات سلسلة الإمامة وعدم انقطاعها بخلاف المهدي المنتظر فلو لم يغب ثمّ قتل كما قتل آباؤه لانقطعت سلسلة الإمامة باعتباره الإمام الأخير فيها وانخرط التخطيط الإلهي، وتوقيفية الأئمّة بالاثني عشر نظير توقيفية الأنبياء بعدد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كيف يمكن مع هذه المدّة الطويلة أن لا يتَّصل الإمام بأحد ولا يعرف له مكان؟</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ما يقال في الخضر الذي ورد ذكره في القرآن، أو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فبعد مغادرته إلى مدين حيث إنَّ موسى كان نبيّاً قبل أمره بمواجهة فرعون فلم يعرفه أحد حتَّى أمره الله بالدعوة، وهكذا في سفره إلى ميقات ربّه وانحراف قومه في قضيّة السامري، حتَّى أنَّ خليفته هارون لم يطَّلع على تفاصيل ما كان يفعله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قصَّة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أنَّ أباه لم يعرف مكانه، وهكذا قصَّة ذي النون يونس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أنَّ الإمام مع البعد الزمني يُنسى نسبه، فقيامه إنَّما يكون مقبولاً إذا صاحبته المعجزة، ولكنَّ صدور المعجزة شأن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فيتنافى أمر الإمامة مع الخاتمية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صدور المعجزة لا ينحصر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صدور المعجزة مع ادّعاء النبوّة أمر منحصر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وصدور المعجزة يلازم صدق المدّعي، وقد صدرت المعجزة والكرامة من 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 الله تعالى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إمامة محمّد بن الحسن المولود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والمنصَّب للإمامة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حيّ يعاصر الأزمات وإفلاس الحضارات في تحقيق الأهداف المنشودة، ولا بدَّ للأمم أن تتكامل بعقولها وقلوبها لتصبح أمّة المهدي وخاتم الأولياء، وله غيبة كبرى بدأت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زالت مستمرّة حتَّى اليوم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انكشف الفارق بين الفكر الشيعي والفكر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أبناء العامّة ليس لعقيدتهم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تأثير على سلوكهم ومواقفهم، وذلك يعود إلى غموض شخصية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وافتقاد فكرة الإمامة بصورتها الشرعية الصحيحة، لذا كانت قضيّة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سطحية تبقى في طيّ النسيان وإن اعترف بعضهم بولادته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ما عند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حلْقة الوصل، وهو الذي يُثبت مشروعية الاجتهاد، ويرتبط الشيعة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ارتباطاً روحياً وفقهياً وسلوكياً، وأنَّ فترة الانتظار عند الشيعة هي فترة التغيير والبناء، وبقاء روح المهدي في نفوسهم، وهذا معناه تجلّي أهدافه من رفض الظلم، والشرك، والفساد، والباطل، وحمل فكرة المهدي حمل الأمل والانتصار وتحقيق الإنجازات</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المهدي عند أبناء العامّة واقعة مستقبلية لا أثر لها في حاضرهم، أمَّا المهدي عند الشيعة فهو الماضي والحاضر والمستقبل، فهو أصل من أصول الدين أو المذهب، وهو مفتاح مشروعية الفقيه، فهو حيّ في الضمير والوجدان والفكر الشيعي</w:t>
      </w:r>
      <w:r>
        <w:rPr>
          <w:rFonts w:eastAsia="Amiri" w:cs="Amiri" w:ascii="Amiri" w:hAnsi="Amiri"/>
          <w:color w:val="111111"/>
          <w:sz w:val="28"/>
          <w:szCs w:val="28"/>
          <w:rtl w:val="true"/>
          <w:lang w:bidi="ar-SA"/>
        </w:rPr>
        <w:t>.</w:t>
      </w:r>
      <w:bookmarkStart w:id="286" w:name="pg7330_69118"/>
    </w:p>
    <w:p>
      <w:pPr>
        <w:pStyle w:val="Heading3"/>
        <w:numPr>
          <w:ilvl w:val="2"/>
          <w:numId w:val="1"/>
        </w:numPr>
        <w:rPr/>
      </w:pPr>
      <w:bookmarkStart w:id="287" w:name="__RefHeading___Toc1013673_1051229030"/>
      <w:bookmarkStart w:id="288" w:name="_Toc97"/>
      <w:bookmarkEnd w:id="286"/>
      <w:bookmarkEnd w:id="287"/>
      <w:r>
        <w:rPr>
          <w:rtl w:val="true"/>
        </w:rPr>
        <w:t>الفصل العاشر</w:t>
      </w:r>
      <w:r>
        <w:rPr>
          <w:rtl w:val="true"/>
        </w:rPr>
        <w:t xml:space="preserve">: </w:t>
      </w:r>
      <w:r>
        <w:rPr>
          <w:rtl w:val="true"/>
        </w:rPr>
        <w:t>اعتماد الموازين في العقيدة المهدوية</w:t>
      </w:r>
      <w:bookmarkEnd w:id="28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9" w:name="__RefHeading___Toc1013675_1051229030"/>
      <w:bookmarkStart w:id="290" w:name="_Toc98"/>
      <w:bookmarkEnd w:id="289"/>
      <w:r>
        <w:rPr>
          <w:rtl w:val="true"/>
        </w:rPr>
        <w:t>اشارة</w:t>
      </w:r>
      <w:bookmarkEnd w:id="29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ورد في الدعاء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ثراء القضيّة المهدوية ومفروغيّة تاريخيتها ومقبوليتها عند العقل الديني بمختلف أطيافه وإنْ اختلفت المسمّيات، اقترنت بظاهرة خطيرة وهي الأدعياء، ولم ينفكّ هذا التقارن من حين الولادة إلى حين الإنجاز، بل لا غرابة في ذلك، فإنَّ ظاهرة النبوّة والرسالة على طول خطّ سيرها صحبها المقنّعون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ظريف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ادّعى أحدهم النبوّة وكانت معجزتُه رميَ الحصى في الماء فيتفتَّت، فلمَّا طُلب منه استبدال الحصى،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أقسى من فرعون، فإنَّه لم يطلب من موسى استبدال العصى، كما ادّعى ذلك بعض آخر، ولمَّا طُلب منه إظهار معجزته،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مَنْ تُريدون؟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آتوني بأسهل،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إبراهيم، وهي صيرورة النار برداً وسلاماً،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الأسهل، فقال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عيسى، وهي إحياء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ساُعطيكم، فإنّي سأقتل السلطان ثمّ أحييه، فقال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مصدّق معجزتك، ولا حاجة إلى أن تقوم بذلك، وهكذا حال المزيّفين في القضيّة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بين مدّع أنَّه المهدي، أو كونه النائب الخاصّ، أو اليماني، أو الخراساني، أو النفس الزكيّة، أو صاحب الراية السوداء، أو ابن الإمام، أو من الأبدال، أو غيرهم من العناوين الواردة في النصوص</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والمهمّ أن نلاحظ</w:t>
      </w:r>
      <w:r>
        <w:rPr>
          <w:rFonts w:eastAsia="IRNazanin" w:cs="IRNazanin"/>
          <w:color w:val="111111"/>
          <w:sz w:val="28"/>
          <w:szCs w:val="28"/>
          <w:rtl w:val="true"/>
          <w:lang w:bidi="fa-IR"/>
        </w:rPr>
        <w:t xml:space="preserve">:). </w:t>
      </w:r>
      <w:bookmarkStart w:id="291" w:name="pg7330_69124"/>
    </w:p>
    <w:p>
      <w:pPr>
        <w:pStyle w:val="Heading4"/>
        <w:numPr>
          <w:ilvl w:val="3"/>
          <w:numId w:val="1"/>
        </w:numPr>
        <w:rPr/>
      </w:pPr>
      <w:bookmarkStart w:id="292" w:name="__RefHeading___Toc1013677_1051229030"/>
      <w:bookmarkStart w:id="293" w:name="_Toc99"/>
      <w:bookmarkEnd w:id="291"/>
      <w:bookmarkEnd w:id="292"/>
      <w:r>
        <w:rPr>
          <w:rtl w:val="true"/>
        </w:rPr>
        <w:t>طوائف المدّعين</w:t>
      </w:r>
      <w:r>
        <w:rPr>
          <w:rtl w:val="true"/>
        </w:rPr>
        <w:t>:</w:t>
      </w:r>
      <w:bookmarkEnd w:id="29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نقف على طوائف المدَّعين أو من ادُّعي في حقّهم ذلك، على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كمحمّد بن الحنفية، وزيد الشهيد، ومحمّد بن عبد الله الموسوم بالنفس الزكيّة، بل قد ادُّعي في حقّ بعض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 هو المهدي، كالواقفية والباقرية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كالمهدي العبّاسي، أو أصحاب الحركة البابيّة، أو محمّد بن أحمد بن المهدي السوداني، وآخرون من الحكّام الأمويين والعبّاسيّين، وغيرهم</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1013679_1051229030"/>
      <w:bookmarkStart w:id="295" w:name="_Toc100"/>
      <w:bookmarkEnd w:id="294"/>
      <w:r>
        <w:rPr>
          <w:rtl w:val="true"/>
        </w:rPr>
        <w:t>مناشئ الادّعاء</w:t>
      </w:r>
      <w:r>
        <w:rPr>
          <w:rtl w:val="true"/>
        </w:rPr>
        <w:t>:</w:t>
      </w:r>
      <w:bookmarkEnd w:id="295"/>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نقف على مناشئ انحراف أرباب هذه الدعوى التي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الأخذ ببعض الفكر وترك البعض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الْكِتابِ وَتَكْفُرُونَ بِبَعْضٍ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الأخذ بالمتشابه من القرآن وترك محكمه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آياتٌ مُحْكَماتٌ هُنَّ أُمُّ الْكِتابِ وَأُخَرُ مُتَشابِهاتٌ فَأَمَّا الَّذينَ في‏ قُلُوبِهِمْ زَيْغٌ فَيَتَّبِعُونَ ما تَشابَهَ مِنْهُ ابْتِغاءَ الْفِتْنَةِ وَابْتِغاءَ تَأْويلِهِ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الأخذ بالجزئيات من دون إرجاعها إلى كلّياتها مع عكوفهم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الأخذ بالنصوص الشاذّة، أو النادرة، أو المُعرَض عنها، أو المعارضة للمشهور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السطحيون والمثقّفون غير المتخصّصين، فيسعى مثل هؤلاء </w:t>
      </w:r>
    </w:p>
    <w:p>
      <w:pPr>
        <w:pStyle w:val="BookText"/>
        <w:rPr/>
      </w:pPr>
      <w:r>
        <w:rPr>
          <w:rFonts w:ascii="Amiri" w:hAnsi="Amiri" w:eastAsia="Amiri" w:cs="Amiri"/>
          <w:color w:val="111111"/>
          <w:sz w:val="28"/>
          <w:sz w:val="28"/>
          <w:szCs w:val="28"/>
          <w:rtl w:val="true"/>
          <w:lang w:bidi="ar-SA"/>
        </w:rPr>
        <w:t>للخوض في أبحاث شائكة، وتخصّصية، كمن حفظ شيئاً وغابت عنه 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عدم ضبط الثوابت والرجوع والارتكاز إليها، فيتحرَّكون في أفق المتغيّر بمعزَل عن الثابت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عدم تأسيس نظرية معرفية لمادة البحث، أو الخلط في المناهج المعرفية، كالاعتماد على المنامات، أو العلوم الغريبة، أو المكاشفات، وهذه على فرض صحَّتها كبروياً وصغروياً، وكونها حجّة في حقّ صاحبها، لا تصلح أن تكون حجّة له على الآخرين، لاسيّما لمن أراد إثبات دعواه بمثل هذه السُبُل فضلاً عن إثبات حقّانية نفسه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محلّه أنَّه حتَّى من يعتمد على مثل هذه الوسائل فهو يرى أنَّ منها ما هو من دسائس الشيطان، أو أضغاث أحلام، أو أوهام شيطان، ولو صحَّ الاعتماد على هذه الطرق فيلزمه قبول المتنافيين والمتكاذبين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الاعتماد على مباني فاسدة، كمسالك الصوفية، والعلوم الدخيلة على الإسلام، فعن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تلتفتوا إلى هؤلاء الخدّاعين فإنَّهم خلفاء الشيطان ومخرّبوا قواعد الدين، يتزهَّدون لراحة الأجسام، ويتهجَّدون لصيد الأنعام يتوجَّعون عمراً حتَّى يديخوا للايكاف حمراً لا يهلّلون إلاَّ لغرور الناس ولا يقلّلون الغذاء إلاَّ لملأ العساس واختلاس قلوب الدفناس، يكلّمون الناس بإملائهم في الحبّ ويطرحون باذليلائهم في الجبّ أورادهم الرقص والتصدية، وأذكارهم الترنّم والتغنية فلا يتبعهم إلاَّ السفهاء ولا يعتقدهم إلاَّ الحمقاء، فمن ذهب إلى زيارة أحد منهم حيّاً وميّتاً فكأنَّما ذهب إلى زيارة الشيطان وعبادة </w:t>
      </w:r>
      <w:bookmarkStart w:id="296" w:name="pg7330_69128"/>
    </w:p>
    <w:p>
      <w:pPr>
        <w:pStyle w:val="BookText"/>
        <w:rPr/>
      </w:pPr>
      <w:bookmarkEnd w:id="296"/>
      <w:r>
        <w:rPr>
          <w:rFonts w:ascii="Amiri" w:hAnsi="Amiri" w:eastAsia="Amiri" w:cs="Amiri"/>
          <w:color w:val="111111"/>
          <w:sz w:val="28"/>
          <w:sz w:val="28"/>
          <w:szCs w:val="28"/>
          <w:rtl w:val="true"/>
          <w:lang w:bidi="ar-SA"/>
        </w:rPr>
        <w:t>الأوثان، ومن أعان أحداً منهم فكأنَّما أعان يزيد ومعاوية وأبا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معترفاً بحقوقكم؟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شبه المغضب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ذا عنك، من اعترف بحقوقنا لم يذهب في عقوقنا أمَا تدري أنَّهم أخس طوائف الصوفية والصوفية كلّهم مخالفونا وطريقتهم مغايرة لطريقتنا وإن هم إلاَّ نصارى أو مجوس هذه الأمّة أولئك الذين يجهدون في إطفاء نور الله بأفواههم والله متمّ نوره ولو كره الكافرون</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1013681_1051229030"/>
      <w:bookmarkStart w:id="298" w:name="_Toc101"/>
      <w:bookmarkEnd w:id="297"/>
      <w:r>
        <w:rPr>
          <w:rtl w:val="true"/>
        </w:rPr>
        <w:t>مناشئ تأثير الادّعاء على القواعد الجماهيرية</w:t>
      </w:r>
      <w:r>
        <w:rPr>
          <w:rtl w:val="true"/>
        </w:rPr>
        <w:t>:</w:t>
      </w:r>
      <w:bookmarkEnd w:id="298"/>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نقف على مناشئ التأثير لهذه القوى الظلمانية على القواعد الجماهيرية، والتي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الجهل، والمبالغة في الغيب، وعزل عالم التزاحم عن الأسباب الطبيعية، وتفسير الظواهر الكونية على أسس تخرّصية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الفقر، لكنَّ نفس الفقر ليس منشأ، وإنَّما المنشأ هو الإحساس بالفقر، والمظلومية، والحرمان وتسجيله واحتسابه على المؤسسة الدينية، أو اعتبار أنَّ المؤسسة السياسية هي المؤسسة الدينية، أو الإحساس الموهوم النفسي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الإحساس بالفقر برؤية سلبية قد يكون منشأ لنفوذ هذا الفكر، إمَّا عن طريق ضخّ الأموال وشراء النفوس، وإمَّا بكون الفقر عاملاً مساعداً للارتباطات الروحية المزيّفة ولو على نحو التخدير أو العجز عن محاربة الفقر بالأسباب الطبيعية، فيتوسَّل بعوامل ما وراء الطبيعة أو </w:t>
      </w:r>
    </w:p>
    <w:p>
      <w:pPr>
        <w:pStyle w:val="BookText"/>
        <w:rPr/>
      </w:pPr>
      <w:r>
        <w:rPr>
          <w:rFonts w:ascii="Amiri" w:hAnsi="Amiri" w:eastAsia="Amiri" w:cs="Amiri"/>
          <w:color w:val="111111"/>
          <w:sz w:val="28"/>
          <w:sz w:val="28"/>
          <w:szCs w:val="28"/>
          <w:rtl w:val="true"/>
          <w:lang w:bidi="ar-SA"/>
        </w:rPr>
        <w:t>العوامل الطبيعية للتغلّب على الفقر، أو البحث عن جهة حاضنة لمحاربة الفقر كفارس 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جـ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تنشيط الخطاب التخويني التكفيري، وإضفاء الحركة الحماسيّة في الخطاب، واستعمال هالة القداسة، وتوزيع أوسمة رمزية للمنتمين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استعمال أساليب جذّابة خطابياً وتثقيفياً، كمقولة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الفناء في الله، أو العودة إلى الله، أو عين اليقين وحقّ اليقين، فإنَّ بعض هذه الخطابات وإن كانت حقّة، إلاَّ أنَّها توزَّع بأبخس الأثمان وتُعامَل على أساس عرفاني مغلوط، أو الدعوى إلى المبالغة في حبّ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بلوغ مرتبة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الهدم المنهجي للشخصية في الأفكار والمعتقد والقيم والسلوك، وذلك عن طريق التكرار والتقليد واستعمال أسلوب العقل الجمعي، والانقياد الأعمى، والتلقين، وخلق روح التمرّد على الروافد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عزلها عن العلماء وإيجاد روح الكراهية والبغضاء لهم، بل إباحة دمائهم عن طريق تشويه صورهم بكونهم سبباً لعدم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 قتل العلماء يعجّل في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الازدواجية في العمل، فمن جانب يُدعون إلى طقوس خاصّة دخيلة، ومن جانب تُعطَّل التكاليف الشرعية بدعوى أنَّها تكاليف ظاهرية، وأنَّه لا بدَّ من البلوغ إلى باطن الشريعة، بل بلغ ببعضهم من ارتكاب المحرَّمات أن حرَّم ما هو محلَّل بالضرورة، أو حلَّل ما هو محرَّم كذلك</w:t>
      </w:r>
      <w:r>
        <w:rPr>
          <w:rFonts w:eastAsia="Amiri" w:cs="Amiri" w:ascii="Amiri" w:hAnsi="Amiri"/>
          <w:color w:val="111111"/>
          <w:sz w:val="28"/>
          <w:szCs w:val="28"/>
          <w:rtl w:val="true"/>
          <w:lang w:bidi="ar-SA"/>
        </w:rPr>
        <w:t xml:space="preserve">. </w:t>
      </w:r>
      <w:bookmarkStart w:id="299" w:name="pg7330_69132"/>
    </w:p>
    <w:p>
      <w:pPr>
        <w:pStyle w:val="Heading4"/>
        <w:numPr>
          <w:ilvl w:val="3"/>
          <w:numId w:val="1"/>
        </w:numPr>
        <w:rPr/>
      </w:pPr>
      <w:bookmarkStart w:id="300" w:name="__RefHeading___Toc1013683_1051229030"/>
      <w:bookmarkStart w:id="301" w:name="_Toc102"/>
      <w:bookmarkEnd w:id="299"/>
      <w:bookmarkEnd w:id="300"/>
      <w:r>
        <w:rPr>
          <w:rtl w:val="true"/>
        </w:rPr>
        <w:t>الملازمات السلبية للادّعاء</w:t>
      </w:r>
      <w:r>
        <w:rPr>
          <w:rtl w:val="true"/>
        </w:rPr>
        <w:t>:</w:t>
      </w:r>
      <w:bookmarkEnd w:id="301"/>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نقف على ملازمات هذه الدعوى، والتي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الإغراء بالجهل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جـ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بخس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الهَرْج والمَرْج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السرّية والخفاء في المنهج والسلوك والفكر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الخدعة والضلالة والحماقة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الغلو</w:t>
      </w:r>
      <w:r>
        <w:rPr>
          <w:rFonts w:eastAsia="IRNazanin" w:cs="IRNazanin"/>
          <w:color w:val="111111"/>
          <w:sz w:val="28"/>
          <w:szCs w:val="28"/>
          <w:rtl w:val="true"/>
          <w:lang w:bidi="fa-IR"/>
        </w:rPr>
        <w:t>.</w:t>
      </w:r>
    </w:p>
    <w:p>
      <w:pPr>
        <w:pStyle w:val="Heading4"/>
        <w:numPr>
          <w:ilvl w:val="3"/>
          <w:numId w:val="1"/>
        </w:numPr>
        <w:rPr/>
      </w:pPr>
      <w:bookmarkStart w:id="302" w:name="__RefHeading___Toc1013685_1051229030"/>
      <w:bookmarkStart w:id="303" w:name="_Toc103"/>
      <w:bookmarkEnd w:id="302"/>
      <w:r>
        <w:rPr>
          <w:rtl w:val="true"/>
        </w:rPr>
        <w:t>دواعي الانحراف</w:t>
      </w:r>
      <w:r>
        <w:rPr>
          <w:rtl w:val="true"/>
        </w:rPr>
        <w:t>:</w:t>
      </w:r>
      <w:bookmarkEnd w:id="303"/>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نقف على دواعي الانحراف، والتي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الدافع النفسي والعاطفي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الدافع الفلسفي وانحراف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جـ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الدوافع السياسية، بين الاختراق من أجهزة خارجية لدوافع متعدّدة، وبين إيجاد الشقاق والخلاف، وبين إحراج المذهب الشيعي، وبين إيجاد مجاميع ضاغطة على الموقف الشيعي، وبين تنشيط من قبل الحكومات الداخلية لمآرب كثيرة، كإشغال الناس، وتصفية المخالفين عن طريقهم، وتبرير فشلهم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الدافع المادي، ومكاسب الشهرة، وتحصيل حطام الدنيا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الاستعجال وعدم الصبر والجري وراء تحصيل نشوة ولو وهمية للقضيّة المهدوية</w:t>
      </w:r>
      <w:r>
        <w:rPr>
          <w:rFonts w:eastAsia="Amiri" w:cs="Amiri" w:ascii="Amiri" w:hAnsi="Amiri"/>
          <w:color w:val="111111"/>
          <w:sz w:val="28"/>
          <w:szCs w:val="28"/>
          <w:rtl w:val="true"/>
          <w:lang w:bidi="ar-SA"/>
        </w:rPr>
        <w:t xml:space="preserve">. </w:t>
      </w:r>
      <w:bookmarkStart w:id="304" w:name="pg7330_69134"/>
    </w:p>
    <w:p>
      <w:pPr>
        <w:pStyle w:val="Heading4"/>
        <w:numPr>
          <w:ilvl w:val="3"/>
          <w:numId w:val="1"/>
        </w:numPr>
        <w:rPr/>
      </w:pPr>
      <w:bookmarkStart w:id="305" w:name="__RefHeading___Toc1013687_1051229030"/>
      <w:bookmarkStart w:id="306" w:name="_Toc104"/>
      <w:bookmarkEnd w:id="304"/>
      <w:bookmarkEnd w:id="305"/>
      <w:r>
        <w:rPr>
          <w:rtl w:val="true"/>
        </w:rPr>
        <w:t>الوسائل العلاجية للانحراف</w:t>
      </w:r>
      <w:r>
        <w:rPr>
          <w:rtl w:val="true"/>
        </w:rPr>
        <w:t>:</w:t>
      </w:r>
      <w:bookmarkEnd w:id="306"/>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نقف على المناعات التي يمكن أن تكون علاجاً لهذه الانحرافات، والتي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اعتماد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 الحركات الانحرافية موجودة على مرَّ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والوعي على فهم القضيّة المهدوية وفهم الوظائف، وفهم كيفية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اعتماد مبدأ عدم الوثوق بالفكر الخفي والغريب والشاذ والموهم، وكذا الحركات والقيادات المظنونة والمجهولة والسلوكيّات واللقاءات السرّية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جـ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اعتماد أنَّ الأصالة للعمل الشرعي، وإمضاء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لا يطاع من حيث يعصى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فالثوابت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الصلاة والصوم والأمر بالمعروف والنهي عن المنكر، والاحتراز عن المحرَّمات كإضرار النفس بلا مبرّر شرعي، ومَقْت الفكر الإرهابي لتكفير الآخر وإباحة دمه والتجاوز عن أعراض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الأصالة والاعتماد في العمل والتشريع والإمضاء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اعتماد طريقة التحذير من السلوك والخطاب والمنهج الصوفي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الإذعان بأنَّ الفكر الشيعي أصيل، وله جذور ومنهج من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يومنا هذا، وهذا الطريق قد رسمه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وبالتالي تُرفض الوجودات النكرة والفكر المبتور والعقيم، فإنّا حقبة زمنية بين ماضٍ معروف ومستقبل مرسوم معلوم، فأيّ اتّجاه لا </w:t>
      </w:r>
    </w:p>
    <w:p>
      <w:pPr>
        <w:pStyle w:val="BookText"/>
        <w:rPr/>
      </w:pPr>
      <w:r>
        <w:rPr>
          <w:rFonts w:ascii="Amiri" w:hAnsi="Amiri" w:eastAsia="Amiri" w:cs="Amiri"/>
          <w:color w:val="111111"/>
          <w:sz w:val="28"/>
          <w:sz w:val="28"/>
          <w:szCs w:val="28"/>
          <w:rtl w:val="true"/>
          <w:lang w:bidi="ar-SA"/>
        </w:rPr>
        <w:t>بدَّ أن يوزن على هذا الأساس، أمَّا الوجود المجهول الذي ليس له فقه مجذَّر، ولا فكر محدَّد، ولا مشروع متكامل وثابت، فلا يمكن قبوله والركون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اعتماد ثقافة عدم قبول أدعياء العلم اللدنّي، وأدعياء الشذوذ العلمي، وأدعياء الطرق غير المعهودة عقلياً وعقلائياً ودينياً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إشاعة ثقافة عدم تشخصن القضيّة المهدوية، وأنَّها منحصرة ومتقولبة بقوالب فردية وشخصية</w:t>
      </w:r>
      <w:r>
        <w:rPr>
          <w:rFonts w:eastAsia="Amiri" w:cs="Amiri" w:ascii="Amiri" w:hAnsi="Amiri"/>
          <w:color w:val="111111"/>
          <w:sz w:val="28"/>
          <w:szCs w:val="28"/>
          <w:rtl w:val="true"/>
          <w:lang w:bidi="ar-SA"/>
        </w:rPr>
        <w:t>.</w:t>
      </w:r>
      <w:bookmarkStart w:id="307" w:name="pg7330_69138"/>
    </w:p>
    <w:p>
      <w:pPr>
        <w:pStyle w:val="Heading2"/>
        <w:numPr>
          <w:ilvl w:val="1"/>
          <w:numId w:val="1"/>
        </w:numPr>
        <w:rPr/>
      </w:pPr>
      <w:bookmarkStart w:id="308" w:name="__RefHeading___Toc1013689_1051229030"/>
      <w:bookmarkStart w:id="309" w:name="_Toc105"/>
      <w:bookmarkEnd w:id="307"/>
      <w:bookmarkEnd w:id="308"/>
      <w:r>
        <w:rPr>
          <w:rtl w:val="true"/>
        </w:rPr>
        <w:t>مصادر التحقيق</w:t>
      </w:r>
      <w:bookmarkEnd w:id="309"/>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الاثنا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السيّد مهدي اللازوردي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باقر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صدر الدين محمّد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الأصول العامّة للفقه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أضواء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النجمي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جماعة المدرسين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سعيد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أحمدي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نبيل رضا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جماعة المدرسين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العباس أحمد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دار الفكر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هادي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بصيرتي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ابن الحجاج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باقر البهبودي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جمهور الاحسائي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الأعلمي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المعراف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أنوار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الصباغ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بيدار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جلال الدين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فقه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طلحة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ماجد أحمد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أحاديث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الملاحم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المنتظر في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المنتظر في ضوء الأحاديث والآثار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مؤسسة آل البيت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محي الدين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الجعفي،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يكون فرجكم؟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هيهات لا يكون فرجنا حتّى تغربلوا ثمّ تغربلوا ثمّ تغربلوا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يقولها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يذهب الكدر ويبقى الصفو</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المسمّاة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القاصعة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التهمة وسوء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المسمّاة بالقاصعة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دعاء الندبة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للشيخ النوري المطبوع في ذيل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ما ظهر من جهته عليه السلام من التوقيعات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القدسية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والشعر للشيخ محمّد حسين الأصفهاني الكمبائي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الكتاب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من الزيارة الجامعة الكبيرة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عليه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نقلاً عن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عليه السلام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قول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وَيَمْحُ اللَّهُ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يبطله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وَيُحِقُّ الْحَقَّ بِكَلِماتِهِ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بالنبيّ وبالأئمّة والقائم من آل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معاشر الناس إنّي نبيّ وعلي وصيّ، ألا إنَّ خاتم الأئمّة منّا القائم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إنَّه الباقي حجّة ولا حجّة بعده ولا حقّ إلاَّ معه ولا نور إلاَّ عنده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عند الأئمّة من آيات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خلق أبدان الأئمّة وأرواحهم وقلوبهم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بيت اُمّ سَلَمة، فأنزل الله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فدعا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بالحسن والحسين وفاطمة وأجلسهم بين يديه، فدعا علياً فأجلسه خلف ظهره،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هؤلاء أهل بيتي فأذهب عنهم الرجس وطهّرهم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اُمّ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معهم يا رسول الله؟ فقال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إلى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لقد أكرم الله هذه العترة الطاهرة والذرّية المباركة بذهاب الرجس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جابر لأنَّهم عترتي من لحمي ودمي، فأخي سيّد الأوصياء، وابني خير الأسباط، وابنتي سيّدة النسوان، ومنّا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ومن المهدي؟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تسعة من صلب الحسين أئمّة أبرار، والتاسع قائمهم يملأ الأرض قسطاً وعدلاً كما ملئت جوراً، يقاتل على التأويل كما قاتلت على التنزيل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فَأَصْبَحَ فِي الْمَدِينَةِ خائِفاً يَتَرَقَّبُ فَإِذَا الَّذِي اسْتَنْصَرَهُ بِالأَْمْسِ يَسْتَصْرِخُهُ قالَ لَهُ مُوسى إِنَّكَ لَغَوِيٌّ مُبِينٌ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 مِنْها خائِفاً يَتَرَقَّبُ قالَ رَبِّ نَجِّنِي مِنَ الْقَوْمِ الظَّالِمِينَ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تَخافُ دَرَكاً وَلا تَخْشى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الجعفي، عن أبي جعفر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 الأرض لا تحرّكنَّ يدك ولا رجلك أبداً حتَّى ترى علامات أذكرها لك في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ويظهر السفياني ومن معه حتَّى لا يكون له همّة إلاَّ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وشيعتهم، فيبعث بعثاً إلى الكوفة، فيصاب بأناس من شيعة آل محمّد بالكوفة قتلاً وصلباً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عليه السلام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إبراهيم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ابن أبي عمير، عن منصور بن يونس، عن عمرو بن أبي شيبة،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 ابتداءً منه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وَلَقَدْ كَتَبْنا فِي الزَّبُورِ مِنْ بَعْدِ الذِّكْرِ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الكتب كلّها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الأَْرْضَ يَرِثُها عِبادِيَ الصَّالِحُونَ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القائم عليه السلام وأصحابه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والزبور فيه ملاحم وتحميد وتمجيد ودعاء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رَبِّ احْكُمْ 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معناه لا تدعو للكفّار، والحقّ الانتقام من الظالمين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في سورة آل 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لَكَ مِنَ الأَْمْرِ شَيْ‏ءٌ أَوْ يَتُوبَ عَلَيْهِمْ أَوْ يُعَذِّبَهُمْ فَإِنَّهُمْ ظالِمُونَ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العامّة للفقه المقارن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لعنه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قد كثرت عليَّ الكذّابة فمن كذب عليَّ متعمّداً فليتبوء مقعده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أنَّه ليخيَّل إليه أنَّه يفعل الشيء وما فعله حتَّى إذا كان ذات يوم وهو عندي دعا الله ودعاه،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أشعرت يا عائشة أنَّ الله قد أفتاني فيما استفتيته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ذاك يا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جاءني رجلان فجلس أحدهما عند رأسي والآخر عند رجلي ثمّ قال أحدهما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وجع الرجل؟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طبه؟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لبيد بن الأعصم اليهودي من بني زريق،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مشط ومشاطة وجف طلعة ذكر،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بئر ذي أروان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أناس من أصحابه إلى البئر فنظر إليها وعليها نخل ثمّ رجع إلى عائشة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لكأنَّ ماءها نقاعة الحناء ولكأنَّ نخلها رؤس الشياطين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أفأخرجته؟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أمَّا أنا فقد عافاني الله وشفاني وخشيت أن أثور على الناس منه 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بها فدفنت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التثبّت في الحديث</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كتاب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رواية الخطيب البغدادي بسنده عن عبد الرحمن بن الأسود عن أبيه في قضيّة إبادة الصحيفة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تدوين السُنّة الشريفة للسيّد محمّد رضا الجلالي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16842/2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النجمي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ابن خلدون،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والمهدوية لأحمد أمين، والإمام الصادق لأبي هريرة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النووي في شرحه لصحيح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وصنَّف الدارقطني وأبو ذر الهروي في هذا النوع الذي ألزموهما وهذا الإلزام ليس بلازم في الحقيقة فإنَّهما لم يلتزما استيعاب الصحيح بل صحَّ عنهما تصريحهما بأنَّهما لم يستوعباه وإنَّما قصدا جمع جمل من الصحيح كما يقصد المصنّف في الفقه جمع جملة من مسائله لا أنَّه يحصر جميع مسائله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قال ابن حجر في مقدّمة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علي الغساني روى عن البخاري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الصحيح من ستّمائة ألف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 الإسماعيلي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أخرج في هذا الكتاب إلاَّ صحيحاً وما تركت من الصحيح أكثر، فالبخاري لم يحكم بضعف كلّ حديث لم يروه، بل ما حكم عليه بالصحَّة يزيد على مجموع ما أخرجه عشرات المرَّات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المنتظر عليه السلام في ضوء الأحاديث والآثار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العليم البستوي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أهل السُنّة والأثر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المحسن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رسالة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المنتظر في ضوء الأحاديث والآثار الصحيحة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نقلاً عن الإذاعة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كتابه 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 القاسم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مولده فبسُرَّ من رأى في ثالث وعشرين رمضان سنة ثمان وخمسين ومائتين للهجرة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كتابه وفيات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محمّد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والد المنتظر صاحب السرداب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كتابه 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الفصل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أبي القاسم محمّد الحجّة الخلف الصالح ابن أبي محمّد الحسن الخالص عليه السلام وهو الإمام الثاني عشر وتاريخ ولادته ودلائل إمامته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طاعة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معرفة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الإمام والردّ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التوقيعات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أسندها الطوسي عن الكليني في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طلباً شافياً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طلباً شاقّاً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4919/7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من رآه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مرهت العين 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فسدت لترك الكحل، وإسناد الكحل إليه مجازي، أو أطلق المرة على العين المرهاء مجازاً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وأكحل ناظري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تسمية من رآه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مثل أهل بيتي فيكم مثل سفينة نوح من ركبها فيها نجى ومن تخلَّف عنها غرق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النجوم أمان لأهل السماء، وأهل بيتي أمان لأهل الأرض فإذا ذهب أهل بيتي ذهب أهل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وهو لا يعرف إمامه مات ميتة جاهلية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مسعود،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الخلفاء بعدي اثنا عشر، كعدّة نقباء بني إسرائيل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الصادق جعفر بن محمّد، عن أبيه، عن جدّه،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الأئمّة بعدي اثنا عشر أوّلهم علي بن أبي طالب وآخرهم القائم هم خلفائي وأوصيائي وأوليائي وحجج الله على أمّتي بعدي، المقرّ بهم مؤمن والمنكر لهم كافر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 رسول الله أصحابه بمنى،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 إنّي تارك فيكم الثقلين أما إن تمسَّكتم بهما لن تضلّوا، كتاب الله وعترتي أهل بيتي فإنَّهما لن يفترقا حتَّى يردا عليَّ الحوض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الرضا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سرَّه أن ينظر إلى الله بغير حجاب وينظر الله إليه بغير حجاب فليتول آل محمّد، وليتبرَّأ من عدوّهم، وليأتمّ بإمام المؤمنين منهم فإنَّه إذا كان يوم القيامة نظر الله إليه بغير حجاب ونظر إلى الله بغير حجاب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حمران بن أعين وأبا الخطاب يحدّثان جميعاً قبل أن يحدث أبو الخطاب ما أحدث أنَّهما سمعا أبا عبد الله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أوّل من تنشق الأرض عنه ويرجع إلى الدنيا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الرجعة ليست بعامّة وهي خاصّة لا يرجع إلاَّ من محض الإيمان محضاً أو محض الشرك محضاً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حنظلة،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 علامات قبل قيام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الصيحة والسفياني والخسف وقتل النفس الزكية واليماني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 من الروايات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آيات ظهوره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إبراهيم الكرخي،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 له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أصلحك الله ألم يكن علي عليه السلام قويّاً في دين الله عز وجل؟</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والنصّ على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الثاني عشر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سعيد 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تنفَّس الصعداء</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والنصّ على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سيّدي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للمأمول المنتظر المهدي عليه السلام من وقت موقَّت يعلمه الناس؟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 لله أن يوقّت ظهوره بوقت يعلمه شيعتنا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ولِمَ ذاك؟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هو الساعة التي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يَسْئَلُونَكَ عَنِ السَّاعَةِ أَيَّانَ مُرْساها قُلْ إِنَّما عِلْمُها عِنْدَ رَبِّي لا يُجَلِّيها لِوَقْتِها إِلاَّ هُوَ ثَقُلَتْ فِي السَّماواتِ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المنذر ابن حيفر،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جدّي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الأئمّة بعده،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بعدي عدد نقباء بني إسرائيل اثنا عشر، أعطاهم الله علمي وفهمي، وأنت منهم يا حسن،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فمتى يخرج قائمنا أهل البيت؟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حسن إنَّما مثله كمثل الساعة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ثَقُلَتْ فِي السَّماواتِ وَالأَْرْضِ لا تَأْتِيكُمْ إِلاَّ بَغْتَةً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حقيقة علم آل محمّد وجهاته للسيّد علي عاشور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من عرف إمامه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مطيع،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خلع يداً من طاعة لقى الله يوم القيامة لا حجّة له، ومن مات وليس في عنقه بيعة مات ميتة جاهلية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من فرَّق أمر المسلمين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العهد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المنتظر في الفكر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536/146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الاثنا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image" Target="media/image2.jpeg"/><Relationship Id="rId217" Type="http://schemas.openxmlformats.org/officeDocument/2006/relationships/image" Target="media/image2.jpeg"/><Relationship Id="rId218" Type="http://schemas.openxmlformats.org/officeDocument/2006/relationships/footer" Target="footer211.xml"/><Relationship Id="rId219" Type="http://schemas.openxmlformats.org/officeDocument/2006/relationships/footnotes" Target="footnotes.xml"/><Relationship Id="rId220" Type="http://schemas.openxmlformats.org/officeDocument/2006/relationships/numbering" Target="numbering.xml"/><Relationship Id="rId221" Type="http://schemas.openxmlformats.org/officeDocument/2006/relationships/fontTable" Target="fontTable.xml"/><Relationship Id="rId222" Type="http://schemas.openxmlformats.org/officeDocument/2006/relationships/settings" Target="settings.xml"/><Relationship Id="rId2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215</Pages>
  <Words>37797</Words>
  <Characters>176175</Characters>
  <CharactersWithSpaces>212871</CharactersWithSpaces>
  <Paragraphs>1569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2026-08-27T09:00:37Z</dcterms:created>
  <dc:creator>ghaemiyeh.com</dc:creator>
  <dc:description/>
  <dc:language>en-US</dc:language>
  <cp:lastModifiedBy/>
  <dcterms:modified xsi:type="dcterms:W3CDTF">2026-08-27T12:30:43Z</dcterms:modified>
  <cp:revision>1</cp:revision>
  <dc:subject/>
  <dc:title>العقیدة المهدویة اشکالات و معالجات</dc:title>
</cp:coreProperties>
</file>

<file path=docProps/custom.xml><?xml version="1.0" encoding="utf-8"?>
<Properties xmlns="http://schemas.openxmlformats.org/officeDocument/2006/custom-properties" xmlns:vt="http://schemas.openxmlformats.org/officeDocument/2006/docPropsVTypes"/>
</file>