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مناظره و گفت وگو در اصول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55036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655038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655040_372815092">
            <w:r>
              <w:rPr>
                <w:webHidden/>
                <w:rStyle w:val="IndexLink"/>
                <w:rtl w:val="true"/>
              </w:rPr>
              <w:t>سرآغاز</w:t>
            </w:r>
            <w:r>
              <w:rPr>
                <w:rStyle w:val="IndexLink"/>
                <w:rtl w:val="true"/>
              </w:rPr>
              <w:tab/>
            </w:r>
            <w:r>
              <w:rPr>
                <w:rStyle w:val="IndexLink"/>
              </w:rPr>
              <w:t>11</w:t>
            </w:r>
          </w:hyperlink>
        </w:p>
        <w:p>
          <w:pPr>
            <w:pStyle w:val="Contents2"/>
            <w:tabs>
              <w:tab w:val="clear" w:pos="8743"/>
              <w:tab w:val="right" w:pos="9026" w:leader="dot"/>
            </w:tabs>
            <w:rPr/>
          </w:pPr>
          <w:hyperlink w:anchor="__RefHeading___Toc3655042_372815092">
            <w:r>
              <w:rPr>
                <w:webHidden/>
                <w:rStyle w:val="IndexLink"/>
                <w:rtl w:val="true"/>
              </w:rPr>
              <w:t>پيش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3655044_372815092">
            <w:r>
              <w:rPr>
                <w:webHidden/>
                <w:rStyle w:val="IndexLink"/>
                <w:rtl w:val="true"/>
              </w:rPr>
              <w:t>بخش يكم</w:t>
            </w:r>
            <w:r>
              <w:rPr>
                <w:rStyle w:val="IndexLink"/>
                <w:rtl w:val="true"/>
              </w:rPr>
              <w:t xml:space="preserve">: </w:t>
            </w:r>
            <w:r>
              <w:rPr>
                <w:rStyle w:val="IndexLink"/>
                <w:rtl w:val="true"/>
              </w:rPr>
              <w:t>نگاهى به علم جدل</w:t>
            </w:r>
            <w:r>
              <w:rPr>
                <w:rStyle w:val="IndexLink"/>
                <w:rtl w:val="true"/>
              </w:rPr>
              <w:tab/>
            </w:r>
            <w:r>
              <w:rPr>
                <w:rStyle w:val="IndexLink"/>
              </w:rPr>
              <w:t>16</w:t>
            </w:r>
          </w:hyperlink>
        </w:p>
        <w:p>
          <w:pPr>
            <w:pStyle w:val="Contents3"/>
            <w:tabs>
              <w:tab w:val="clear" w:pos="8459"/>
              <w:tab w:val="right" w:pos="9026" w:leader="dot"/>
            </w:tabs>
            <w:rPr/>
          </w:pPr>
          <w:hyperlink w:anchor="__RefHeading___Toc3655046_372815092">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655048_372815092">
            <w:r>
              <w:rPr>
                <w:webHidden/>
                <w:rStyle w:val="IndexLink"/>
                <w:rtl w:val="true"/>
              </w:rPr>
              <w:t>جدال در لغت</w:t>
            </w:r>
            <w:r>
              <w:rPr>
                <w:rStyle w:val="IndexLink"/>
                <w:rtl w:val="true"/>
              </w:rPr>
              <w:tab/>
            </w:r>
            <w:r>
              <w:rPr>
                <w:rStyle w:val="IndexLink"/>
              </w:rPr>
              <w:t>16</w:t>
            </w:r>
          </w:hyperlink>
        </w:p>
        <w:p>
          <w:pPr>
            <w:pStyle w:val="Contents3"/>
            <w:tabs>
              <w:tab w:val="clear" w:pos="8459"/>
              <w:tab w:val="right" w:pos="9026" w:leader="dot"/>
            </w:tabs>
            <w:rPr/>
          </w:pPr>
          <w:hyperlink w:anchor="__RefHeading___Toc3655050_372815092">
            <w:r>
              <w:rPr>
                <w:webHidden/>
                <w:rStyle w:val="IndexLink"/>
                <w:rtl w:val="true"/>
              </w:rPr>
              <w:t>جدال در قرآن</w:t>
            </w:r>
            <w:r>
              <w:rPr>
                <w:rStyle w:val="IndexLink"/>
                <w:rtl w:val="true"/>
              </w:rPr>
              <w:tab/>
            </w:r>
            <w:r>
              <w:rPr>
                <w:rStyle w:val="IndexLink"/>
              </w:rPr>
              <w:t>17</w:t>
            </w:r>
          </w:hyperlink>
        </w:p>
        <w:p>
          <w:pPr>
            <w:pStyle w:val="Contents4"/>
            <w:tabs>
              <w:tab w:val="clear" w:pos="8176"/>
              <w:tab w:val="right" w:pos="9026" w:leader="dot"/>
            </w:tabs>
            <w:rPr/>
          </w:pPr>
          <w:hyperlink w:anchor="__RefHeading___Toc3655052_372815092">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655054_372815092">
            <w:r>
              <w:rPr>
                <w:webHidden/>
                <w:rStyle w:val="IndexLink"/>
                <w:rtl w:val="true"/>
              </w:rPr>
              <w:t>قرآن كريم و تعليم روش استدلال</w:t>
            </w:r>
            <w:r>
              <w:rPr>
                <w:rStyle w:val="IndexLink"/>
                <w:rtl w:val="true"/>
              </w:rPr>
              <w:tab/>
            </w:r>
            <w:r>
              <w:rPr>
                <w:rStyle w:val="IndexLink"/>
              </w:rPr>
              <w:t>20</w:t>
            </w:r>
          </w:hyperlink>
        </w:p>
        <w:p>
          <w:pPr>
            <w:pStyle w:val="Contents4"/>
            <w:tabs>
              <w:tab w:val="clear" w:pos="8176"/>
              <w:tab w:val="right" w:pos="9026" w:leader="dot"/>
            </w:tabs>
            <w:rPr/>
          </w:pPr>
          <w:hyperlink w:anchor="__RefHeading___Toc3655056_372815092">
            <w:r>
              <w:rPr>
                <w:webHidden/>
                <w:rStyle w:val="IndexLink"/>
                <w:rtl w:val="true"/>
              </w:rPr>
              <w:t>قرآن كريم و استدلال هاى پيامبران پيشين</w:t>
            </w:r>
            <w:r>
              <w:rPr>
                <w:rStyle w:val="IndexLink"/>
                <w:rtl w:val="true"/>
              </w:rPr>
              <w:tab/>
            </w:r>
            <w:r>
              <w:rPr>
                <w:rStyle w:val="IndexLink"/>
              </w:rPr>
              <w:t>23</w:t>
            </w:r>
          </w:hyperlink>
        </w:p>
        <w:p>
          <w:pPr>
            <w:pStyle w:val="Contents4"/>
            <w:tabs>
              <w:tab w:val="clear" w:pos="8176"/>
              <w:tab w:val="right" w:pos="9026" w:leader="dot"/>
            </w:tabs>
            <w:rPr/>
          </w:pPr>
          <w:hyperlink w:anchor="__RefHeading___Toc3655058_372815092">
            <w:r>
              <w:rPr>
                <w:webHidden/>
                <w:rStyle w:val="IndexLink"/>
                <w:rtl w:val="true"/>
              </w:rPr>
              <w:t>جدل حق</w:t>
            </w:r>
            <w:r>
              <w:rPr>
                <w:rStyle w:val="IndexLink"/>
                <w:rtl w:val="true"/>
              </w:rPr>
              <w:t xml:space="preserve">: </w:t>
            </w:r>
            <w:r>
              <w:rPr>
                <w:rStyle w:val="IndexLink"/>
                <w:rtl w:val="true"/>
              </w:rPr>
              <w:t>استفاده از حجّت معتبر</w:t>
            </w:r>
            <w:r>
              <w:rPr>
                <w:rStyle w:val="IndexLink"/>
                <w:rtl w:val="true"/>
              </w:rPr>
              <w:tab/>
            </w:r>
            <w:r>
              <w:rPr>
                <w:rStyle w:val="IndexLink"/>
              </w:rPr>
              <w:t>27</w:t>
            </w:r>
          </w:hyperlink>
        </w:p>
        <w:p>
          <w:pPr>
            <w:pStyle w:val="Contents4"/>
            <w:tabs>
              <w:tab w:val="clear" w:pos="8176"/>
              <w:tab w:val="right" w:pos="9026" w:leader="dot"/>
            </w:tabs>
            <w:rPr/>
          </w:pPr>
          <w:hyperlink w:anchor="__RefHeading___Toc3655060_372815092">
            <w:r>
              <w:rPr>
                <w:webHidden/>
                <w:rStyle w:val="IndexLink"/>
                <w:rtl w:val="true"/>
              </w:rPr>
              <w:t>حجّت معتبر</w:t>
            </w:r>
            <w:r>
              <w:rPr>
                <w:rStyle w:val="IndexLink"/>
                <w:rtl w:val="true"/>
              </w:rPr>
              <w:t xml:space="preserve">: </w:t>
            </w:r>
            <w:r>
              <w:rPr>
                <w:rStyle w:val="IndexLink"/>
                <w:rtl w:val="true"/>
              </w:rPr>
              <w:t>كتاب و سنّت</w:t>
            </w:r>
            <w:r>
              <w:rPr>
                <w:rStyle w:val="IndexLink"/>
                <w:rtl w:val="true"/>
              </w:rPr>
              <w:tab/>
            </w:r>
            <w:r>
              <w:rPr>
                <w:rStyle w:val="IndexLink"/>
              </w:rPr>
              <w:t>29</w:t>
            </w:r>
          </w:hyperlink>
        </w:p>
        <w:p>
          <w:pPr>
            <w:pStyle w:val="Contents3"/>
            <w:tabs>
              <w:tab w:val="clear" w:pos="8459"/>
              <w:tab w:val="right" w:pos="9026" w:leader="dot"/>
            </w:tabs>
            <w:rPr/>
          </w:pPr>
          <w:hyperlink w:anchor="__RefHeading___Toc3655062_372815092">
            <w:r>
              <w:rPr>
                <w:webHidden/>
                <w:rStyle w:val="IndexLink"/>
                <w:rtl w:val="true"/>
              </w:rPr>
              <w:t>نگاهى به آداب مناظره و جدل</w:t>
            </w:r>
            <w:r>
              <w:rPr>
                <w:rStyle w:val="IndexLink"/>
                <w:rtl w:val="true"/>
              </w:rPr>
              <w:tab/>
            </w:r>
            <w:r>
              <w:rPr>
                <w:rStyle w:val="IndexLink"/>
              </w:rPr>
              <w:t>34</w:t>
            </w:r>
          </w:hyperlink>
        </w:p>
        <w:p>
          <w:pPr>
            <w:pStyle w:val="Contents2"/>
            <w:tabs>
              <w:tab w:val="clear" w:pos="8743"/>
              <w:tab w:val="right" w:pos="9026" w:leader="dot"/>
            </w:tabs>
            <w:rPr/>
          </w:pPr>
          <w:hyperlink w:anchor="__RefHeading___Toc3655064_372815092">
            <w:r>
              <w:rPr>
                <w:webHidden/>
                <w:rStyle w:val="IndexLink"/>
                <w:rtl w:val="true"/>
              </w:rPr>
              <w:t>بخش دوم</w:t>
            </w:r>
            <w:r>
              <w:rPr>
                <w:rStyle w:val="IndexLink"/>
                <w:rtl w:val="true"/>
              </w:rPr>
              <w:t xml:space="preserve">: </w:t>
            </w:r>
            <w:r>
              <w:rPr>
                <w:rStyle w:val="IndexLink"/>
                <w:rtl w:val="true"/>
              </w:rPr>
              <w:t>جدل در علم كلام</w:t>
            </w:r>
            <w:r>
              <w:rPr>
                <w:rStyle w:val="IndexLink"/>
                <w:rtl w:val="true"/>
              </w:rPr>
              <w:tab/>
            </w:r>
            <w:r>
              <w:rPr>
                <w:rStyle w:val="IndexLink"/>
              </w:rPr>
              <w:t>36</w:t>
            </w:r>
          </w:hyperlink>
        </w:p>
        <w:p>
          <w:pPr>
            <w:pStyle w:val="Contents3"/>
            <w:tabs>
              <w:tab w:val="clear" w:pos="8459"/>
              <w:tab w:val="right" w:pos="9026" w:leader="dot"/>
            </w:tabs>
            <w:rPr/>
          </w:pPr>
          <w:hyperlink w:anchor="__RefHeading___Toc3655066_372815092">
            <w:r>
              <w:rPr>
                <w:webHidden/>
                <w:rStyle w:val="IndexLink"/>
                <w:rtl w:val="true"/>
              </w:rPr>
              <w:t>دانشمندان اسلامى و تعريف علم كلام</w:t>
            </w:r>
            <w:r>
              <w:rPr>
                <w:rStyle w:val="IndexLink"/>
                <w:rtl w:val="true"/>
              </w:rPr>
              <w:tab/>
            </w:r>
            <w:r>
              <w:rPr>
                <w:rStyle w:val="IndexLink"/>
              </w:rPr>
              <w:t>36</w:t>
            </w:r>
          </w:hyperlink>
        </w:p>
        <w:p>
          <w:pPr>
            <w:pStyle w:val="Contents4"/>
            <w:tabs>
              <w:tab w:val="clear" w:pos="8176"/>
              <w:tab w:val="right" w:pos="9026" w:leader="dot"/>
            </w:tabs>
            <w:rPr/>
          </w:pPr>
          <w:hyperlink w:anchor="__RefHeading___Toc3655068_372815092">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655070_372815092">
            <w:r>
              <w:rPr>
                <w:webHidden/>
                <w:rStyle w:val="IndexLink"/>
                <w:rtl w:val="true"/>
              </w:rPr>
              <w:t>قاضى ايجى</w:t>
            </w:r>
            <w:r>
              <w:rPr>
                <w:rStyle w:val="IndexLink"/>
                <w:rtl w:val="true"/>
              </w:rPr>
              <w:tab/>
            </w:r>
            <w:r>
              <w:rPr>
                <w:rStyle w:val="IndexLink"/>
              </w:rPr>
              <w:t>37</w:t>
            </w:r>
          </w:hyperlink>
        </w:p>
        <w:p>
          <w:pPr>
            <w:pStyle w:val="Contents4"/>
            <w:tabs>
              <w:tab w:val="clear" w:pos="8176"/>
              <w:tab w:val="right" w:pos="9026" w:leader="dot"/>
            </w:tabs>
            <w:rPr/>
          </w:pPr>
          <w:hyperlink w:anchor="__RefHeading___Toc3655072_372815092">
            <w:r>
              <w:rPr>
                <w:webHidden/>
                <w:rStyle w:val="IndexLink"/>
                <w:rtl w:val="true"/>
              </w:rPr>
              <w:t>سعدالدين تفتازانى</w:t>
            </w:r>
            <w:r>
              <w:rPr>
                <w:rStyle w:val="IndexLink"/>
                <w:rtl w:val="true"/>
              </w:rPr>
              <w:tab/>
            </w:r>
            <w:r>
              <w:rPr>
                <w:rStyle w:val="IndexLink"/>
              </w:rPr>
              <w:t>38</w:t>
            </w:r>
          </w:hyperlink>
        </w:p>
        <w:p>
          <w:pPr>
            <w:pStyle w:val="Contents4"/>
            <w:tabs>
              <w:tab w:val="clear" w:pos="8176"/>
              <w:tab w:val="right" w:pos="9026" w:leader="dot"/>
            </w:tabs>
            <w:rPr/>
          </w:pPr>
          <w:hyperlink w:anchor="__RefHeading___Toc3655074_372815092">
            <w:r>
              <w:rPr>
                <w:webHidden/>
                <w:rStyle w:val="IndexLink"/>
                <w:rtl w:val="true"/>
              </w:rPr>
              <w:t>فياض لاهيجى</w:t>
            </w:r>
            <w:r>
              <w:rPr>
                <w:rStyle w:val="IndexLink"/>
                <w:rtl w:val="true"/>
              </w:rPr>
              <w:tab/>
            </w:r>
            <w:r>
              <w:rPr>
                <w:rStyle w:val="IndexLink"/>
              </w:rPr>
              <w:t>39</w:t>
            </w:r>
          </w:hyperlink>
        </w:p>
        <w:p>
          <w:pPr>
            <w:pStyle w:val="Contents3"/>
            <w:tabs>
              <w:tab w:val="clear" w:pos="8459"/>
              <w:tab w:val="right" w:pos="9026" w:leader="dot"/>
            </w:tabs>
            <w:rPr/>
          </w:pPr>
          <w:hyperlink w:anchor="__RefHeading___Toc3655076_372815092">
            <w:r>
              <w:rPr>
                <w:webHidden/>
                <w:rStyle w:val="IndexLink"/>
                <w:rtl w:val="true"/>
              </w:rPr>
              <w:t>اصول دين و كتاب هاى اماميه</w:t>
            </w:r>
            <w:r>
              <w:rPr>
                <w:rStyle w:val="IndexLink"/>
                <w:rtl w:val="true"/>
              </w:rPr>
              <w:tab/>
            </w:r>
            <w:r>
              <w:rPr>
                <w:rStyle w:val="IndexLink"/>
              </w:rPr>
              <w:t>41</w:t>
            </w:r>
          </w:hyperlink>
        </w:p>
        <w:p>
          <w:pPr>
            <w:pStyle w:val="Contents3"/>
            <w:tabs>
              <w:tab w:val="clear" w:pos="8459"/>
              <w:tab w:val="right" w:pos="9026" w:leader="dot"/>
            </w:tabs>
            <w:rPr/>
          </w:pPr>
          <w:hyperlink w:anchor="__RefHeading___Toc3655078_372815092">
            <w:r>
              <w:rPr>
                <w:webHidden/>
                <w:rStyle w:val="IndexLink"/>
                <w:rtl w:val="true"/>
              </w:rPr>
              <w:t>اصول دين و كتاب هاى اهل سنّت</w:t>
            </w:r>
            <w:r>
              <w:rPr>
                <w:rStyle w:val="IndexLink"/>
                <w:rtl w:val="true"/>
              </w:rPr>
              <w:tab/>
            </w:r>
            <w:r>
              <w:rPr>
                <w:rStyle w:val="IndexLink"/>
              </w:rPr>
              <w:t>42</w:t>
            </w:r>
          </w:hyperlink>
        </w:p>
        <w:p>
          <w:pPr>
            <w:pStyle w:val="Contents3"/>
            <w:tabs>
              <w:tab w:val="clear" w:pos="8459"/>
              <w:tab w:val="right" w:pos="9026" w:leader="dot"/>
            </w:tabs>
            <w:rPr/>
          </w:pPr>
          <w:hyperlink w:anchor="__RefHeading___Toc3655080_372815092">
            <w:r>
              <w:rPr>
                <w:webHidden/>
                <w:rStyle w:val="IndexLink"/>
                <w:rtl w:val="true"/>
              </w:rPr>
              <w:t>موضوعات كتاب هاى اصول دين</w:t>
            </w:r>
            <w:r>
              <w:rPr>
                <w:rStyle w:val="IndexLink"/>
                <w:rtl w:val="true"/>
              </w:rPr>
              <w:tab/>
            </w:r>
            <w:r>
              <w:rPr>
                <w:rStyle w:val="IndexLink"/>
              </w:rPr>
              <w:t>43</w:t>
            </w:r>
          </w:hyperlink>
        </w:p>
        <w:p>
          <w:pPr>
            <w:pStyle w:val="Contents4"/>
            <w:tabs>
              <w:tab w:val="clear" w:pos="8176"/>
              <w:tab w:val="right" w:pos="9026" w:leader="dot"/>
            </w:tabs>
            <w:rPr/>
          </w:pPr>
          <w:hyperlink w:anchor="__RefHeading___Toc3655082_372815092">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655084_372815092">
            <w:r>
              <w:rPr>
                <w:webHidden/>
                <w:rStyle w:val="IndexLink"/>
                <w:rtl w:val="true"/>
              </w:rPr>
              <w:t>آيا علم كلام از عوامل شكست هاى ماست؟</w:t>
            </w:r>
            <w:r>
              <w:rPr>
                <w:rStyle w:val="IndexLink"/>
                <w:rtl w:val="true"/>
              </w:rPr>
              <w:tab/>
            </w:r>
            <w:r>
              <w:rPr>
                <w:rStyle w:val="IndexLink"/>
              </w:rPr>
              <w:t>45</w:t>
            </w:r>
          </w:hyperlink>
        </w:p>
        <w:p>
          <w:pPr>
            <w:pStyle w:val="Contents4"/>
            <w:tabs>
              <w:tab w:val="clear" w:pos="8176"/>
              <w:tab w:val="right" w:pos="9026" w:leader="dot"/>
            </w:tabs>
            <w:rPr/>
          </w:pPr>
          <w:hyperlink w:anchor="__RefHeading___Toc3655086_372815092">
            <w:r>
              <w:rPr>
                <w:webHidden/>
                <w:rStyle w:val="IndexLink"/>
                <w:rtl w:val="true"/>
              </w:rPr>
              <w:t>تأثير علم كلام در گرايش به تشيّع</w:t>
            </w:r>
            <w:r>
              <w:rPr>
                <w:rStyle w:val="IndexLink"/>
                <w:rtl w:val="true"/>
              </w:rPr>
              <w:tab/>
            </w:r>
            <w:r>
              <w:rPr>
                <w:rStyle w:val="IndexLink"/>
              </w:rPr>
              <w:t>48</w:t>
            </w:r>
          </w:hyperlink>
        </w:p>
        <w:p>
          <w:pPr>
            <w:pStyle w:val="Contents4"/>
            <w:tabs>
              <w:tab w:val="clear" w:pos="8176"/>
              <w:tab w:val="right" w:pos="9026" w:leader="dot"/>
            </w:tabs>
            <w:rPr/>
          </w:pPr>
          <w:hyperlink w:anchor="__RefHeading___Toc3655088_372815092">
            <w:r>
              <w:rPr>
                <w:webHidden/>
                <w:rStyle w:val="IndexLink"/>
                <w:rtl w:val="true"/>
              </w:rPr>
              <w:t>برخى مسائل اختلافى در علم كلام</w:t>
            </w:r>
            <w:r>
              <w:rPr>
                <w:rStyle w:val="IndexLink"/>
                <w:rtl w:val="true"/>
              </w:rPr>
              <w:tab/>
            </w:r>
            <w:r>
              <w:rPr>
                <w:rStyle w:val="IndexLink"/>
              </w:rPr>
              <w:t>49</w:t>
            </w:r>
          </w:hyperlink>
        </w:p>
        <w:p>
          <w:pPr>
            <w:pStyle w:val="Contents3"/>
            <w:tabs>
              <w:tab w:val="clear" w:pos="8459"/>
              <w:tab w:val="right" w:pos="9026" w:leader="dot"/>
            </w:tabs>
            <w:rPr/>
          </w:pPr>
          <w:hyperlink w:anchor="__RefHeading___Toc3655090_372815092">
            <w:r>
              <w:rPr>
                <w:webHidden/>
                <w:rStyle w:val="IndexLink"/>
                <w:rtl w:val="true"/>
              </w:rPr>
              <w:t>امامت و اصول دين</w:t>
            </w:r>
            <w:r>
              <w:rPr>
                <w:rStyle w:val="IndexLink"/>
                <w:rtl w:val="true"/>
              </w:rPr>
              <w:tab/>
            </w:r>
            <w:r>
              <w:rPr>
                <w:rStyle w:val="IndexLink"/>
              </w:rPr>
              <w:t>51</w:t>
            </w:r>
          </w:hyperlink>
        </w:p>
        <w:p>
          <w:pPr>
            <w:pStyle w:val="Contents4"/>
            <w:tabs>
              <w:tab w:val="clear" w:pos="8176"/>
              <w:tab w:val="right" w:pos="9026" w:leader="dot"/>
            </w:tabs>
            <w:rPr/>
          </w:pPr>
          <w:hyperlink w:anchor="__RefHeading___Toc3655092_372815092">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655094_372815092">
            <w:r>
              <w:rPr>
                <w:webHidden/>
                <w:rStyle w:val="IndexLink"/>
                <w:rtl w:val="true"/>
              </w:rPr>
              <w:t>وجوب امامت</w:t>
            </w:r>
            <w:r>
              <w:rPr>
                <w:rStyle w:val="IndexLink"/>
                <w:rtl w:val="true"/>
              </w:rPr>
              <w:tab/>
            </w:r>
            <w:r>
              <w:rPr>
                <w:rStyle w:val="IndexLink"/>
              </w:rPr>
              <w:t>51</w:t>
            </w:r>
          </w:hyperlink>
        </w:p>
        <w:p>
          <w:pPr>
            <w:pStyle w:val="Contents4"/>
            <w:tabs>
              <w:tab w:val="clear" w:pos="8176"/>
              <w:tab w:val="right" w:pos="9026" w:leader="dot"/>
            </w:tabs>
            <w:rPr/>
          </w:pPr>
          <w:hyperlink w:anchor="__RefHeading___Toc3655096_372815092">
            <w:r>
              <w:rPr>
                <w:webHidden/>
                <w:rStyle w:val="IndexLink"/>
                <w:rtl w:val="true"/>
              </w:rPr>
              <w:t>امامت چيست؟</w:t>
            </w:r>
            <w:r>
              <w:rPr>
                <w:rStyle w:val="IndexLink"/>
                <w:rtl w:val="true"/>
              </w:rPr>
              <w:tab/>
            </w:r>
            <w:r>
              <w:rPr>
                <w:rStyle w:val="IndexLink"/>
              </w:rPr>
              <w:t>54</w:t>
            </w:r>
          </w:hyperlink>
        </w:p>
        <w:p>
          <w:pPr>
            <w:pStyle w:val="Contents4"/>
            <w:tabs>
              <w:tab w:val="clear" w:pos="8176"/>
              <w:tab w:val="right" w:pos="9026" w:leader="dot"/>
            </w:tabs>
            <w:rPr/>
          </w:pPr>
          <w:hyperlink w:anchor="__RefHeading___Toc3655098_372815092">
            <w:r>
              <w:rPr>
                <w:webHidden/>
                <w:rStyle w:val="IndexLink"/>
                <w:rtl w:val="true"/>
              </w:rPr>
              <w:t>امامت، جزء اصول دين است</w:t>
            </w:r>
            <w:r>
              <w:rPr>
                <w:rStyle w:val="IndexLink"/>
                <w:rtl w:val="true"/>
              </w:rPr>
              <w:tab/>
            </w:r>
            <w:r>
              <w:rPr>
                <w:rStyle w:val="IndexLink"/>
              </w:rPr>
              <w:t>58</w:t>
            </w:r>
          </w:hyperlink>
        </w:p>
        <w:p>
          <w:pPr>
            <w:pStyle w:val="Contents4"/>
            <w:tabs>
              <w:tab w:val="clear" w:pos="8176"/>
              <w:tab w:val="right" w:pos="9026" w:leader="dot"/>
            </w:tabs>
            <w:rPr/>
          </w:pPr>
          <w:hyperlink w:anchor="__RefHeading___Toc3655100_372815092">
            <w:r>
              <w:rPr>
                <w:webHidden/>
                <w:rStyle w:val="IndexLink"/>
                <w:rtl w:val="true"/>
              </w:rPr>
              <w:t>تعيين امام با كيست؟</w:t>
            </w:r>
            <w:r>
              <w:rPr>
                <w:rStyle w:val="IndexLink"/>
                <w:rtl w:val="true"/>
              </w:rPr>
              <w:tab/>
            </w:r>
            <w:r>
              <w:rPr>
                <w:rStyle w:val="IndexLink"/>
              </w:rPr>
              <w:t>61</w:t>
            </w:r>
          </w:hyperlink>
        </w:p>
        <w:p>
          <w:pPr>
            <w:pStyle w:val="Contents5"/>
            <w:tabs>
              <w:tab w:val="clear" w:pos="7892"/>
              <w:tab w:val="right" w:pos="9026" w:leader="dot"/>
            </w:tabs>
            <w:rPr/>
          </w:pPr>
          <w:hyperlink w:anchor="__RefHeading___Toc3655102_372815092">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3655104_372815092">
            <w:r>
              <w:rPr>
                <w:webHidden/>
                <w:rStyle w:val="IndexLink"/>
              </w:rPr>
              <w:t>1</w:t>
            </w:r>
            <w:r>
              <w:rPr>
                <w:rStyle w:val="IndexLink"/>
                <w:rtl w:val="true"/>
              </w:rPr>
              <w:t xml:space="preserve">. </w:t>
            </w:r>
            <w:r>
              <w:rPr>
                <w:rStyle w:val="IndexLink"/>
                <w:rtl w:val="true"/>
              </w:rPr>
              <w:t>ديدگاه اهل سنّت</w:t>
            </w:r>
            <w:r>
              <w:rPr>
                <w:rStyle w:val="IndexLink"/>
                <w:rtl w:val="true"/>
              </w:rPr>
              <w:tab/>
            </w:r>
            <w:r>
              <w:rPr>
                <w:rStyle w:val="IndexLink"/>
              </w:rPr>
              <w:t>61</w:t>
            </w:r>
          </w:hyperlink>
        </w:p>
        <w:p>
          <w:pPr>
            <w:pStyle w:val="Contents6"/>
            <w:tabs>
              <w:tab w:val="clear" w:pos="7609"/>
              <w:tab w:val="right" w:pos="9026" w:leader="dot"/>
            </w:tabs>
            <w:rPr/>
          </w:pPr>
          <w:hyperlink w:anchor="__RefHeading___Toc3655106_372815092">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3655108_372815092">
            <w:r>
              <w:rPr>
                <w:webHidden/>
                <w:rStyle w:val="IndexLink"/>
                <w:rtl w:val="true"/>
              </w:rPr>
              <w:t>نقد ديدگاه اهل سنّت</w:t>
            </w:r>
            <w:r>
              <w:rPr>
                <w:rStyle w:val="IndexLink"/>
                <w:rtl w:val="true"/>
              </w:rPr>
              <w:tab/>
            </w:r>
            <w:r>
              <w:rPr>
                <w:rStyle w:val="IndexLink"/>
              </w:rPr>
              <w:t>62</w:t>
            </w:r>
          </w:hyperlink>
        </w:p>
        <w:p>
          <w:pPr>
            <w:pStyle w:val="Contents5"/>
            <w:tabs>
              <w:tab w:val="clear" w:pos="7892"/>
              <w:tab w:val="right" w:pos="9026" w:leader="dot"/>
            </w:tabs>
            <w:rPr/>
          </w:pPr>
          <w:hyperlink w:anchor="__RefHeading___Toc3655110_372815092">
            <w:r>
              <w:rPr>
                <w:webHidden/>
                <w:rStyle w:val="IndexLink"/>
              </w:rPr>
              <w:t>2</w:t>
            </w:r>
            <w:r>
              <w:rPr>
                <w:rStyle w:val="IndexLink"/>
                <w:rtl w:val="true"/>
              </w:rPr>
              <w:t xml:space="preserve">. </w:t>
            </w:r>
            <w:r>
              <w:rPr>
                <w:rStyle w:val="IndexLink"/>
                <w:rtl w:val="true"/>
              </w:rPr>
              <w:t>ديدگاه شيعه</w:t>
            </w:r>
            <w:r>
              <w:rPr>
                <w:rStyle w:val="IndexLink"/>
                <w:rtl w:val="true"/>
              </w:rPr>
              <w:tab/>
            </w:r>
            <w:r>
              <w:rPr>
                <w:rStyle w:val="IndexLink"/>
              </w:rPr>
              <w:t>64</w:t>
            </w:r>
          </w:hyperlink>
        </w:p>
        <w:p>
          <w:pPr>
            <w:pStyle w:val="Contents4"/>
            <w:tabs>
              <w:tab w:val="clear" w:pos="8176"/>
              <w:tab w:val="right" w:pos="9026" w:leader="dot"/>
            </w:tabs>
            <w:rPr/>
          </w:pPr>
          <w:hyperlink w:anchor="__RefHeading___Toc3655112_372815092">
            <w:r>
              <w:rPr>
                <w:webHidden/>
                <w:rStyle w:val="IndexLink"/>
                <w:rtl w:val="true"/>
              </w:rPr>
              <w:t>امام بعد از پيامبر كيست؟</w:t>
            </w:r>
            <w:r>
              <w:rPr>
                <w:rStyle w:val="IndexLink"/>
                <w:rtl w:val="true"/>
              </w:rPr>
              <w:tab/>
            </w:r>
            <w:r>
              <w:rPr>
                <w:rStyle w:val="IndexLink"/>
              </w:rPr>
              <w:t>67</w:t>
            </w:r>
          </w:hyperlink>
        </w:p>
        <w:p>
          <w:pPr>
            <w:pStyle w:val="Contents4"/>
            <w:tabs>
              <w:tab w:val="clear" w:pos="8176"/>
              <w:tab w:val="right" w:pos="9026" w:leader="dot"/>
            </w:tabs>
            <w:rPr/>
          </w:pPr>
          <w:hyperlink w:anchor="__RefHeading___Toc3655114_372815092">
            <w:r>
              <w:rPr>
                <w:webHidden/>
                <w:rStyle w:val="IndexLink"/>
                <w:rtl w:val="true"/>
              </w:rPr>
              <w:t>ادلّه شيعه بر امامت حضرت على</w:t>
            </w:r>
            <w:r>
              <w:rPr>
                <w:rStyle w:val="IndexLink"/>
                <w:rtl w:val="true"/>
              </w:rPr>
              <w:tab/>
            </w:r>
            <w:r>
              <w:rPr>
                <w:rStyle w:val="IndexLink"/>
              </w:rPr>
              <w:t>68</w:t>
            </w:r>
          </w:hyperlink>
        </w:p>
        <w:p>
          <w:pPr>
            <w:pStyle w:val="Contents4"/>
            <w:tabs>
              <w:tab w:val="clear" w:pos="8176"/>
              <w:tab w:val="right" w:pos="9026" w:leader="dot"/>
            </w:tabs>
            <w:rPr/>
          </w:pPr>
          <w:hyperlink w:anchor="__RefHeading___Toc3655116_372815092">
            <w:r>
              <w:rPr>
                <w:webHidden/>
                <w:rStyle w:val="IndexLink"/>
                <w:rtl w:val="true"/>
              </w:rPr>
              <w:t>شيعه اماميه و پايبندى به جدال احسن</w:t>
            </w:r>
            <w:r>
              <w:rPr>
                <w:rStyle w:val="IndexLink"/>
                <w:rtl w:val="true"/>
              </w:rPr>
              <w:tab/>
            </w:r>
            <w:r>
              <w:rPr>
                <w:rStyle w:val="IndexLink"/>
              </w:rPr>
              <w:t>69</w:t>
            </w:r>
          </w:hyperlink>
        </w:p>
        <w:p>
          <w:pPr>
            <w:pStyle w:val="Contents3"/>
            <w:tabs>
              <w:tab w:val="clear" w:pos="8459"/>
              <w:tab w:val="right" w:pos="9026" w:leader="dot"/>
            </w:tabs>
            <w:rPr/>
          </w:pPr>
          <w:hyperlink w:anchor="__RefHeading___Toc3655118_372815092">
            <w:r>
              <w:rPr>
                <w:webHidden/>
                <w:rStyle w:val="IndexLink"/>
                <w:rtl w:val="true"/>
              </w:rPr>
              <w:t>نمونه هايى از استدلال هاى شيعه</w:t>
            </w:r>
            <w:r>
              <w:rPr>
                <w:rStyle w:val="IndexLink"/>
                <w:rtl w:val="true"/>
              </w:rPr>
              <w:tab/>
            </w:r>
            <w:r>
              <w:rPr>
                <w:rStyle w:val="IndexLink"/>
              </w:rPr>
              <w:t>69</w:t>
            </w:r>
          </w:hyperlink>
        </w:p>
        <w:p>
          <w:pPr>
            <w:pStyle w:val="Contents4"/>
            <w:tabs>
              <w:tab w:val="clear" w:pos="8176"/>
              <w:tab w:val="right" w:pos="9026" w:leader="dot"/>
            </w:tabs>
            <w:rPr/>
          </w:pPr>
          <w:hyperlink w:anchor="__RefHeading___Toc3655120_37281509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655122_372815092">
            <w:r>
              <w:rPr>
                <w:webHidden/>
                <w:rStyle w:val="IndexLink"/>
                <w:rtl w:val="true"/>
              </w:rPr>
              <w:t xml:space="preserve">استدلال به حديث </w:t>
            </w:r>
            <w:r>
              <w:rPr>
                <w:rStyle w:val="IndexLink"/>
                <w:rtl w:val="true"/>
              </w:rPr>
              <w:t>«</w:t>
            </w:r>
            <w:r>
              <w:rPr>
                <w:rStyle w:val="IndexLink"/>
                <w:rtl w:val="true"/>
              </w:rPr>
              <w:t>مدينة العلم</w:t>
            </w:r>
            <w:r>
              <w:rPr>
                <w:rStyle w:val="IndexLink"/>
                <w:rtl w:val="true"/>
              </w:rPr>
              <w:t>»</w:t>
              <w:tab/>
            </w:r>
            <w:r>
              <w:rPr>
                <w:rStyle w:val="IndexLink"/>
              </w:rPr>
              <w:t>72</w:t>
            </w:r>
          </w:hyperlink>
        </w:p>
        <w:p>
          <w:pPr>
            <w:pStyle w:val="Contents4"/>
            <w:tabs>
              <w:tab w:val="clear" w:pos="8176"/>
              <w:tab w:val="right" w:pos="9026" w:leader="dot"/>
            </w:tabs>
            <w:rPr/>
          </w:pPr>
          <w:hyperlink w:anchor="__RefHeading___Toc3655124_372815092">
            <w:r>
              <w:rPr>
                <w:webHidden/>
                <w:rStyle w:val="IndexLink"/>
                <w:rtl w:val="true"/>
              </w:rPr>
              <w:t xml:space="preserve">استدلال به حديث </w:t>
            </w:r>
            <w:r>
              <w:rPr>
                <w:rStyle w:val="IndexLink"/>
                <w:rtl w:val="true"/>
              </w:rPr>
              <w:t>«</w:t>
            </w:r>
            <w:r>
              <w:rPr>
                <w:rStyle w:val="IndexLink"/>
                <w:rtl w:val="true"/>
              </w:rPr>
              <w:t>طير</w:t>
            </w:r>
            <w:r>
              <w:rPr>
                <w:rStyle w:val="IndexLink"/>
                <w:rtl w:val="true"/>
              </w:rPr>
              <w:t>»</w:t>
              <w:tab/>
            </w:r>
            <w:r>
              <w:rPr>
                <w:rStyle w:val="IndexLink"/>
              </w:rPr>
              <w:t>74</w:t>
            </w:r>
          </w:hyperlink>
        </w:p>
        <w:p>
          <w:pPr>
            <w:pStyle w:val="Contents3"/>
            <w:tabs>
              <w:tab w:val="clear" w:pos="8459"/>
              <w:tab w:val="right" w:pos="9026" w:leader="dot"/>
            </w:tabs>
            <w:rPr/>
          </w:pPr>
          <w:hyperlink w:anchor="__RefHeading___Toc3655126_372815092">
            <w:r>
              <w:rPr>
                <w:webHidden/>
                <w:rStyle w:val="IndexLink"/>
                <w:rtl w:val="true"/>
              </w:rPr>
              <w:t>موضع شيعه در برابر هجوم مخالفان</w:t>
            </w:r>
            <w:r>
              <w:rPr>
                <w:rStyle w:val="IndexLink"/>
                <w:rtl w:val="true"/>
              </w:rPr>
              <w:tab/>
            </w:r>
            <w:r>
              <w:rPr>
                <w:rStyle w:val="IndexLink"/>
              </w:rPr>
              <w:t>77</w:t>
            </w:r>
          </w:hyperlink>
        </w:p>
        <w:p>
          <w:pPr>
            <w:pStyle w:val="Contents4"/>
            <w:tabs>
              <w:tab w:val="clear" w:pos="8176"/>
              <w:tab w:val="right" w:pos="9026" w:leader="dot"/>
            </w:tabs>
            <w:rPr/>
          </w:pPr>
          <w:hyperlink w:anchor="__RefHeading___Toc3655128_37281509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655130_372815092">
            <w:r>
              <w:rPr>
                <w:webHidden/>
                <w:rStyle w:val="IndexLink"/>
              </w:rPr>
              <w:t>1</w:t>
            </w:r>
            <w:r>
              <w:rPr>
                <w:rStyle w:val="IndexLink"/>
                <w:rtl w:val="true"/>
              </w:rPr>
              <w:t xml:space="preserve">. </w:t>
            </w:r>
            <w:r>
              <w:rPr>
                <w:rStyle w:val="IndexLink"/>
                <w:rtl w:val="true"/>
              </w:rPr>
              <w:t>نگارش كتاب هاى استدلالى</w:t>
            </w:r>
            <w:r>
              <w:rPr>
                <w:rStyle w:val="IndexLink"/>
                <w:rtl w:val="true"/>
              </w:rPr>
              <w:tab/>
            </w:r>
            <w:r>
              <w:rPr>
                <w:rStyle w:val="IndexLink"/>
              </w:rPr>
              <w:t>77</w:t>
            </w:r>
          </w:hyperlink>
        </w:p>
        <w:p>
          <w:pPr>
            <w:pStyle w:val="Contents4"/>
            <w:tabs>
              <w:tab w:val="clear" w:pos="8176"/>
              <w:tab w:val="right" w:pos="9026" w:leader="dot"/>
            </w:tabs>
            <w:rPr/>
          </w:pPr>
          <w:hyperlink w:anchor="__RefHeading___Toc3655132_372815092">
            <w:r>
              <w:rPr>
                <w:webHidden/>
                <w:rStyle w:val="IndexLink"/>
              </w:rPr>
              <w:t>2</w:t>
            </w:r>
            <w:r>
              <w:rPr>
                <w:rStyle w:val="IndexLink"/>
                <w:rtl w:val="true"/>
              </w:rPr>
              <w:t xml:space="preserve">. </w:t>
            </w:r>
            <w:r>
              <w:rPr>
                <w:rStyle w:val="IndexLink"/>
                <w:rtl w:val="true"/>
              </w:rPr>
              <w:t>نگارش كتاب هايى در رد مخالفان</w:t>
            </w:r>
            <w:r>
              <w:rPr>
                <w:rStyle w:val="IndexLink"/>
                <w:rtl w:val="true"/>
              </w:rPr>
              <w:tab/>
            </w:r>
            <w:r>
              <w:rPr>
                <w:rStyle w:val="IndexLink"/>
              </w:rPr>
              <w:t>77</w:t>
            </w:r>
          </w:hyperlink>
        </w:p>
        <w:p>
          <w:pPr>
            <w:pStyle w:val="Contents4"/>
            <w:tabs>
              <w:tab w:val="clear" w:pos="8176"/>
              <w:tab w:val="right" w:pos="9026" w:leader="dot"/>
            </w:tabs>
            <w:rPr/>
          </w:pPr>
          <w:hyperlink w:anchor="__RefHeading___Toc3655134_372815092">
            <w:r>
              <w:rPr>
                <w:webHidden/>
                <w:rStyle w:val="IndexLink"/>
                <w:rtl w:val="true"/>
              </w:rPr>
              <w:t>جاحظ و سيد بن طاووس</w:t>
            </w:r>
            <w:r>
              <w:rPr>
                <w:rStyle w:val="IndexLink"/>
                <w:rtl w:val="true"/>
              </w:rPr>
              <w:tab/>
            </w:r>
            <w:r>
              <w:rPr>
                <w:rStyle w:val="IndexLink"/>
              </w:rPr>
              <w:t>82</w:t>
            </w:r>
          </w:hyperlink>
        </w:p>
        <w:p>
          <w:pPr>
            <w:pStyle w:val="Contents4"/>
            <w:tabs>
              <w:tab w:val="clear" w:pos="8176"/>
              <w:tab w:val="right" w:pos="9026" w:leader="dot"/>
            </w:tabs>
            <w:rPr/>
          </w:pPr>
          <w:hyperlink w:anchor="__RefHeading___Toc3655136_372815092">
            <w:r>
              <w:rPr>
                <w:webHidden/>
                <w:rStyle w:val="IndexLink"/>
                <w:rtl w:val="true"/>
              </w:rPr>
              <w:t>قاضى عبدالجبّار و سيد مرتضى</w:t>
            </w:r>
            <w:r>
              <w:rPr>
                <w:rStyle w:val="IndexLink"/>
                <w:rtl w:val="true"/>
              </w:rPr>
              <w:tab/>
            </w:r>
            <w:r>
              <w:rPr>
                <w:rStyle w:val="IndexLink"/>
              </w:rPr>
              <w:t>83</w:t>
            </w:r>
          </w:hyperlink>
        </w:p>
        <w:p>
          <w:pPr>
            <w:pStyle w:val="Contents4"/>
            <w:tabs>
              <w:tab w:val="clear" w:pos="8176"/>
              <w:tab w:val="right" w:pos="9026" w:leader="dot"/>
            </w:tabs>
            <w:rPr/>
          </w:pPr>
          <w:hyperlink w:anchor="__RefHeading___Toc3655138_372815092">
            <w:r>
              <w:rPr>
                <w:webHidden/>
                <w:rStyle w:val="IndexLink"/>
                <w:rtl w:val="true"/>
              </w:rPr>
              <w:t>شهاب الدين شافعى و شيخ نصيرالدين قزوينى</w:t>
            </w:r>
            <w:r>
              <w:rPr>
                <w:rStyle w:val="IndexLink"/>
                <w:rtl w:val="true"/>
              </w:rPr>
              <w:tab/>
            </w:r>
            <w:r>
              <w:rPr>
                <w:rStyle w:val="IndexLink"/>
              </w:rPr>
              <w:t>84</w:t>
            </w:r>
          </w:hyperlink>
        </w:p>
        <w:p>
          <w:pPr>
            <w:pStyle w:val="Contents4"/>
            <w:tabs>
              <w:tab w:val="clear" w:pos="8176"/>
              <w:tab w:val="right" w:pos="9026" w:leader="dot"/>
            </w:tabs>
            <w:rPr/>
          </w:pPr>
          <w:hyperlink w:anchor="__RefHeading___Toc3655140_372815092">
            <w:r>
              <w:rPr>
                <w:webHidden/>
                <w:rStyle w:val="IndexLink"/>
                <w:rtl w:val="true"/>
              </w:rPr>
              <w:t>ابن تيميّه حرّانى و پاسخ به ديدگاه او</w:t>
            </w:r>
            <w:r>
              <w:rPr>
                <w:rStyle w:val="IndexLink"/>
                <w:rtl w:val="true"/>
              </w:rPr>
              <w:tab/>
            </w:r>
            <w:r>
              <w:rPr>
                <w:rStyle w:val="IndexLink"/>
              </w:rPr>
              <w:t>85</w:t>
            </w:r>
          </w:hyperlink>
        </w:p>
        <w:p>
          <w:pPr>
            <w:pStyle w:val="Contents4"/>
            <w:tabs>
              <w:tab w:val="clear" w:pos="8176"/>
              <w:tab w:val="right" w:pos="9026" w:leader="dot"/>
            </w:tabs>
            <w:rPr/>
          </w:pPr>
          <w:hyperlink w:anchor="__RefHeading___Toc3655142_372815092">
            <w:r>
              <w:rPr>
                <w:webHidden/>
                <w:rStyle w:val="IndexLink"/>
                <w:rtl w:val="true"/>
              </w:rPr>
              <w:t>يوسف اعور واسطى و شيخ عزّ الدين حلّى</w:t>
            </w:r>
            <w:r>
              <w:rPr>
                <w:rStyle w:val="IndexLink"/>
                <w:rtl w:val="true"/>
              </w:rPr>
              <w:tab/>
            </w:r>
            <w:r>
              <w:rPr>
                <w:rStyle w:val="IndexLink"/>
              </w:rPr>
              <w:t>86</w:t>
            </w:r>
          </w:hyperlink>
        </w:p>
        <w:p>
          <w:pPr>
            <w:pStyle w:val="Contents4"/>
            <w:tabs>
              <w:tab w:val="clear" w:pos="8176"/>
              <w:tab w:val="right" w:pos="9026" w:leader="dot"/>
            </w:tabs>
            <w:rPr/>
          </w:pPr>
          <w:hyperlink w:anchor="__RefHeading___Toc3655144_372815092">
            <w:r>
              <w:rPr>
                <w:webHidden/>
                <w:rStyle w:val="IndexLink"/>
                <w:rtl w:val="true"/>
              </w:rPr>
              <w:t>ابن حجر هيتمى مكّى و قاضى نور اللّه شوشترى</w:t>
            </w:r>
            <w:r>
              <w:rPr>
                <w:rStyle w:val="IndexLink"/>
                <w:rtl w:val="true"/>
              </w:rPr>
              <w:tab/>
            </w:r>
            <w:r>
              <w:rPr>
                <w:rStyle w:val="IndexLink"/>
              </w:rPr>
              <w:t>86</w:t>
            </w:r>
          </w:hyperlink>
        </w:p>
        <w:p>
          <w:pPr>
            <w:pStyle w:val="Contents4"/>
            <w:tabs>
              <w:tab w:val="clear" w:pos="8176"/>
              <w:tab w:val="right" w:pos="9026" w:leader="dot"/>
            </w:tabs>
            <w:rPr/>
          </w:pPr>
          <w:hyperlink w:anchor="__RefHeading___Toc3655146_372815092">
            <w:r>
              <w:rPr>
                <w:webHidden/>
                <w:rStyle w:val="IndexLink"/>
                <w:rtl w:val="true"/>
              </w:rPr>
              <w:t>مولوى عبدالعزيز دهلوى و سيد مير حامد حسين لكهنوى</w:t>
            </w:r>
            <w:r>
              <w:rPr>
                <w:rStyle w:val="IndexLink"/>
                <w:rtl w:val="true"/>
              </w:rPr>
              <w:tab/>
            </w:r>
            <w:r>
              <w:rPr>
                <w:rStyle w:val="IndexLink"/>
              </w:rPr>
              <w:t>88</w:t>
            </w:r>
          </w:hyperlink>
        </w:p>
        <w:p>
          <w:pPr>
            <w:pStyle w:val="Contents3"/>
            <w:tabs>
              <w:tab w:val="clear" w:pos="8459"/>
              <w:tab w:val="right" w:pos="9026" w:leader="dot"/>
            </w:tabs>
            <w:rPr/>
          </w:pPr>
          <w:hyperlink w:anchor="__RefHeading___Toc3655148_372815092">
            <w:r>
              <w:rPr>
                <w:webHidden/>
                <w:rStyle w:val="IndexLink"/>
                <w:rtl w:val="true"/>
              </w:rPr>
              <w:t>نگاهى به كتاب نهج الحقّ و كشف الصّدق</w:t>
            </w:r>
            <w:r>
              <w:rPr>
                <w:rStyle w:val="IndexLink"/>
                <w:rtl w:val="true"/>
              </w:rPr>
              <w:tab/>
            </w:r>
            <w:r>
              <w:rPr>
                <w:rStyle w:val="IndexLink"/>
              </w:rPr>
              <w:t>89</w:t>
            </w:r>
          </w:hyperlink>
        </w:p>
        <w:p>
          <w:pPr>
            <w:pStyle w:val="Contents2"/>
            <w:tabs>
              <w:tab w:val="clear" w:pos="8743"/>
              <w:tab w:val="right" w:pos="9026" w:leader="dot"/>
            </w:tabs>
            <w:rPr/>
          </w:pPr>
          <w:hyperlink w:anchor="__RefHeading___Toc3655150_372815092">
            <w:r>
              <w:rPr>
                <w:webHidden/>
                <w:rStyle w:val="IndexLink"/>
                <w:rtl w:val="true"/>
              </w:rPr>
              <w:t>كتابنامه</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99_52674"/>
      <w:bookmarkStart w:id="1" w:name="pg7099_52674"/>
      <w:bookmarkEnd w:id="1"/>
    </w:p>
    <w:p>
      <w:pPr>
        <w:pStyle w:val="Heading2"/>
        <w:numPr>
          <w:ilvl w:val="1"/>
          <w:numId w:val="1"/>
        </w:numPr>
        <w:rPr/>
      </w:pPr>
      <w:bookmarkStart w:id="2" w:name="pg7099_52674"/>
      <w:bookmarkStart w:id="3" w:name="__RefHeading___Toc3655036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پديدآورآداب مناظره و گفت و گو در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 میلانی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2246732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55038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نگاشته 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نگاشته 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نگاشته ها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نگاشته ها</w:t>
      </w:r>
      <w:bookmarkStart w:id="7" w:name="pg7099_52682"/>
    </w:p>
    <w:p>
      <w:pPr>
        <w:pStyle w:val="BookText"/>
        <w:rPr/>
      </w:pPr>
      <w:bookmarkEnd w:id="7"/>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مناظره و گفت وگو در اصول دين</w:t>
      </w:r>
    </w:p>
    <w:p>
      <w:pPr>
        <w:pStyle w:val="Heading2"/>
        <w:numPr>
          <w:ilvl w:val="1"/>
          <w:numId w:val="1"/>
        </w:numPr>
        <w:rPr/>
      </w:pPr>
      <w:bookmarkStart w:id="8" w:name="__RefHeading___Toc3655040_372815092"/>
      <w:bookmarkStart w:id="9" w:name="_Toc3"/>
      <w:bookmarkEnd w:id="8"/>
      <w:r>
        <w:rPr>
          <w:rtl w:val="true"/>
        </w:rPr>
        <w:t>سرآغاز</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 كامل ترين دين الاهى با بعثت خاتم الانبياء، حضرت محمّد مصطفى صلّى اللّه عليه وآله به جهانيان عرضه شد و آئين و رسالت پيام رسانان الاهى با نبوّت آن حضرت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در شهر مكّه شكوفا شد و پس از بيست و سه سال زحمات طاقت فرساى رسول خدا صلّى اللّه عليه وآله و جمعى از ياران باوفايش، تمامى جزيرة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اين راه الاهى در هجدهم ذى الحجّه، در غدير خم و به صورت علنى، از جانب خداى منّان به نخستين رادمرد عالم اسلام پس از پيامبر خدا صلّى اللّه عليه وآله يعنى امير مؤمنان على عليه السلام سپرده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با اعلان ولايت و جانشينى حضرت على عليه السلام، نعمت الاهى تمام و دين اسلام تكميل و سپس به عنوان تنها دينِ مورد</w:t>
      </w:r>
    </w:p>
    <w:p>
      <w:pPr>
        <w:pStyle w:val="BookText"/>
        <w:rPr/>
      </w:pPr>
      <w:r>
        <w:rPr>
          <w:rFonts w:ascii="IRNazanin" w:hAnsi="IRNazanin" w:eastAsia="IRNazanin"/>
          <w:color w:val="111111"/>
          <w:sz w:val="28"/>
          <w:sz w:val="28"/>
          <w:szCs w:val="28"/>
          <w:rtl w:val="true"/>
          <w:lang w:bidi="fa-IR"/>
        </w:rPr>
        <w:t>پسند حضرت حق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شد كه كفرورزان و مشركان از نابودى دين اسلام مأيوس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ديرى نپاييد كه برخى اطرافيان پيامبر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 هايى از پيش مهيّا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هدايت و راهبرى را پس از رحلت پيامبر خدا صلّى اللّه عليه وآله منحرف ساختند، دروازه مدينۀ علم را بستند و مسلمانان را در تحيّر و سردرگمى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آغازين روزهاى حكومتشان، با منع كتابت احاديث نبوى، جعل احاديث، القاى شبهات و تدليس و تلبيس هاى شيطانى، حقايق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همچون آفتاب جهان 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ابرهاى سياه شكّ و ترديد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على رغم همۀ توطئه ها، حقايق اسلام و سخنان دُرَرْبار پيامبر خدا صلّى اللّه عليه وآله، توسّط امير مؤمنان على عليه السلام، اوصياى آن بزرگوار عليهم السلام و جمعى از اصحاب و ياران باوفا، در طول تاريخ جارى شده و در هر برهه اى از زمان، به نوعى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بيان حقايق، دودلى ها، شبهه ها و پندارهاى واهى شياطين و دشمنان اسلام را پاسخ داده و حقيقت را براى همگان آشكار ساخته 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نام سپيده باورانى همچون شيخ مفيد، سيّد مرتضى، شيخ طوسى، خواجه نصير، علاّمۀ حلّى، قاضى نوراللّه، مير حامد حسين، سيّد شرف الدين، امينى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ستارگانى پرفروز مى درخشد؛ چرا كه اينان در مسير دفاع از حقايق اسلامى و تبيين</w:t>
      </w:r>
    </w:p>
    <w:p>
      <w:pPr>
        <w:pStyle w:val="BookText"/>
        <w:rPr/>
      </w:pPr>
      <w:r>
        <w:rPr>
          <w:rFonts w:ascii="IRNazanin" w:hAnsi="IRNazanin" w:eastAsia="IRNazanin"/>
          <w:color w:val="111111"/>
          <w:sz w:val="28"/>
          <w:sz w:val="28"/>
          <w:szCs w:val="28"/>
          <w:rtl w:val="true"/>
          <w:lang w:bidi="fa-IR"/>
        </w:rPr>
        <w:t>واقعيّات مكتب اهل بيت عليهم السلام، با زبان و قلم، به بررسى و پاسخ گويى شبهات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دوران ما، يكى از دانشمندان و انديشمندانى كه با قلمى شيوا و بيانى رَسا به تبيين حقايق تابناك دين مبين اسلام و دفاع عالمانه از حريم امامت و ولايت امير مؤمنان على عليه السلام پرداخته است، پژوهشگر والامقام حضرت آيت اللّه سيّد على حسينى ميلانى،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حقايق اسلامى، افتخار دارد كه احياى آثار پُربار و گران سنگ آن محقّق نستوه را در دستور كار خود قرار داده و با تحقيق، ترجمه و نشر آثار معظّمٌ له، آن ها را در اختيار دانش پژوهان، فرهيختگان و تشنگان حقايق اسلامى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در پيش رو داريد، ترجمۀ يكى از آثار معظّمٌ له است كه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حقايق اسلامى آشنا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اين تلاش مورد خشنودى و پسند بقيّة اللّه الأعظم، حضرت ولىّ عصر، امام زمان عجل اللّه تعالى فرجه الشريف قرار گيرد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حقايق اسلامى</w:t>
      </w:r>
      <w:bookmarkStart w:id="10" w:name="pg7099_52688"/>
    </w:p>
    <w:p>
      <w:pPr>
        <w:pStyle w:val="BookText"/>
        <w:rPr/>
      </w:pPr>
      <w:bookmarkEnd w:id="10"/>
      <w:r>
        <w:rPr>
          <w:rFonts w:ascii="Amiri" w:hAnsi="Amiri" w:eastAsia="Amiri" w:cs="Amiri"/>
          <w:color w:val="111111"/>
          <w:sz w:val="28"/>
          <w:sz w:val="28"/>
          <w:szCs w:val="28"/>
          <w:rtl w:val="true"/>
          <w:lang w:bidi="ar-SA"/>
        </w:rPr>
        <w:t>الحمد للّه ربّ العالمين و الصّلاة و السّلام على محمّد وآله</w:t>
      </w:r>
    </w:p>
    <w:p>
      <w:pPr>
        <w:pStyle w:val="BookText"/>
        <w:rPr/>
      </w:pPr>
      <w:r>
        <w:rPr>
          <w:rFonts w:ascii="Amiri" w:hAnsi="Amiri" w:eastAsia="Amiri" w:cs="Amiri"/>
          <w:color w:val="111111"/>
          <w:sz w:val="28"/>
          <w:sz w:val="28"/>
          <w:szCs w:val="28"/>
          <w:rtl w:val="true"/>
          <w:lang w:bidi="ar-SA"/>
        </w:rPr>
        <w:t>الطّيبين الطاهرين ولعنة اللّه على أعدائهم أجمعين</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655042_372815092"/>
      <w:bookmarkStart w:id="12" w:name="_Toc4"/>
      <w:bookmarkEnd w:id="11"/>
      <w:r>
        <w:rPr>
          <w:rtl w:val="true"/>
        </w:rPr>
        <w:t>پيش گفتار</w:t>
      </w:r>
      <w:bookmarkEnd w:id="1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انديشمند و صاحب ايده اى ترويج و تبليغ انديشه ها و عقايد خود را حقّى طبيعى مى داند؛ پيشرفت و موفقيت در تبليغ يك باور، به تحقق شروط معينى بسته است، آن سان كه ترويج يك انديشه نيز، ابزارهاى خاص خود را مى طلبد؛ به ويژه در شرايطى كه ديدگاه هاى مختلف در برابر هم قرار گيرند و طرفداران هر ديدگاهى، به ترويج ديدگاه خود بپردازند كه در اين صورت، كشمكش عقيدتى و فكرى روى مى دهد؛ چرا كه هر يك از طرفداران ديدگاه هاى مختلف، صحّت عقيده و حقّ را از آنِ خود مى دانند و در صدد غلبه و سيطرۀ فكرى بر ديگران برمى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اصول و ابزارهاى پيروزى در ميدان كشمكش عقيدتى با اصول و ابزارهاى حاكم بر ميدان جنگ و رويارويى نظامى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پيش رو، قواعد بحث و آداب مناظره و گفت و گو ميان دانشمندان اسلام، پيرامون اصول دين؛ به ويژه بحث هاى امامت و خلافت را به صورت مختصر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پژوهش، قواعد و آداب مناظره از كتاب، سنّت و حكم عقل سليم، استنباط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براى محققان اين عرصه از علم سودمند باشد و توفيق همه از خداوند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حسينى ميلانى</w:t>
      </w:r>
      <w:bookmarkStart w:id="13" w:name="pg7099_52692"/>
    </w:p>
    <w:p>
      <w:pPr>
        <w:pStyle w:val="Heading2"/>
        <w:numPr>
          <w:ilvl w:val="1"/>
          <w:numId w:val="1"/>
        </w:numPr>
        <w:rPr/>
      </w:pPr>
      <w:bookmarkStart w:id="14" w:name="__RefHeading___Toc3655044_372815092"/>
      <w:bookmarkStart w:id="15" w:name="_Toc5"/>
      <w:bookmarkEnd w:id="13"/>
      <w:bookmarkEnd w:id="14"/>
      <w:r>
        <w:rPr>
          <w:rtl w:val="true"/>
        </w:rPr>
        <w:t>بخش يكم</w:t>
      </w:r>
      <w:r>
        <w:rPr>
          <w:rtl w:val="true"/>
        </w:rPr>
        <w:t xml:space="preserve">: </w:t>
      </w:r>
      <w:r>
        <w:rPr>
          <w:rtl w:val="true"/>
        </w:rPr>
        <w:t>نگاهى به علم جدل</w:t>
      </w:r>
      <w:bookmarkEnd w:id="15"/>
    </w:p>
    <w:p>
      <w:pPr>
        <w:pStyle w:val="Heading3"/>
        <w:numPr>
          <w:ilvl w:val="2"/>
          <w:numId w:val="1"/>
        </w:numPr>
        <w:rPr/>
      </w:pPr>
      <w:bookmarkStart w:id="16" w:name="__RefHeading___Toc3655046_37281509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عُقلا به عنوان اصحاب نظر و انديشه، براى كشمكش در اين عرصه، مرزهاى خاصى را تعيين نموده و براى پيروزى در آن، اصولى را بنيان نهاده اند كه معيار و ملاك پذيرش يا ردّ انديشه هاى ديگر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هاى منطق، مورد بررسى و بازنگرى قرار مى گيرد، در اثر تلاش هاى عقلا بنيان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علم يا صنعت، خوش سليقگى عقلا را نمايان مى سازد؛ چرا كه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پيوندى مستحكم با مقصود منطقى آن دارد</w:t>
      </w:r>
      <w:r>
        <w:rPr>
          <w:rFonts w:eastAsia="IRNazanin" w:cs="IRNazanin"/>
          <w:color w:val="111111"/>
          <w:sz w:val="28"/>
          <w:szCs w:val="28"/>
          <w:rtl w:val="true"/>
          <w:lang w:bidi="fa-IR"/>
        </w:rPr>
        <w:t>.</w:t>
      </w:r>
    </w:p>
    <w:p>
      <w:pPr>
        <w:pStyle w:val="Heading3"/>
        <w:numPr>
          <w:ilvl w:val="2"/>
          <w:numId w:val="1"/>
        </w:numPr>
        <w:rPr/>
      </w:pPr>
      <w:bookmarkStart w:id="18" w:name="__RefHeading___Toc3655048_372815092"/>
      <w:bookmarkStart w:id="19" w:name="_Toc7"/>
      <w:bookmarkEnd w:id="18"/>
      <w:r>
        <w:rPr>
          <w:rtl w:val="true"/>
        </w:rPr>
        <w:t>جدال در لغت</w:t>
      </w:r>
      <w:bookmarkEnd w:id="19"/>
    </w:p>
    <w:p>
      <w:pPr>
        <w:pStyle w:val="BookText"/>
        <w:rPr/>
      </w:pPr>
      <w:r>
        <w:rPr>
          <w:rFonts w:ascii="IRNazanin" w:hAnsi="IRNazanin" w:eastAsia="IRNazanin"/>
          <w:color w:val="111111"/>
          <w:sz w:val="28"/>
          <w:sz w:val="28"/>
          <w:szCs w:val="28"/>
          <w:rtl w:val="true"/>
          <w:lang w:bidi="fa-IR"/>
        </w:rPr>
        <w:t>راغب اصفهانى در واژه جدل مى گويد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المفاوضة على سبيل المنازعة والمغالبة وأصله من جدلت الحبل،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 فتله، ومنه الجديل، وجدلت البناء أحكمته، ودرع مجدولة، والأجدل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الحكم البنية</w:t>
      </w:r>
      <w:bookmarkStart w:id="20" w:name="pg7099_52693"/>
    </w:p>
    <w:p>
      <w:pPr>
        <w:pStyle w:val="BookText"/>
        <w:rPr/>
      </w:pPr>
      <w:bookmarkEnd w:id="20"/>
      <w:r>
        <w:rPr>
          <w:rFonts w:ascii="Amiri" w:hAnsi="Amiri" w:eastAsia="Amiri" w:cs="Amiri"/>
          <w:color w:val="111111"/>
          <w:sz w:val="28"/>
          <w:sz w:val="28"/>
          <w:szCs w:val="28"/>
          <w:rtl w:val="true"/>
          <w:lang w:bidi="ar-SA"/>
        </w:rPr>
        <w:t>والمجدل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المحكم البناء ومنه الجدال، فكأنّ المتجادلين يفتل كلّ واحدٍ الآخر عن رأيه؛</w:t>
      </w:r>
    </w:p>
    <w:p>
      <w:pPr>
        <w:pStyle w:val="BookText"/>
        <w:rPr/>
      </w:pPr>
      <w:r>
        <w:rPr>
          <w:rFonts w:ascii="IRNazanin" w:hAnsi="IRNazanin" w:eastAsia="IRNazanin"/>
          <w:color w:val="111111"/>
          <w:sz w:val="28"/>
          <w:sz w:val="28"/>
          <w:szCs w:val="28"/>
          <w:rtl w:val="true"/>
          <w:lang w:bidi="fa-IR"/>
        </w:rPr>
        <w:t>جدال به معناى مباحثۀ مبتنى بر نزاع و برترى 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تابيدن محكم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طناب تابيده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برگرفته از همين ريشه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ساختمان را مستحكم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دِرعٌ مجدولَة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زره مستحكم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باز شكارى و قوى پنجه اطلاق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كاخ مستحكم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و بدين معناست كه هر يك از دو طرف مجادله، هم ديگر را از ديدگاه هاى سابق خود، منصرف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 اصفهانى در ادامه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جدال، كشمكش و مبارزه است كه طى آن يكى از دو طرف، ديگرى را بر روى جداله؛ يعنى زمين سخت، مى اندازد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فى 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655050_372815092"/>
      <w:bookmarkStart w:id="22" w:name="_Toc8"/>
      <w:bookmarkEnd w:id="21"/>
      <w:r>
        <w:rPr>
          <w:rtl w:val="true"/>
        </w:rPr>
        <w:t>جدال در قرآن</w:t>
      </w:r>
      <w:bookmarkEnd w:id="22"/>
    </w:p>
    <w:p>
      <w:pPr>
        <w:pStyle w:val="Heading4"/>
        <w:numPr>
          <w:ilvl w:val="3"/>
          <w:numId w:val="1"/>
        </w:numPr>
        <w:rPr/>
      </w:pPr>
      <w:bookmarkStart w:id="23" w:name="__RefHeading___Toc3655052_372815092"/>
      <w:bookmarkStart w:id="24" w:name="_Toc9"/>
      <w:bookmarkEnd w:id="23"/>
      <w:r>
        <w:rPr>
          <w:rtl w:val="true"/>
        </w:rPr>
        <w:t>اشاره</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اديان آسمانى، اسلوب جدال را پذيرفته اند و پيامبران پيشين،</w:t>
      </w:r>
    </w:p>
    <w:p>
      <w:pPr>
        <w:pStyle w:val="BookText"/>
        <w:rPr/>
      </w:pPr>
      <w:r>
        <w:rPr>
          <w:rFonts w:ascii="IRNazanin" w:hAnsi="IRNazanin" w:eastAsia="IRNazanin"/>
          <w:color w:val="111111"/>
          <w:sz w:val="28"/>
          <w:sz w:val="28"/>
          <w:szCs w:val="28"/>
          <w:rtl w:val="true"/>
          <w:lang w:bidi="fa-IR"/>
        </w:rPr>
        <w:t>جدال را به عنوان يكى از روش هاى تبليغى به كار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جدال پيامبران، در قرآن آمده است كه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پيامبر اسلام صلى اللّه عليه وآله به پيامبرى مبعوث شد از سوى خداى متعال اين گونه مورد خطاب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هاى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مژده دهنده و بيم دهنده فرستاديم و تو را دعوت كننده به سوى خدا به فرمان او و چراغى روشنى بخش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خداى متعال چگونگى و ابزار دعوت را براى پيامبر صلى اللّه عليه وآله مشخص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حكمت و برهان و موعظۀ نيكو به راه خدا فرا خوان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ادامه به پيامبر صلى اللّه عليه وآله دستور مى دهد كه در صورت مجادلۀ مشركان، با آن ها به جدال برخيز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آن ها به بهترين طريق، مجادله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اين كه نخستين وظيفۀ پيامبر صلى اللّه عليه وآله همان ابلاغ پيام و دعوت به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صورتى كه كسى باشد كه حكمت در او تأثير كند، بايد از آن بهره گيرد و اگر از عموم مردم باشد، بايد او را از طريق نصيحت و موعظۀ نيكو به اسلام فرا خواند و اگر در ميان مردم، افرادى باشند كه در مقابل پيامبر خدا صلى اللّه عليه وآله بايستند و در صدد غلبه بر آن حضرت برآيند، ناگزير بايد راه جدال در پيش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مى رود كه آيۀ مذكور، اهل كتاب را نشانه رفته باشد، چنان كه در آيۀ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با اهل كتاب، جز به نيكوترين روش مجادله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آن چه گذشت، روشن مى شود كه جدال، گاه حق و گاه باطل است، چنان كه خداوند متعال مى فرمايد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وَيُجادِلُ الَّذينَ كَفَرُوا بِالْباطِلِ لِيُدْحِضُوا بِهِ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bookmarkStart w:id="25" w:name="pg7099_52696"/>
    </w:p>
    <w:p>
      <w:pPr>
        <w:pStyle w:val="BookText"/>
        <w:rPr/>
      </w:pPr>
      <w:bookmarkEnd w:id="25"/>
      <w:r>
        <w:rPr>
          <w:rFonts w:ascii="IRNazanin" w:hAnsi="IRNazanin" w:eastAsia="IRNazanin"/>
          <w:color w:val="111111"/>
          <w:sz w:val="28"/>
          <w:sz w:val="28"/>
          <w:szCs w:val="28"/>
          <w:rtl w:val="true"/>
          <w:lang w:bidi="fa-IR"/>
        </w:rPr>
        <w:t>كفرورزان با سخنان بيهوده و باطل مجادله مى كنند تا حق را به وسيله آن پايمال كنند</w:t>
      </w:r>
      <w:r>
        <w:rPr>
          <w:rFonts w:eastAsia="IRNazanin" w:cs="IRNazanin"/>
          <w:color w:val="111111"/>
          <w:sz w:val="28"/>
          <w:szCs w:val="28"/>
          <w:rtl w:val="true"/>
          <w:lang w:bidi="fa-IR"/>
        </w:rPr>
        <w:t>.</w:t>
      </w:r>
    </w:p>
    <w:p>
      <w:pPr>
        <w:pStyle w:val="Heading4"/>
        <w:numPr>
          <w:ilvl w:val="3"/>
          <w:numId w:val="1"/>
        </w:numPr>
        <w:rPr/>
      </w:pPr>
      <w:bookmarkStart w:id="26" w:name="__RefHeading___Toc3655054_372815092"/>
      <w:bookmarkStart w:id="27" w:name="_Toc10"/>
      <w:bookmarkEnd w:id="26"/>
      <w:r>
        <w:rPr>
          <w:rtl w:val="true"/>
        </w:rPr>
        <w:t>قرآن كريم و تعليم روش استدلال</w:t>
      </w:r>
      <w:bookmarkEnd w:id="27"/>
    </w:p>
    <w:p>
      <w:pPr>
        <w:pStyle w:val="BookText"/>
        <w:rPr/>
      </w:pPr>
      <w:r>
        <w:rPr>
          <w:rFonts w:ascii="IRNazanin" w:hAnsi="IRNazanin" w:eastAsia="IRNazanin"/>
          <w:color w:val="111111"/>
          <w:sz w:val="28"/>
          <w:sz w:val="28"/>
          <w:szCs w:val="28"/>
          <w:rtl w:val="true"/>
          <w:lang w:bidi="fa-IR"/>
        </w:rPr>
        <w:t>خداوند متعال در برخى آيات قرآن، روش استدلال را به پيامبر اكرم صلى اللّه عليه وآله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سوره يس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هاى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ما مَثَلى زد و آفرينش خود را از ياد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كه اين استخوان هاى پوسيده را زنده مى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آن ها را زنده مى كند كه نخستين بار آن ها را حيات بخشيد و او به هر آفرينشى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براى شما از درخت سبز آتش قرار داد تا وقتى بخواهيد از آن آتش بيفروزيد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آسمان ها و زمين را آفريده، قادر نيست همانند آنان را بيافريند؟</w:t>
      </w:r>
    </w:p>
    <w:p>
      <w:pPr>
        <w:pStyle w:val="BookText"/>
        <w:rPr/>
      </w:pPr>
      <w:r>
        <w:rPr>
          <w:rFonts w:ascii="IRNazanin" w:hAnsi="IRNazanin" w:eastAsia="IRNazanin"/>
          <w:color w:val="111111"/>
          <w:sz w:val="28"/>
          <w:sz w:val="28"/>
          <w:szCs w:val="28"/>
          <w:rtl w:val="true"/>
          <w:lang w:bidi="fa-IR"/>
        </w:rPr>
        <w:t>آرى، البته قادر است و او آفرينندۀ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چنين است كه هر گاه چيزى را اراده كند به محض 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فورى،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 و منزّه است خدايى كه مالكيّت هر موجودى به دست قدرت اوست و به سوى او باز گردانده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بقره نيز اين گونه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يَدْخُلَ الْجَنَّةَ إِلّا مَنْ كانَ هُودًا أَوْ نَصارى تِلْكَ أَمانِيُّهُمْ قُلْ هاتُوا بُرْهانَكُمْ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جز يهود و نصارا به بهشت داخل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آرزوى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برهان خود را بياوريد، اگر راست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از سورۀ بقره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سراى آخرت را تنها براى شما اختصاص داده نه به ديگر مردم، پس تمنّاى مرگ كنيد اگر راست مى گوييد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 مائده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وَأُمَّهُ وَمَنْ فِي اْلأَرْضِ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مُلْكُ السَّماواتِ وَاْلأَرْضِ وَما بَيْنَهُما يَخْلُقُ ما يَشاءُ وَاللّهُ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كافر شدند آن هايى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 همان مسيح بن مريم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قدرت مى تواند كسى را از قهر و قدرت خدا نگه دارد، اگر بخواهد عيسى بن مريم و نيز مادرش مريم و هر كه در روى زمين است همه را هلاك گرداند؟ آسمان ها و زمين و هر چه در بين آن هاست همه ملك خداست و هرچه را بخواهد مى آفريند و خدا بر هر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از سوره مائده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 بَلْ أَنْتُمْ بَشَرٌ مِمَّنْ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خدا و دوستان او هستيم؛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چرا شما را به گناهانتان عذاب مى كند؛ بلكه شما بشرى هستيد از آفريدگان او</w:t>
      </w:r>
      <w:r>
        <w:rPr>
          <w:rFonts w:eastAsia="IRNazanin" w:cs="IRNazanin"/>
          <w:color w:val="111111"/>
          <w:sz w:val="28"/>
          <w:szCs w:val="28"/>
          <w:rtl w:val="true"/>
          <w:lang w:bidi="fa-IR"/>
        </w:rPr>
        <w:t>....</w:t>
      </w:r>
      <w:bookmarkStart w:id="28" w:name="pg7099_52699"/>
    </w:p>
    <w:p>
      <w:pPr>
        <w:pStyle w:val="BookText"/>
        <w:rPr/>
      </w:pPr>
      <w:bookmarkEnd w:id="28"/>
      <w:r>
        <w:rPr>
          <w:rFonts w:ascii="Amiri" w:hAnsi="Amiri" w:eastAsia="Amiri" w:cs="Amiri"/>
          <w:color w:val="111111"/>
          <w:sz w:val="28"/>
          <w:sz w:val="28"/>
          <w:szCs w:val="28"/>
          <w:rtl w:val="true"/>
          <w:lang w:bidi="ar-SA"/>
        </w:rPr>
        <w:t>در سورۀ انعام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نَدْعُوا مِنْ دُونِ اللّهِ ما لايَنْفَعُنا وَلا يَضُرُّنا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 چيزى را بخوانيم كه نه سودى به حال ما دارد و نه زيانى به ما مى رساند؟</w:t>
      </w:r>
    </w:p>
    <w:p>
      <w:pPr>
        <w:pStyle w:val="BookText"/>
        <w:rPr/>
      </w:pPr>
      <w:r>
        <w:rPr>
          <w:rFonts w:ascii="Amiri" w:hAnsi="Amiri" w:eastAsia="Amiri" w:cs="Amiri"/>
          <w:color w:val="111111"/>
          <w:sz w:val="28"/>
          <w:sz w:val="28"/>
          <w:szCs w:val="28"/>
          <w:rtl w:val="true"/>
          <w:lang w:bidi="ar-SA"/>
        </w:rPr>
        <w:t>در سورۀ انبيا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اتَّخَذُوا آلِهَةً مِنَ اْلأَرْضِ هُمْ يُنْشِرُونَ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آلِهَةً قُلْ هاتُوا بُرْهانَكُمْ هذا ذِكْرُ مَنْ مَعِيَ وَذِكْرُ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آيا آن ها معبودهايى از همين زمين برگزيدند و آن ها را جان آفرين پندارند كه اگر در آسمان و زمين جز خداى يكتا، خدايان ديگرى بود همانا نظام جهان هستى به هم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ها معبودهايى جز او برگزيدند؟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برهانتان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همراهان من و سخن كسانى است كه پيش از من بودند</w:t>
      </w:r>
      <w:r>
        <w:rPr>
          <w:rFonts w:eastAsia="IRNazanin" w:cs="IRNazanin"/>
          <w:color w:val="111111"/>
          <w:sz w:val="28"/>
          <w:szCs w:val="28"/>
          <w:rtl w:val="true"/>
          <w:lang w:bidi="fa-IR"/>
        </w:rPr>
        <w:t>....</w:t>
      </w:r>
    </w:p>
    <w:p>
      <w:pPr>
        <w:pStyle w:val="Heading4"/>
        <w:numPr>
          <w:ilvl w:val="3"/>
          <w:numId w:val="1"/>
        </w:numPr>
        <w:rPr/>
      </w:pPr>
      <w:bookmarkStart w:id="29" w:name="__RefHeading___Toc3655056_372815092"/>
      <w:bookmarkStart w:id="30" w:name="_Toc11"/>
      <w:bookmarkEnd w:id="29"/>
      <w:r>
        <w:rPr>
          <w:rtl w:val="true"/>
        </w:rPr>
        <w:t>قرآن كريم و استدلال هاى پيامبران پيشين</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موارد بسيارى از مجادلات و استدلال هاى پيامبران پيشين، در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خداى متعال دربارۀ</w:t>
      </w:r>
    </w:p>
    <w:p>
      <w:pPr>
        <w:pStyle w:val="BookText"/>
        <w:rPr/>
      </w:pPr>
      <w:r>
        <w:rPr>
          <w:rFonts w:ascii="IRNazanin" w:hAnsi="IRNazanin" w:eastAsia="IRNazanin"/>
          <w:color w:val="111111"/>
          <w:sz w:val="28"/>
          <w:sz w:val="28"/>
          <w:szCs w:val="28"/>
          <w:rtl w:val="true"/>
          <w:lang w:bidi="fa-IR"/>
        </w:rPr>
        <w:t>سرگذشت حضرت ابراهيم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نديدى كسى كه خدا حكومتى به او داده بود با ابراهيم درباره پروردگارش جدل و گفت و گو كرد؛ آن گاه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كسى است كه زنده مى كند و مى ميراند؛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زنده مى كنم و مى ميرانم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خورشيد را از طرف مشرق مى آورد، تو آن را از مغرب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كافر، بهت زده از پاسخ واماند و خداوند ستمكاران را راهنمايى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جاى ديگرى مى 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وَحاجَّهُ قَوْمُهُ قالَ أَ تُحاجُّونّي فِي اللّهِ وَقَدْ هَدانِ وَلا أَخافُ ما تُشْرِكُونَ بِهِ إِلّا أَنْ يَشاءَ رَبّي شَيْئًا وَسِعَ رَبّي كُلَّ شَيْءٍ عِلْمًا أَ فَلا تَتَذَكَّرُونَ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به گفت و گو و ستيز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درباره خدا گفت و گو مى كنيد؟ و حال آن كه به واقع خدا مرا هدايت كرده و از آن چه شما شريك او مى خوانيد هيچ بيمى ندارم مگر آن كه پروردگارم چيزى بخواهد، آگاهى پروردگار من همه چيز را دربرمى گيرد؛ آيا شما متذكر اين حقيقت نمى شويد؟</w:t>
      </w:r>
    </w:p>
    <w:p>
      <w:pPr>
        <w:pStyle w:val="BookText"/>
        <w:rPr/>
      </w:pPr>
      <w:r>
        <w:rPr>
          <w:rFonts w:ascii="Amiri" w:hAnsi="Amiri" w:eastAsia="Amiri" w:cs="Amiri"/>
          <w:color w:val="111111"/>
          <w:sz w:val="28"/>
          <w:sz w:val="28"/>
          <w:szCs w:val="28"/>
          <w:rtl w:val="true"/>
          <w:lang w:bidi="ar-SA"/>
        </w:rPr>
        <w:t>در سورۀ انبيا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ءَ أَنْتَ فَعَلْتَ هذا بِآلِهَتِنا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فَسْئَلُوهُمْ إِنْ كانُوا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رُؤُسِهِمْ لَقَدْ عَلِمْتَ ما هؤُلاءِ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لايَنْفَعُكُمْ شَيْئًا وَلا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وَلِما تَعْبُدُونَ مِنْ دُونِ اللّهِ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هاى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اين كار را با خدايان ما چنين كرده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كار را بزرگ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بپرسيد اگر سخن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خود فكر كردند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شما ستمكاريد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همه سر به زير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اين ها سخن نمى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خداى يكتا چيزى را مى پرستيد كه نه سودى براى شما دارد و نه زيانى به شما مى رساند؟ اف بر شما و بر آن چه جز خداى يكتا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انديشيد؟</w:t>
      </w:r>
    </w:p>
    <w:p>
      <w:pPr>
        <w:pStyle w:val="BookText"/>
        <w:rPr/>
      </w:pPr>
      <w:r>
        <w:rPr>
          <w:rFonts w:ascii="IRNazanin" w:hAnsi="IRNazanin" w:eastAsia="IRNazanin"/>
          <w:color w:val="111111"/>
          <w:sz w:val="28"/>
          <w:sz w:val="28"/>
          <w:szCs w:val="28"/>
          <w:rtl w:val="true"/>
          <w:lang w:bidi="fa-IR"/>
        </w:rPr>
        <w:t>هم چنين در مورد حضرت نوح عليه السلام در قرآن كريم اين گونه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 رَأَيْتُمْ إِنْ كُنْتُ عَلى بَيِّنَةٍ مِنْ رَبّي وَآتاني رَحْمَةً مِنْ عِنْدِهِ فَعُمِّيَتْ عَلَيْكُمْ أَ نُلْزِمُكُمُوها وَأَنْتُمْ لَها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نُوحُ قَدْ جادَلْتَنا فَأَكْثَرْتَ جِدالَنا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هاى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از پروردگار داشته باشم و از نزد خود حجتى به من داده باشد و بر شما پوشيده مانده، آيا ما مى توانيم شما را به پذيرش آن مجبور سازيم با اين كه شما كراهت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گفت و گو و جدل بسيار كردى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درباره ديگر پيامبران نيز، آيات مشابهى در قرآن كريم يافت مى شود</w:t>
      </w:r>
      <w:r>
        <w:rPr>
          <w:rFonts w:eastAsia="IRNazanin" w:cs="IRNazanin"/>
          <w:color w:val="111111"/>
          <w:sz w:val="28"/>
          <w:szCs w:val="28"/>
          <w:rtl w:val="true"/>
          <w:lang w:bidi="fa-IR"/>
        </w:rPr>
        <w:t>.</w:t>
      </w:r>
      <w:bookmarkStart w:id="31" w:name="pg7099_52703"/>
    </w:p>
    <w:p>
      <w:pPr>
        <w:pStyle w:val="Heading4"/>
        <w:numPr>
          <w:ilvl w:val="3"/>
          <w:numId w:val="1"/>
        </w:numPr>
        <w:rPr/>
      </w:pPr>
      <w:bookmarkStart w:id="32" w:name="__RefHeading___Toc3655058_372815092"/>
      <w:bookmarkStart w:id="33" w:name="_Toc12"/>
      <w:bookmarkEnd w:id="31"/>
      <w:bookmarkEnd w:id="32"/>
      <w:r>
        <w:rPr>
          <w:rtl w:val="true"/>
        </w:rPr>
        <w:t>جدل حق</w:t>
      </w:r>
      <w:r>
        <w:rPr>
          <w:rtl w:val="true"/>
        </w:rPr>
        <w:t xml:space="preserve">: </w:t>
      </w:r>
      <w:r>
        <w:rPr>
          <w:rtl w:val="true"/>
        </w:rPr>
        <w:t>استفاده از حجّت معتبر</w:t>
      </w:r>
      <w:bookmarkEnd w:id="33"/>
    </w:p>
    <w:p>
      <w:pPr>
        <w:pStyle w:val="BookText"/>
        <w:rPr/>
      </w:pPr>
      <w:r>
        <w:rPr>
          <w:rFonts w:ascii="Amiri" w:hAnsi="Amiri" w:eastAsia="Amiri" w:cs="Amiri"/>
          <w:color w:val="111111"/>
          <w:sz w:val="28"/>
          <w:sz w:val="28"/>
          <w:szCs w:val="28"/>
          <w:rtl w:val="true"/>
          <w:lang w:bidi="ar-SA"/>
        </w:rPr>
        <w:t xml:space="preserve">خداوند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 عارى از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 ما هُمْ بِبالِغيهِ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در آيات خدا بدون دليل و برهانى كه براى آن ها آمده باشد، ستيزه جويى مى كنند جز تكبّر، چيزى در دل ندارند كه به خواسته دل خود نخواهند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حجّت، دل ها را به سيطره و تسلّط خود وامى دارد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از آن چه گذشت، روشن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بايد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صورتى دل ها را تسخير مى كند كه به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بهترين 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شود؛ به همين جهت است كه خداوند، استفاده از نيكوترين روش را</w:t>
      </w:r>
    </w:p>
    <w:p>
      <w:pPr>
        <w:pStyle w:val="BookText"/>
        <w:rPr/>
      </w:pPr>
      <w:r>
        <w:rPr>
          <w:rFonts w:ascii="Amiri" w:hAnsi="Amiri" w:eastAsia="Amiri" w:cs="Amiri"/>
          <w:color w:val="111111"/>
          <w:sz w:val="28"/>
          <w:sz w:val="28"/>
          <w:szCs w:val="28"/>
          <w:rtl w:val="true"/>
          <w:lang w:bidi="ar-SA"/>
        </w:rPr>
        <w:t>توصيه مى كند و همين طريق، به آداب بحث، مناظره و جدل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در منابع تفسيرى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نيكوترين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تفسير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نتيجه بخش تر و سودمندتر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عبارات نزديك به اين عبارت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الكشّاف</w:t>
      </w:r>
      <w:r>
        <w:rPr>
          <w:rFonts w:eastAsia="IRNazanin" w:cs="IRNazanin"/>
          <w:color w:val="111111"/>
          <w:sz w:val="28"/>
          <w:szCs w:val="28"/>
          <w:rtl w:val="true"/>
          <w:lang w:bidi="fa-IR"/>
        </w:rPr>
        <w:t xml:space="preserve">: </w:t>
      </w:r>
      <w:r>
        <w:rPr>
          <w:rFonts w:eastAsia="IRNazanin" w:cs="IRNazanin"/>
          <w:color w:val="111111"/>
          <w:sz w:val="28"/>
          <w:szCs w:val="28"/>
          <w:lang w:bidi="fa-IR"/>
        </w:rPr>
        <w:t>435/2</w:t>
      </w:r>
      <w:r>
        <w:rPr>
          <w:rFonts w:ascii="IRNazanin" w:hAnsi="IRNazanin" w:eastAsia="IRNazanin"/>
          <w:color w:val="111111"/>
          <w:sz w:val="28"/>
          <w:sz w:val="28"/>
          <w:szCs w:val="28"/>
          <w:rtl w:val="true"/>
          <w:lang w:bidi="fa-IR"/>
        </w:rPr>
        <w:t>، تفسير البحرالمحيط</w:t>
      </w:r>
      <w:r>
        <w:rPr>
          <w:rFonts w:eastAsia="IRNazanin" w:cs="IRNazanin"/>
          <w:color w:val="111111"/>
          <w:sz w:val="28"/>
          <w:szCs w:val="28"/>
          <w:rtl w:val="true"/>
          <w:lang w:bidi="fa-IR"/>
        </w:rPr>
        <w:t xml:space="preserve">: </w:t>
      </w:r>
      <w:r>
        <w:rPr>
          <w:rFonts w:eastAsia="IRNazanin" w:cs="IRNazanin"/>
          <w:color w:val="111111"/>
          <w:sz w:val="28"/>
          <w:szCs w:val="28"/>
          <w:lang w:bidi="fa-IR"/>
        </w:rPr>
        <w:t>549/5</w:t>
      </w:r>
      <w:r>
        <w:rPr>
          <w:rFonts w:ascii="IRNazanin" w:hAnsi="IRNazanin" w:eastAsia="IRNazanin"/>
          <w:color w:val="111111"/>
          <w:sz w:val="28"/>
          <w:sz w:val="28"/>
          <w:szCs w:val="28"/>
          <w:rtl w:val="true"/>
          <w:lang w:bidi="fa-IR"/>
        </w:rPr>
        <w:t>، تفسير الطبرى</w:t>
      </w:r>
      <w:r>
        <w:rPr>
          <w:rFonts w:eastAsia="IRNazanin" w:cs="IRNazanin"/>
          <w:color w:val="111111"/>
          <w:sz w:val="28"/>
          <w:szCs w:val="28"/>
          <w:rtl w:val="true"/>
          <w:lang w:bidi="fa-IR"/>
        </w:rPr>
        <w:t xml:space="preserve">: </w:t>
      </w:r>
      <w:r>
        <w:rPr>
          <w:rFonts w:eastAsia="IRNazanin" w:cs="IRNazanin"/>
          <w:color w:val="111111"/>
          <w:sz w:val="28"/>
          <w:szCs w:val="28"/>
          <w:lang w:bidi="fa-IR"/>
        </w:rPr>
        <w:t>141/10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تفسير، تفسيرى صحيح است كه با موارد استعمال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نيكوترين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تناسب دارد، چنان كه در موردى اين واژه به همين معنا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جايى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مال يتيم، نزديك نشويد مگر به نيكوترين روش تا آن كه به حدّ بلوغ برسد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معنا كه بايد به گونه اى، به مال يتيم نزديك شويد كه براى او سودمندتر باشد</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در سوره اسراء نيز به همين معنا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كه مى فرمايد</w:t>
      </w:r>
      <w:r>
        <w:rPr>
          <w:rFonts w:eastAsia="Amiri" w:cs="Amiri" w:ascii="Amiri" w:hAnsi="Amiri"/>
          <w:color w:val="111111"/>
          <w:sz w:val="28"/>
          <w:szCs w:val="28"/>
          <w:rtl w:val="true"/>
          <w:lang w:bidi="ar-SA"/>
        </w:rPr>
        <w:t>:</w:t>
      </w:r>
      <w:bookmarkStart w:id="34" w:name="pg7099_52705"/>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لِعِبادي يَقُولُوا الَّتي هِيَ أَحْسَنُ إِنَّ الشَّيْطانَ يَنْزَغُ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سخن بهتر را بر زبان آرند؛ چرا كه شيطان ميان آن ها فتنه و فساد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معنا كه مؤمنان بايد به گونه اى با مشركان سخن بگويند كه اهداف شيطان مبنى بر وقوع درگيرى ميان مؤمنان و مشركان، محقّق نشود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بنابراين، خداوند متعال از مؤمنان مى خواهد كه جدال خود را به امورى مجهّز كنند كه آنان را در استدلال، قانع كردن دشمنان و پيروزى حق بر باطل، يارى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شرع و عقل، جدالى را مى پذيرند كه با حجّت معتبر و رعايت آداب مجادله باشد</w:t>
      </w:r>
      <w:r>
        <w:rPr>
          <w:rFonts w:eastAsia="IRNazanin" w:cs="IRNazanin"/>
          <w:color w:val="111111"/>
          <w:sz w:val="28"/>
          <w:szCs w:val="28"/>
          <w:rtl w:val="true"/>
          <w:lang w:bidi="fa-IR"/>
        </w:rPr>
        <w:t>....</w:t>
      </w:r>
    </w:p>
    <w:p>
      <w:pPr>
        <w:pStyle w:val="Heading4"/>
        <w:numPr>
          <w:ilvl w:val="3"/>
          <w:numId w:val="1"/>
        </w:numPr>
        <w:rPr/>
      </w:pPr>
      <w:bookmarkStart w:id="35" w:name="__RefHeading___Toc3655060_372815092"/>
      <w:bookmarkStart w:id="36" w:name="_Toc13"/>
      <w:bookmarkEnd w:id="35"/>
      <w:r>
        <w:rPr>
          <w:rtl w:val="true"/>
        </w:rPr>
        <w:t>حجّت معتبر</w:t>
      </w:r>
      <w:r>
        <w:rPr>
          <w:rtl w:val="true"/>
        </w:rPr>
        <w:t xml:space="preserve">: </w:t>
      </w:r>
      <w:r>
        <w:rPr>
          <w:rtl w:val="true"/>
        </w:rPr>
        <w:t>كتاب و سنّت</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معتبر مى دانند؛ به گونه اى كه مسلمانان در همۀ مسائل اختلافى و بحث برانگيز، به كتاب و سنّت، رجوع مى كنند؛ اين روش عمل به دستور خداوند متعال است،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در امرى نزاع داشتيد، حكم آن را به خدا و رسول بازگردانيد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پروردگارت سوگند كه آن ها ايمان نخواهند آورد مگر اين كه در خصومت و نزاعشان تنها تو را به داورى طلبند و آن گاه از داورى تو هيچ گونه اعتراضى در دل نداشته باشند و به طور كامل تسليم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از قرآن كريم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هيچ مرد و زن مؤمنى حق ندارد آن گاه كه خدا و رسول او به امرى حكم كنند اختيارى داشته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امّت اسلامى بايد تمامى نزاع ها و اختلافات خود را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دهند و هيچ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كارى كه خدا و رسول او حكم كنند، اراده و اختيارى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پيامبر را داور قرار دهند و درباره حكم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اعتراضى در دل نداشته باشند و به طور كامل، تسليم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رجوع به قرآن كريم، آن چنان روشن است كه نمى توان در مورد آن ترديدى به دل راه داد؛ چرا كه به تعبير قرآن، اين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عَرَبِيٌّ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عربى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در صورت امكانِ فهم معانى الفاظ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طريق مراجعه به فرهنگ هاى لغت و كتاب هاى مخصوص شرح معانى الفاظ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قرآن رجوع نمود و هم چنين، بايد سنّت پيامبر اكرم صلى اللّه عليه 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هدايت امّت مبعوث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عمل قرار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مسلمانان به سنّت معتبر نبوى، نيازمند هستند؛ چرا كه سنّت نبوى، دومين منبع حقّ و حقيقت به شمار مى آيد و براى فهم الفاظ مبهم قرآنى، شناخت قيود يك عبارت مطلق، يا تخصيص زننده هايى كه در مورد آيات در ظاهر عام وجود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بايد به سنّت نبوى رجوع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كتاب و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عرصۀ جدال به شمار مى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هيچ ترديدى در حجّيت كتاب وجود ندارد و مسلمانان در تصديق كتاب و احتجاج به آن در اختلافات،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حجّيت سنّت و لزوم تصديق و احتجاج به آن در همۀ مسائل، مورد اجماع و اتفاق نظر مسلمانان است، اما همان گونه كه روشن است مسلمانان در شيوۀ اثبات سنّت، با يك ديگر اختلاف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آن بخش از سنّت نبوى احتجاج نمايد كه براى طرف مقابل، حجيّت داشته باشد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ديگر، احتجاج مسلمانان با يك ديگر در بيشتر موارد با محوريت قرآن و سنّت، انجام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قرآن، مورد اجماع و اتفاق نظر همۀ مسلمانان است، امّا در مورد سنّت، اين چنين نيست؛ به گونه اى كه بخش هايى از سنّت، مورد تصديق همۀ مسلمانان است و مرجع حل اختلافات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بخش هاى ديگرى از سنّت، محل اختلاف است كه در اين حالت، هر يك از فرقه هاى اسلامى بايد به بخش هاى مورد تأييد طرف مقابل، احتجاج نمايند؛ چرا كه در غير اين صورت احتجاج آنان، حجّت معتبر، تلقّى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همۀ مسلمانان به اين مسأله اذعان دارند كه در اين جا به ذكر اظهارات يكى از علماى مشهور، بسنده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حزم اندلسى درباره احتجاج اهل سنّت عليه اماميّه مى نوسيد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نبايد در احتجاج عليه شيعيان از روايات اهل سنّت، استفاده نمود؛ چرا كه آنان، روايات ما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احتجاج شيعيان عليه ما در پرتو روايات شيعى، معنايى ندارد؛ زيرا كه ما روايات آنان را قبول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طرف هاى منازعه بايد به امورى احتجاج كنند كه طرف مقابل، آن را قبول داشته باشد؛ خواه خود احتجاج كننده، آن امور را باور داشته و خواه، باور نداشته باشد؛ زيرا لازمۀ تصديق يك امر، باور داشتن آن يا باور داشتن به امرى است كه علم يقينى آن را موجب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تمسّك يك فرد به اعتقادات باطل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پذيرش نادرستى باور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لجاجت و افسار گسيختگى وى محسوب مى گردد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فى الملل والأهواء والنحل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لاحتجاجنا عليهم برواياتنا، فهم لا يصدّقونها، ولا معنى لاحتجاجهم علينا برواياتهم، فنحن لا نصدّقها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معتبرى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bookmarkStart w:id="37" w:name="pg7099_52710"/>
    </w:p>
    <w:p>
      <w:pPr>
        <w:pStyle w:val="Heading3"/>
        <w:numPr>
          <w:ilvl w:val="2"/>
          <w:numId w:val="1"/>
        </w:numPr>
        <w:rPr/>
      </w:pPr>
      <w:bookmarkStart w:id="38" w:name="__RefHeading___Toc3655062_372815092"/>
      <w:bookmarkStart w:id="39" w:name="_Toc14"/>
      <w:bookmarkEnd w:id="37"/>
      <w:bookmarkEnd w:id="38"/>
      <w:r>
        <w:rPr>
          <w:rtl w:val="true"/>
        </w:rPr>
        <w:t>نگاهى به آداب مناظره و جدل</w:t>
      </w:r>
      <w:bookmarkEnd w:id="39"/>
    </w:p>
    <w:p>
      <w:pPr>
        <w:pStyle w:val="BookText"/>
        <w:rPr/>
      </w:pPr>
      <w:r>
        <w:rPr>
          <w:rFonts w:ascii="Amiri" w:hAnsi="Amiri" w:eastAsia="Amiri" w:cs="Amiri"/>
          <w:color w:val="111111"/>
          <w:sz w:val="28"/>
          <w:sz w:val="28"/>
          <w:szCs w:val="28"/>
          <w:rtl w:val="true"/>
          <w:lang w:bidi="ar-SA"/>
        </w:rPr>
        <w:t>در جدلِ مبتنى بر حقيقت كاوى و حق طلبى، هر دو طرف منازعه علاوه بر استفاده از حجّت معتبر، بايد آداب مناظره و جدل را مراعات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مهم ترين آداب مناظره را كه در قرآن كريم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 اشاره شده، بيان مى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بحث و جدل نوشتارى باشد رعايت آداب ذيل ضرورى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طرف، بايد با رعايت كامل مدارا، آرامش و وقار، ديدگاه و حجّت معتبر خود را ارائه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دو طرف، بايستى از الفاظ روشن و عبارات زيبا براى بيان مقصود خود استفاده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طرف، بايستى ازبد گويى و دشنام 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طرف، بايد از روش هاى پيچيده و خروج از موضوع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سازمان فكرى طرف مقابل را به هم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طرف، بايد از افزودن يا كاستن از سخنان طرف مقابل، بپرهيزند و از انتساب باورها يا حجّت هاى موهوم به وى،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گفتارى بودن بحث و جدل، آداب ديگرى نيز بدان افزوده مى گردد از جمله اين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طرفين مناظره نبايد سخن يك ديگر را قطع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طرفين نبايد صداى خود را بيش از حدّ معمول بالا ببرند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چه كه گذشت، روشن مى شود كه جدل به دو نوع حق و باطل، تقسيم مى شود و جدل حق، بدين معناست كه ضمن رعايت آداب و اخلاق والاى نيكو، از حجّت معتبر و مورد قبول دو طرف يا طرف مقابل نيز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پرسش ها مطرح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علمِ جدل، همان علم مناظره است؟</w:t>
      </w:r>
    </w:p>
    <w:p>
      <w:pPr>
        <w:pStyle w:val="BookText"/>
        <w:rPr/>
      </w:pPr>
      <w:r>
        <w:rPr>
          <w:rFonts w:ascii="IRNazanin" w:hAnsi="IRNazanin" w:eastAsia="IRNazanin"/>
          <w:color w:val="111111"/>
          <w:sz w:val="28"/>
          <w:sz w:val="28"/>
          <w:szCs w:val="28"/>
          <w:rtl w:val="true"/>
          <w:lang w:bidi="fa-IR"/>
        </w:rPr>
        <w:t>آيا علمِ جدل، در پى كشف راه هاى ابطال و نقض استدلال هاى رقيب است؟</w:t>
      </w:r>
    </w:p>
    <w:p>
      <w:pPr>
        <w:pStyle w:val="BookText"/>
        <w:rPr/>
      </w:pPr>
      <w:r>
        <w:rPr>
          <w:rFonts w:ascii="Amiri" w:hAnsi="Amiri" w:eastAsia="Amiri" w:cs="Amiri"/>
          <w:color w:val="111111"/>
          <w:sz w:val="28"/>
          <w:sz w:val="28"/>
          <w:szCs w:val="28"/>
          <w:rtl w:val="true"/>
          <w:lang w:bidi="ar-SA"/>
        </w:rPr>
        <w:t>و آيا علمِ جدل، آداب بحث و مناظره را مورد بحث و بررسى قرار مى دهد؟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درباره اين مسائل، اختلاف نظر دارند، البته ما در آغاز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مبتنى بر آيات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پاسخ گويى به اين پرسش ها نبوده ايم؛ هم چنين ما در مباحث اين كتاب، تفاوتى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نيستيم و خوانندگان محترم نيز نبايد اين موضوع را ناديده بگيرند</w:t>
      </w:r>
      <w:r>
        <w:rPr>
          <w:rFonts w:eastAsia="IRNazanin" w:cs="IRNazanin"/>
          <w:color w:val="111111"/>
          <w:sz w:val="28"/>
          <w:szCs w:val="28"/>
          <w:rtl w:val="true"/>
          <w:lang w:bidi="fa-IR"/>
        </w:rPr>
        <w:t>.</w:t>
      </w:r>
      <w:bookmarkStart w:id="40" w:name="pg7099_52714"/>
    </w:p>
    <w:p>
      <w:pPr>
        <w:pStyle w:val="Heading2"/>
        <w:numPr>
          <w:ilvl w:val="1"/>
          <w:numId w:val="1"/>
        </w:numPr>
        <w:rPr/>
      </w:pPr>
      <w:bookmarkStart w:id="41" w:name="__RefHeading___Toc3655064_372815092"/>
      <w:bookmarkStart w:id="42" w:name="_Toc15"/>
      <w:bookmarkEnd w:id="40"/>
      <w:bookmarkEnd w:id="41"/>
      <w:r>
        <w:rPr>
          <w:rtl w:val="true"/>
        </w:rPr>
        <w:t>بخش دوم</w:t>
      </w:r>
      <w:r>
        <w:rPr>
          <w:rtl w:val="true"/>
        </w:rPr>
        <w:t xml:space="preserve">: </w:t>
      </w:r>
      <w:r>
        <w:rPr>
          <w:rtl w:val="true"/>
        </w:rPr>
        <w:t>جدل در علم كلام</w:t>
      </w:r>
      <w:bookmarkEnd w:id="42"/>
    </w:p>
    <w:p>
      <w:pPr>
        <w:pStyle w:val="Heading3"/>
        <w:numPr>
          <w:ilvl w:val="2"/>
          <w:numId w:val="1"/>
        </w:numPr>
        <w:rPr/>
      </w:pPr>
      <w:bookmarkStart w:id="43" w:name="__RefHeading___Toc3655066_372815092"/>
      <w:bookmarkStart w:id="44" w:name="_Toc16"/>
      <w:bookmarkEnd w:id="43"/>
      <w:r>
        <w:rPr>
          <w:rtl w:val="true"/>
        </w:rPr>
        <w:t>دانشمندان اسلامى و تعريف علم كلام</w:t>
      </w:r>
      <w:bookmarkEnd w:id="44"/>
    </w:p>
    <w:p>
      <w:pPr>
        <w:pStyle w:val="Heading4"/>
        <w:numPr>
          <w:ilvl w:val="3"/>
          <w:numId w:val="1"/>
        </w:numPr>
        <w:rPr/>
      </w:pPr>
      <w:bookmarkStart w:id="45" w:name="__RefHeading___Toc3655068_372815092"/>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همان گونه كه اشاره شد، علمِ جدل به موضوع يا مطلب معيّنى، اختصاص ندارد؛ بلكه در انواع موضوعات اختلافى همانند فقه، حديث، فلسفه، اقتصاد، سياست و ديگر علوم، به كار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كه هر دو صاحب نظر، براى اثبات ادعا يا ديدگاه خود، حجّت معتبرى را ذكر مى كنند و آن گاه بر اساس قواعد و اصول موضوعه، به مناظره با يك ديگر مى پردازند تا حق از باطل و درست از غلط، مشخص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علومى است كه مجادلات فراوانى پيرامون مسائل آن، صورت پذيرفته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كه علما در تعريف و فايدۀ علم كلام و نيز هدف از پايه گذارى آن، اختلاف نظر عمده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ديدگاه چند تن از دانشمندان اشاره مى نماييم</w:t>
      </w:r>
      <w:r>
        <w:rPr>
          <w:rFonts w:eastAsia="IRNazanin" w:cs="IRNazanin"/>
          <w:color w:val="111111"/>
          <w:sz w:val="28"/>
          <w:szCs w:val="28"/>
          <w:rtl w:val="true"/>
          <w:lang w:bidi="fa-IR"/>
        </w:rPr>
        <w:t>.</w:t>
      </w:r>
      <w:bookmarkStart w:id="47" w:name="pg7099_52715"/>
    </w:p>
    <w:p>
      <w:pPr>
        <w:pStyle w:val="Heading4"/>
        <w:numPr>
          <w:ilvl w:val="3"/>
          <w:numId w:val="1"/>
        </w:numPr>
        <w:rPr/>
      </w:pPr>
      <w:bookmarkStart w:id="48" w:name="__RefHeading___Toc3655070_372815092"/>
      <w:bookmarkStart w:id="49" w:name="_Toc18"/>
      <w:bookmarkEnd w:id="47"/>
      <w:bookmarkEnd w:id="48"/>
      <w:r>
        <w:rPr>
          <w:rtl w:val="true"/>
        </w:rPr>
        <w:t>قاضى ايجى</w:t>
      </w:r>
      <w:bookmarkEnd w:id="49"/>
    </w:p>
    <w:p>
      <w:pPr>
        <w:pStyle w:val="BookText"/>
        <w:rPr/>
      </w:pPr>
      <w:r>
        <w:rPr>
          <w:rFonts w:ascii="Amiri" w:hAnsi="Amiri" w:eastAsia="Amiri" w:cs="Amiri"/>
          <w:color w:val="111111"/>
          <w:sz w:val="28"/>
          <w:sz w:val="28"/>
          <w:szCs w:val="28"/>
          <w:rtl w:val="true"/>
          <w:lang w:bidi="ar-SA"/>
        </w:rPr>
        <w:t>قاضى عضدالدين ايجى</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كامل او عضدالدين ابوالفضل عبدالرحمان بن احمد بن عبدالغفّار بن احمد ايجى شيرازى شافعى است كه به منصب قضاوت، اشتغال داشت، وى پس از سال هفتصد هجرى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شيراز به دنيا آمد و در علم اصول، معانى، بيان، نحو، فقه و كلام تبحّر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وى مى توان به الرسالة العضدية فى الوضع، جواهر الكلام، الفوائد الغياثيه، شرح مختصر ابن الحاجب و المواقف فى علم الكلام،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ايجى به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حالى كه در قلعۀ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در اين زمينه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سبكى </w:t>
      </w:r>
      <w:r>
        <w:rPr>
          <w:rFonts w:eastAsia="IRNazanin" w:cs="IRNazanin"/>
          <w:color w:val="111111"/>
          <w:sz w:val="28"/>
          <w:szCs w:val="28"/>
          <w:rtl w:val="true"/>
          <w:lang w:bidi="fa-IR"/>
        </w:rPr>
        <w:t xml:space="preserve">-: </w:t>
      </w:r>
      <w:r>
        <w:rPr>
          <w:rFonts w:eastAsia="IRNazanin" w:cs="IRNazanin"/>
          <w:color w:val="111111"/>
          <w:sz w:val="28"/>
          <w:szCs w:val="28"/>
          <w:lang w:bidi="fa-IR"/>
        </w:rPr>
        <w:t>46/10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الدرر الكامنه</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2279</w:t>
      </w:r>
      <w:r>
        <w:rPr>
          <w:rFonts w:ascii="IRNazanin" w:hAnsi="IRNazanin" w:eastAsia="IRNazanin"/>
          <w:color w:val="111111"/>
          <w:sz w:val="28"/>
          <w:sz w:val="28"/>
          <w:szCs w:val="28"/>
          <w:rtl w:val="true"/>
          <w:lang w:bidi="fa-IR"/>
        </w:rPr>
        <w:t>، معجم المؤلّفين</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6756</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علمى است كه از طريق احتجاج و دفع شبهات، اثبات عقايد دينى را ميسّر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علم كلام،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رهايى از بند تقليد و دستيابى به اوج 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راهنمايى هدايت جويان از طريق آشكار نمودن مسير، و مجبور كردن معاندان به ارائه 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 دارى از اصول دين در برابر شبهات دروغگويان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بنيان نهادن علوم شرعى بر پايۀ علم كلام؛ چرا كه اين علم، پايه</w:t>
      </w:r>
      <w:bookmarkStart w:id="50" w:name="pg7099_52716"/>
    </w:p>
    <w:p>
      <w:pPr>
        <w:pStyle w:val="BookText"/>
        <w:rPr/>
      </w:pPr>
      <w:bookmarkEnd w:id="50"/>
      <w:r>
        <w:rPr>
          <w:rFonts w:ascii="IRNazanin" w:hAnsi="IRNazanin" w:eastAsia="IRNazanin"/>
          <w:color w:val="111111"/>
          <w:sz w:val="28"/>
          <w:sz w:val="28"/>
          <w:szCs w:val="28"/>
          <w:rtl w:val="true"/>
          <w:lang w:bidi="fa-IR"/>
        </w:rPr>
        <w:t>و اساس علوم شرعى محسوب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تصحيح نيّت ها و عقيده هايى كه پذيرش اعمال، به آن بستگى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نهايى از اين موارد نيل به سعادت دنيا و جهان آخرت است</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المواقف فى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655072_372815092"/>
      <w:bookmarkStart w:id="52" w:name="_Toc19"/>
      <w:bookmarkEnd w:id="51"/>
      <w:r>
        <w:rPr>
          <w:rtl w:val="true"/>
        </w:rPr>
        <w:t>سعدالدين تفتازانى</w:t>
      </w:r>
      <w:bookmarkEnd w:id="52"/>
    </w:p>
    <w:p>
      <w:pPr>
        <w:pStyle w:val="BookText"/>
        <w:rPr/>
      </w:pP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سعدالدين تفتازانى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به عقايد دينى بر اساس ادلّۀ يقينى را علم كلام مى نامند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اين علم، آراسته كردن ايمان به يقين است و دستيابى به شيوۀ</w:t>
      </w:r>
      <w:bookmarkStart w:id="53" w:name="pg7099_52717"/>
    </w:p>
    <w:p>
      <w:pPr>
        <w:pStyle w:val="BookText"/>
        <w:rPr/>
      </w:pPr>
      <w:bookmarkEnd w:id="53"/>
      <w:r>
        <w:rPr>
          <w:rFonts w:ascii="IRNazanin" w:hAnsi="IRNazanin" w:eastAsia="IRNazanin"/>
          <w:color w:val="111111"/>
          <w:sz w:val="28"/>
          <w:sz w:val="28"/>
          <w:szCs w:val="28"/>
          <w:rtl w:val="true"/>
          <w:lang w:bidi="fa-IR"/>
        </w:rPr>
        <w:t>زندگى و نجات از عذاب اخروى، فايدۀ اين علم محسوب مى شود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المقاصد فى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655074_372815092"/>
      <w:bookmarkStart w:id="55" w:name="_Toc20"/>
      <w:bookmarkEnd w:id="54"/>
      <w:r>
        <w:rPr>
          <w:rtl w:val="true"/>
        </w:rPr>
        <w:t>فياض لاهيجى</w:t>
      </w:r>
      <w:bookmarkEnd w:id="55"/>
    </w:p>
    <w:p>
      <w:pPr>
        <w:pStyle w:val="BookText"/>
        <w:rPr/>
      </w:pP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فيّاض لاهيجى از علماى شيعه و شارح التجريد در كتاب شوارق الإلهام فى شرح تجريد الكلام، هر دو تعريف فوق را ذكر مى كند</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بنابراين، هدف علماى اسلام از تأسيس علم كلام اين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نيكوترين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اثبات اصول دين از طريق ارائۀ حجّت معتبر عقلى و نقلى، بپردازند تا هدايت جويان را راهنمايى كنند، معاندين را محكوم نمايند و از قواعد دينى در برابر شبهات دروغگويان، پاسدارى</w:t>
      </w:r>
    </w:p>
    <w:p>
      <w:pPr>
        <w:pStyle w:val="BookText"/>
        <w:rPr/>
      </w:pPr>
      <w:r>
        <w:rPr>
          <w:rFonts w:ascii="IRNazanin" w:hAnsi="IRNazanin" w:eastAsia="IRNazanin"/>
          <w:color w:val="111111"/>
          <w:sz w:val="28"/>
          <w:sz w:val="28"/>
          <w:szCs w:val="28"/>
          <w:rtl w:val="true"/>
          <w:lang w:bidi="fa-IR"/>
        </w:rPr>
        <w:t>كنند؛ چرا كه عقايد دينى، پايه و اساس علوم شرعى و احكام عملى به شمار مى آيد و به همين جهت، صحّت عقايد دينى موجب قبولى اعمالى شرعى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اعمال مبتنى بر عقايد باطل و نيز اعمال آنان كه به دين خود شك دارند، مورد 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علم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موضوع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علوم ضرورى براى امّت اسلامى محسوب مى شود؛ چرا كه اين علم، واجبات اعتقادى مكلّفين را روشن مى سازد؛ درست همان گونه كه علم فقه، واجبات و منهيّات عملى مكلّفين را در اختيار آنان مى گذارد؛ با اين تفاوت كه تقليد در فقه جايز است، امّا در كلام،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همان گونه كه بقاى احكام فرعى شريعت مقدّس اسلام، در گرو علم فقه و تلاش هاى فقهاست، پاسداشت اصول اعتقادى نيز از رهگذر علم كلام و آثار متكلّمان، حاصل مى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كه آگاهى انسان از دليل ها و برهان هاى مرتبط با اعتقادات صحيح و به حق، موجبات دفاع از اين عقايد و پاسخ گويى به شبهات مطرح شده پيرامون آن را فراهم مى آورد و بالاتر اين كه، ترويج نوشتارى و گفتارى عقايد مذكور را نيز ميسّر مى سازد</w:t>
      </w:r>
      <w:r>
        <w:rPr>
          <w:rFonts w:eastAsia="IRNazanin" w:cs="IRNazanin"/>
          <w:color w:val="111111"/>
          <w:sz w:val="28"/>
          <w:szCs w:val="28"/>
          <w:rtl w:val="true"/>
          <w:lang w:bidi="fa-IR"/>
        </w:rPr>
        <w:t>....</w:t>
      </w:r>
      <w:bookmarkStart w:id="56" w:name="pg7099_52719"/>
    </w:p>
    <w:p>
      <w:pPr>
        <w:pStyle w:val="Heading3"/>
        <w:numPr>
          <w:ilvl w:val="2"/>
          <w:numId w:val="1"/>
        </w:numPr>
        <w:rPr/>
      </w:pPr>
      <w:bookmarkStart w:id="57" w:name="__RefHeading___Toc3655076_372815092"/>
      <w:bookmarkStart w:id="58" w:name="_Toc21"/>
      <w:bookmarkEnd w:id="56"/>
      <w:bookmarkEnd w:id="57"/>
      <w:r>
        <w:rPr>
          <w:rtl w:val="true"/>
        </w:rPr>
        <w:t>اصول دين و كتاب هاى اماميه</w:t>
      </w:r>
      <w:bookmarkEnd w:id="58"/>
    </w:p>
    <w:p>
      <w:pPr>
        <w:pStyle w:val="BookText"/>
        <w:rPr/>
      </w:pPr>
      <w:r>
        <w:rPr>
          <w:rFonts w:ascii="IRNazanin" w:hAnsi="IRNazanin" w:eastAsia="IRNazanin"/>
          <w:color w:val="111111"/>
          <w:sz w:val="28"/>
          <w:sz w:val="28"/>
          <w:szCs w:val="28"/>
          <w:rtl w:val="true"/>
          <w:lang w:bidi="fa-IR"/>
        </w:rPr>
        <w:t>گفتنى است كه توجّه فراوان علما به علم كلام، از ضرورت فوق نشأت مى گيرد؛ به گونه اى كه مذاهب مختلف اسلامى، كتاب هاى بسيارى را با محوريت علم كلام به رشتۀ تحرير درآورده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برخى كتاب هاى علماى اماميه درباره اصول دين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سده هاى مختلف به نگارش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شيخ ابوعبداللّه محمّد بن محمّد بن نعمان بغدادى، ملقّب به مفيد، متوفّاى سال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نوشتۀ سيّد مرتضى علم الهدى على بن حسين موسوى بغدادى، متوفّاى سال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قلم شيخ ابوصلاح تقى الدّين حلبى، متوفّاى سال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شيخ ابوالفتح كراجكى، متوفّاى سال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الهادى إلى طريق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نوشتۀ شيخ ابوجعفر طوسى، متوفّاى سال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الاعتصام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قلم شيخ زين الدين على بن عبدالجليل بياضى از دانشمندان قرن ششم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المنقذ من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شيخ سديدالدين محمود حمصى رازى از</w:t>
      </w:r>
      <w:bookmarkStart w:id="59" w:name="pg7099_52720"/>
    </w:p>
    <w:p>
      <w:pPr>
        <w:pStyle w:val="BookText"/>
        <w:rPr/>
      </w:pPr>
      <w:bookmarkEnd w:id="59"/>
      <w:r>
        <w:rPr>
          <w:rFonts w:ascii="IRNazanin" w:hAnsi="IRNazanin" w:eastAsia="IRNazanin"/>
          <w:color w:val="111111"/>
          <w:sz w:val="28"/>
          <w:sz w:val="28"/>
          <w:szCs w:val="28"/>
          <w:rtl w:val="true"/>
          <w:lang w:bidi="fa-IR"/>
        </w:rPr>
        <w:t>علماى قرن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شيخ نصيرالدّين محمّد بن محمّد طوسى، درگذشته سال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قلم شيخ نجم الدّين ابوالقاسم جعفر بن حسن، محقّق حلّى، متوفّاى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المرام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شيخ كمال الدين ميثم بن على بن ميثم بحرانى، متوفّاى سال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اليقين فى 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الحادى عشر في اصول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 كتاب اخير، اثر شيخ ابومنصور حسن بن يوسف بن مطهّر حلّى درگذشته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علاوه بر آن، كتاب هاى ديگرى را نيز دربارۀ اصول دين به رشتۀ تحرير درآورده است</w:t>
      </w:r>
      <w:r>
        <w:rPr>
          <w:rFonts w:eastAsia="IRNazanin" w:cs="IRNazanin"/>
          <w:color w:val="111111"/>
          <w:sz w:val="28"/>
          <w:szCs w:val="28"/>
          <w:rtl w:val="true"/>
          <w:lang w:bidi="fa-IR"/>
        </w:rPr>
        <w:t>.</w:t>
      </w:r>
    </w:p>
    <w:p>
      <w:pPr>
        <w:pStyle w:val="Heading3"/>
        <w:numPr>
          <w:ilvl w:val="2"/>
          <w:numId w:val="1"/>
        </w:numPr>
        <w:rPr/>
      </w:pPr>
      <w:bookmarkStart w:id="60" w:name="__RefHeading___Toc3655078_372815092"/>
      <w:bookmarkStart w:id="61" w:name="_Toc22"/>
      <w:bookmarkEnd w:id="60"/>
      <w:r>
        <w:rPr>
          <w:rtl w:val="true"/>
        </w:rPr>
        <w:t>اصول دين و كتاب هاى اهل سنّت</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مشهورترين كتاب هاى اهل سنّت درباره اصول دين، مى توان به كتاب هاى ذيل اشاره نمود</w:t>
      </w:r>
      <w:r>
        <w:rPr>
          <w:rFonts w:eastAsia="Amiri" w:cs="Amiri" w:ascii="Amiri" w:hAnsi="Amiri"/>
          <w:color w:val="111111"/>
          <w:sz w:val="28"/>
          <w:szCs w:val="28"/>
          <w:rtl w:val="true"/>
          <w:lang w:bidi="ar-SA"/>
        </w:rPr>
        <w:t>:</w:t>
      </w:r>
      <w:bookmarkStart w:id="62" w:name="pg7099_52721"/>
    </w:p>
    <w:p>
      <w:pPr>
        <w:pStyle w:val="BookText"/>
        <w:rPr/>
      </w:pPr>
      <w:bookmarkEnd w:id="6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باقلانى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فى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نوشتۀ فخر 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نسفى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قلم تفتازانى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فى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ايجى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شريف جرجانى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تفتازانى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عن أصول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قلم اشعرى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نسفى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سمرقندى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نوشتۀ بيضاوى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صفى الدين هندى ارموى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أبكار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آمدى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عبدالقادر بغدادى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نوشتۀ علاء قوشجى</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655080_372815092"/>
      <w:bookmarkStart w:id="64" w:name="_Toc23"/>
      <w:bookmarkEnd w:id="63"/>
      <w:r>
        <w:rPr>
          <w:rtl w:val="true"/>
        </w:rPr>
        <w:t>موضوعات كتاب هاى اصول دين</w:t>
      </w:r>
      <w:bookmarkEnd w:id="64"/>
    </w:p>
    <w:p>
      <w:pPr>
        <w:pStyle w:val="Heading4"/>
        <w:numPr>
          <w:ilvl w:val="3"/>
          <w:numId w:val="1"/>
        </w:numPr>
        <w:rPr/>
      </w:pPr>
      <w:bookmarkStart w:id="65" w:name="__RefHeading___Toc3655082_372815092"/>
      <w:bookmarkStart w:id="66" w:name="_Toc24"/>
      <w:bookmarkEnd w:id="65"/>
      <w:r>
        <w:rPr>
          <w:rtl w:val="true"/>
        </w:rPr>
        <w:t>اشاره</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كتاب هاى اصول دين، در اصل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آفريدگار و صفات او، مسائل مربوط به عدل، نبوّت، امامت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متكلّمان در كتاب هاى خود درباره اصول دين، شيوه هاى متفاوتى را در پيش گرفته اند، امّا روش متعارف آنان، اين است كه ابتدا برخى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مقدّمه، ذكر نموده و آن را به موجود و معدوم، تقسيم مى كنند؛</w:t>
      </w:r>
    </w:p>
    <w:p>
      <w:pPr>
        <w:pStyle w:val="BookText"/>
        <w:rPr/>
      </w:pPr>
      <w:r>
        <w:rPr>
          <w:rFonts w:ascii="IRNazanin" w:hAnsi="IRNazanin" w:eastAsia="IRNazanin"/>
          <w:color w:val="111111"/>
          <w:sz w:val="28"/>
          <w:sz w:val="28"/>
          <w:szCs w:val="28"/>
          <w:rtl w:val="true"/>
          <w:lang w:bidi="fa-IR"/>
        </w:rPr>
        <w:t>آن گاه موجود را به ممكن و واجب، و ممكن را به جوهر و عرض، تقسيم مى نمايند و احكام و اقسام جوهر و عرض را بيان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متكلّمان در مرحلۀ بعد به اثبات واجب الوجود مى پردازند و آن گاه صفات واجب الوجود همانند قدرت، علم، حيات، اراده، ادراك، تكلّم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صفات ممتنع وى را هم چون همانندى با غير، مركّب بودن، مكان داشتن، ظهور امور حادث در وى، محال بودن رؤيت او از سوى غير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متكلّمان در ادامه وارد مسائل مربوط به عدل مى شوند و به بررسى مسألۀ حُسن و قُبح عقلى، جبر و اختيار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نوبت به مباحث نبوّت و صفات پيامبر هم چون عصمت و نظير آن مى رسد و آن گاه مسألۀ امامت را بررسى مى نمايند؛ اين جاست كه همۀ مسائل اختلافى پيرامون امامت و امام پس از رسول خدا صلى اللّه عليه وآله مطرح مى شود</w:t>
      </w:r>
      <w:r>
        <w:rPr>
          <w:rFonts w:eastAsia="IRNazanin" w:cs="IRNazanin"/>
          <w:color w:val="111111"/>
          <w:sz w:val="28"/>
          <w:szCs w:val="28"/>
          <w:rtl w:val="true"/>
          <w:lang w:bidi="fa-IR"/>
        </w:rPr>
        <w:t>.</w:t>
      </w:r>
      <w:bookmarkStart w:id="67" w:name="pg7099_52723"/>
    </w:p>
    <w:p>
      <w:pPr>
        <w:pStyle w:val="BookText"/>
        <w:rPr/>
      </w:pPr>
      <w:bookmarkEnd w:id="67"/>
      <w:r>
        <w:rPr>
          <w:rFonts w:ascii="Amiri" w:hAnsi="Amiri" w:eastAsia="Amiri" w:cs="Amiri"/>
          <w:color w:val="111111"/>
          <w:sz w:val="28"/>
          <w:sz w:val="28"/>
          <w:szCs w:val="28"/>
          <w:rtl w:val="true"/>
          <w:lang w:bidi="ar-SA"/>
        </w:rPr>
        <w:t>متكلّمان در مرحلۀ بعد، موضوع معاد و مسائل فراوان آن را مورد بحث و بررسى قرار مى دهند</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655084_372815092"/>
      <w:bookmarkStart w:id="69" w:name="_Toc25"/>
      <w:bookmarkEnd w:id="68"/>
      <w:r>
        <w:rPr>
          <w:rtl w:val="true"/>
        </w:rPr>
        <w:t>آيا علم كلام از عوامل شكست هاى ماست؟</w:t>
      </w:r>
      <w:bookmarkEnd w:id="69"/>
    </w:p>
    <w:p>
      <w:pPr>
        <w:pStyle w:val="BookText"/>
        <w:rPr/>
      </w:pPr>
      <w:r>
        <w:rPr>
          <w:rFonts w:ascii="IRNazanin" w:hAnsi="IRNazanin" w:eastAsia="IRNazanin"/>
          <w:color w:val="111111"/>
          <w:sz w:val="28"/>
          <w:sz w:val="28"/>
          <w:szCs w:val="28"/>
          <w:rtl w:val="true"/>
          <w:lang w:bidi="fa-IR"/>
        </w:rPr>
        <w:t>با عنايت به جايگاه علم كلام در اسلام و ميزان تأثير آن در پاسداشت دين و شريعت مقدّس اسلامى ضرورت يادگيرى، تحوّل و گسترش اين علم،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پرسش مطرح است كه با اين اوصاف چگونه مى توان گفت علم كلام از عوامل شكست هاى مسلمانان در برابر دشمنان اسلام،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كلام مى تواند در شمار بهترين عوامل وحدت اسلامى و پايدارى و مقاومت در برابر دشمنان قرار گيرد به شرط آن كه اصول اعتقادى بر پايۀ حقّ، كتاب، سنّت صحيح و عقل سليم بنا نهاده شود، بحث در زمينۀ همۀ مسائل اعتقادى مورد اختلاف، با هدف دستيابى به حقيقت و واقعيت، انجام پذيرد و طرف هاى مباحثه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مرحلۀ اقامۀ برهان عليه يك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انصاف، اخلاق فاضله و اصول مناظره و مباحثه، پايبند باشند؛ خداوند نيز در اشاره به همين اصول و رفتارهاست كه مجادله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تأكيد قرار مى 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انتخاب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 بر رقبا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به قيمت فحش و ناسزا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عنوان هدف علم كلام و به كارگيرى آن، روشى بيهوده تلقى مى شود كه پراكندگى صفوف مسلمانان و شكست در برابر دشمنان را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اعتقاد بى قيد و شرط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علم كلام از گذشته تا حال ناكام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عوامل شكست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مجلۀ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هاى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صفحۀ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 كه، علم كلام در زمرۀ علوم اساسى اسلامى قرار مى گيرد و اين علم هيچ گاه به عنوان عامل ضعف و شكست مسلمانان عمل نكرده است؛ بلكه به عكس، هر گاه علم كلام با رعايت همۀ شرايط و روش هاى درست آن، مورد استفاده قرار گرفته، وحدت، يكپارچگى و پايدارى مسلمانان در برابر دشمنان را موجب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نمى توان اين موضوع را انكار نمود كه برخى متكلّمان، علم كلام را به عنوان ابزار توجيه عقايد باطل و انديشه هاى فاسد خود، به كار بسته اند، امّا بايد توجّه داشت كه اين امر به علم كلام مختص نيست و ديگر علوم اسلامى نيز به عنوان دستاويزى براى تحقّق اهداف و اغراض ناهمگون با حق و دين، مورد استفاده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استفادۀ نابه جاى برخى متكلّمان از علم كلام، گردى بر دامن اين علم نمى نشاند؛ بلكه مردم مى بايست ميان متكلّمان، تفاوت قائل شوند؛ به گونه اى كه با شناخت متكلّمانِ حقّ مدار، به تبعيّت از آن ها بپردازند و با كشف متكلّمانِ مغرض، راه خود را از آن ها جدا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قطعى ما بر اين است كه طرح مسائل مورد اختلاف علما، ارزيابى آن بر اساس كتاب، سنّت، عقل سليم و منطق صحيح و مورد پذيرش عقلا و نيز استناد به ادلۀ استوار و حجّت هاى معتبر، از بهترين روش هاى تحقّق وحدت در ميان مسلمانان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كلام نيز دقيقاً به همين منظور، بنيان نهاده شده است؛ چرا كه اين علم، در واقع، وحدت و همگرايى را ترويج مى كند و مسلمانان را از تفرقه و خصومت، برحذر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علم كلام نه تنها منافاتى با وحدت مسلمانان ندارد؛ بلكه در صورت استفادۀ صحيح از اين علم و به كارگيرى آن در جهت دستيابى به حق و راستى، زمينه ساز وحدت مسلمانان نيز مى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توفيق همه از خداست</w:t>
      </w:r>
      <w:r>
        <w:rPr>
          <w:rFonts w:eastAsia="Amiri" w:cs="Amiri" w:ascii="Amiri" w:hAnsi="Amiri"/>
          <w:color w:val="111111"/>
          <w:sz w:val="28"/>
          <w:szCs w:val="28"/>
          <w:rtl w:val="true"/>
          <w:lang w:bidi="ar-SA"/>
        </w:rPr>
        <w:t>.</w:t>
      </w:r>
      <w:bookmarkStart w:id="70" w:name="pg7099_52726"/>
    </w:p>
    <w:p>
      <w:pPr>
        <w:pStyle w:val="Heading4"/>
        <w:numPr>
          <w:ilvl w:val="3"/>
          <w:numId w:val="1"/>
        </w:numPr>
        <w:rPr/>
      </w:pPr>
      <w:bookmarkStart w:id="71" w:name="__RefHeading___Toc3655086_372815092"/>
      <w:bookmarkStart w:id="72" w:name="_Toc26"/>
      <w:bookmarkEnd w:id="70"/>
      <w:bookmarkEnd w:id="71"/>
      <w:r>
        <w:rPr>
          <w:rtl w:val="true"/>
        </w:rPr>
        <w:t>تأثير علم كلام در گرايش به تشيّع</w:t>
      </w:r>
      <w:bookmarkEnd w:id="72"/>
    </w:p>
    <w:p>
      <w:pPr>
        <w:pStyle w:val="BookText"/>
        <w:rPr/>
      </w:pPr>
      <w:r>
        <w:rPr>
          <w:rFonts w:ascii="IRNazanin" w:hAnsi="IRNazanin" w:eastAsia="IRNazanin"/>
          <w:color w:val="111111"/>
          <w:sz w:val="28"/>
          <w:sz w:val="28"/>
          <w:szCs w:val="28"/>
          <w:rtl w:val="true"/>
          <w:lang w:bidi="fa-IR"/>
        </w:rPr>
        <w:t xml:space="preserve">همان گونه كه گذشت، دل هاى حقّ طلب و دوست دار خير و رستگارى، بى ترديد تحت تأثير استدلال هاى منطقى، مباحثات سالم و ادلۀ متّكى بر 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چاره اى جز پذيرش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گيرند و در واقع، راز تأكيد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بايد در همين نكته جست و جو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روش هاى پيامبران، اوصيا و ديگر مصلحان براى هدايت بشر به صراط مستقيم،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 مذهب اماميّه و گرايش ملت ها به تشيّع نيز مرهون علم كلام و جدال صحيحِ مبتنى بر كتاب، سنّت، عقل و حجّت هاى معتبر و مقبول،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صدها تن از مردم كشورهاى مختلف جهان به بركت كتاب المراجعات اثر آيت اللّه سيّد عبدالحسين شرف الدين قدّس سرّه به شيعه گرويده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تك مناظرۀ علاّمه حلّى رحمه اللّه با علماى بزرگ اهل سنّت در ايران موجب شد كه همۀ مردم آن روز ايران، شيعه 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نقل علماى بزرگ منطقۀ جبل عامل، گسترش تشيّع در</w:t>
      </w:r>
      <w:bookmarkStart w:id="73" w:name="pg7099_52727"/>
    </w:p>
    <w:p>
      <w:pPr>
        <w:pStyle w:val="BookText"/>
        <w:rPr/>
      </w:pPr>
      <w:bookmarkEnd w:id="73"/>
      <w:r>
        <w:rPr>
          <w:rFonts w:ascii="IRNazanin" w:hAnsi="IRNazanin" w:eastAsia="IRNazanin"/>
          <w:color w:val="111111"/>
          <w:sz w:val="28"/>
          <w:sz w:val="28"/>
          <w:szCs w:val="28"/>
          <w:rtl w:val="true"/>
          <w:lang w:bidi="fa-IR"/>
        </w:rPr>
        <w:t>اين منطقه توسّط ابوذر غفارى رضى اللّه عنه، صورت گرفته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 فى علماء جبل 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تأسيس الشيعة لعلوم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علماى اهل سنّت در ضمن حمله به علم كلام، خاطر نشان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شدن اهل سنّت، تنها به صورت فردى و گرايش شخصى، صورت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 با توضيحات كوتاه فوق، بطلان ادّعاى اين عالم اهل سنّت روشن مى شود</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655088_372815092"/>
      <w:bookmarkStart w:id="75" w:name="_Toc27"/>
      <w:bookmarkEnd w:id="74"/>
      <w:r>
        <w:rPr>
          <w:rtl w:val="true"/>
        </w:rPr>
        <w:t>برخى مسائل اختلافى در علم كلام</w:t>
      </w:r>
      <w:bookmarkEnd w:id="75"/>
    </w:p>
    <w:p>
      <w:pPr>
        <w:pStyle w:val="BookText"/>
        <w:rPr/>
      </w:pPr>
      <w:r>
        <w:rPr>
          <w:rFonts w:ascii="IRNazanin" w:hAnsi="IRNazanin" w:eastAsia="IRNazanin"/>
          <w:color w:val="111111"/>
          <w:sz w:val="28"/>
          <w:sz w:val="28"/>
          <w:szCs w:val="28"/>
          <w:rtl w:val="true"/>
          <w:lang w:bidi="fa-IR"/>
        </w:rPr>
        <w:t>به نظر مى رسد مهم ترين مسائل مورد اختلاف شيعۀ اثنا عشرى و ديگر فرقه هاى اسلامى در مسائل ذيل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بارى تعالى و عين ذات بودن يا زائد بر ذات بودن آن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اماميه بر اين باور است كه صفات حق تعالى، عين ذات اوست و زايد بر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پندارى خداوند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اماميه، جسم بودن خداوند را نفى مى كند و اعتقاد بدان را كفر مى داند، امّا برخى فرقه هاى اسلامى معتقدند كه خداوند، دست و پا دارد، بالا و پايين مى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خداوند متعال از چنين</w:t>
      </w:r>
    </w:p>
    <w:p>
      <w:pPr>
        <w:pStyle w:val="BookText"/>
        <w:rPr/>
      </w:pPr>
      <w:r>
        <w:rPr>
          <w:rFonts w:ascii="IRNazanin" w:hAnsi="IRNazanin" w:eastAsia="IRNazanin"/>
          <w:color w:val="111111"/>
          <w:sz w:val="28"/>
          <w:sz w:val="28"/>
          <w:szCs w:val="28"/>
          <w:rtl w:val="true"/>
          <w:lang w:bidi="fa-IR"/>
        </w:rPr>
        <w:t>صفاتى، كاملاً پاك و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حادث بودن و ديگران قديم بودن قرآن را خاطر نشان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جريانات و حوادثى پيرامون اين مسأله رخ داده است كه مى توان با مراجعه به كتاب هاى سيره و تاريخ، به مطالعۀ آن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فرقه ها، به جبر و برخى ديگر به تفويض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امّا اماميه به هيچ يك از اين دو مقوله قائل نيست و به امرى بين جبر و تفويض اعتقاد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بر آن است كه خداوند فعل قبيح را انجام نمى دهد و خواستار اطاعت است، گناهان را نمى پسندد، از افعال خود غرض و حكمتى دارد، جز به اندازه توان، تكليف نمى كند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خلافت پس از رسول خدا صلى اللّه عليه وآله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اماميّه معتقد است كه بر اساس نصّ و سخن آشكار خدا و رسول اكرم صلى اللّه عليه وآله، على بن ابى طالب عليهما السلام خليفۀ مسلمانان پس از رسول خداست، امّا اهل سنّت، بر مبناى انتخاب مردم، ابوبكر فرزند ابوقحافه را خليفۀ رسول خدا صلى اللّه عليه وآله مى دانند</w:t>
      </w:r>
      <w:r>
        <w:rPr>
          <w:rFonts w:eastAsia="IRNazanin" w:cs="IRNazanin"/>
          <w:color w:val="111111"/>
          <w:sz w:val="28"/>
          <w:szCs w:val="28"/>
          <w:rtl w:val="true"/>
          <w:lang w:bidi="fa-IR"/>
        </w:rPr>
        <w:t>.</w:t>
      </w:r>
      <w:bookmarkStart w:id="76" w:name="pg7099_52729"/>
    </w:p>
    <w:p>
      <w:pPr>
        <w:pStyle w:val="Heading3"/>
        <w:numPr>
          <w:ilvl w:val="2"/>
          <w:numId w:val="1"/>
        </w:numPr>
        <w:rPr/>
      </w:pPr>
      <w:bookmarkStart w:id="77" w:name="__RefHeading___Toc3655090_372815092"/>
      <w:bookmarkStart w:id="78" w:name="_Toc28"/>
      <w:bookmarkEnd w:id="76"/>
      <w:bookmarkEnd w:id="77"/>
      <w:r>
        <w:rPr>
          <w:rtl w:val="true"/>
        </w:rPr>
        <w:t>امامت و اصول دين</w:t>
      </w:r>
      <w:bookmarkEnd w:id="78"/>
    </w:p>
    <w:p>
      <w:pPr>
        <w:pStyle w:val="Heading4"/>
        <w:numPr>
          <w:ilvl w:val="3"/>
          <w:numId w:val="1"/>
        </w:numPr>
        <w:rPr/>
      </w:pPr>
      <w:bookmarkStart w:id="79" w:name="__RefHeading___Toc3655092_372815092"/>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امامت، حساس ترين و مهم ترين بحث و مسألۀ اختلافى در ميان مباحث اصول دين بوده است تا جايى كه به لحاظ جايگاه و زمان از ديگر بحث ها، پيشى گرفته است؛ به همين جهت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خلاف بين الاُمّة خلاف الإمامة، إذ ما سُلّ سيف في الإسلام على قاعدة دينية مثل ما سُلّ على الإمامة في كلّ زمان؛</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مسألۀ امامت، بزرگ ترين مسألۀ اختلافى مسلمانان است؛ چرا كه بر هيچ يك از اصول دين در هيچ عصرى، به اندازۀ مسألۀ امامت، چالش نشده و شمشير كشيده نشده است</w:t>
      </w:r>
      <w:r>
        <w:rPr>
          <w:rFonts w:eastAsia="IRNazanin" w:cs="IRNazanin"/>
          <w:color w:val="111111"/>
          <w:sz w:val="28"/>
          <w:szCs w:val="28"/>
          <w:rtl w:val="true"/>
          <w:lang w:bidi="fa-IR"/>
        </w:rPr>
        <w:t>.</w:t>
      </w:r>
    </w:p>
    <w:p>
      <w:pPr>
        <w:pStyle w:val="Heading4"/>
        <w:numPr>
          <w:ilvl w:val="3"/>
          <w:numId w:val="1"/>
        </w:numPr>
        <w:rPr/>
      </w:pPr>
      <w:bookmarkStart w:id="81" w:name="__RefHeading___Toc3655094_372815092"/>
      <w:bookmarkStart w:id="82" w:name="_Toc30"/>
      <w:bookmarkEnd w:id="81"/>
      <w:r>
        <w:rPr>
          <w:rtl w:val="true"/>
        </w:rPr>
        <w:t>وجوب امامت</w:t>
      </w:r>
      <w:bookmarkEnd w:id="82"/>
    </w:p>
    <w:p>
      <w:pPr>
        <w:pStyle w:val="BookText"/>
        <w:rPr/>
      </w:pPr>
      <w:r>
        <w:rPr>
          <w:rFonts w:ascii="IRNazanin" w:hAnsi="IRNazanin" w:eastAsia="IRNazanin"/>
          <w:color w:val="111111"/>
          <w:sz w:val="28"/>
          <w:sz w:val="28"/>
          <w:szCs w:val="28"/>
          <w:rtl w:val="true"/>
          <w:lang w:bidi="fa-IR"/>
        </w:rPr>
        <w:t>اصل امامت نه تنها مورد اختلاف مسلمانان نيست؛ بلكه محلّ اجماع و اتفاق نظر آنان است و علماى بزرگ شيعه و سنّى، اين اصل را مورد تأكيد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اندلسى در اين باره مى 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جميع أهل السنّة وجميع المرجئة وجميع المعتزلة</w:t>
      </w:r>
    </w:p>
    <w:p>
      <w:pPr>
        <w:pStyle w:val="BookText"/>
        <w:rPr/>
      </w:pPr>
      <w:r>
        <w:rPr>
          <w:rFonts w:ascii="Amiri" w:hAnsi="Amiri" w:eastAsia="Amiri" w:cs="Amiri"/>
          <w:color w:val="111111"/>
          <w:sz w:val="28"/>
          <w:sz w:val="28"/>
          <w:szCs w:val="28"/>
          <w:rtl w:val="true"/>
          <w:lang w:bidi="ar-SA"/>
        </w:rPr>
        <w:t xml:space="preserve">وجميع الشيعة وجميع الخوارج على وجوب الإمامة، وأنّ الاُمّة فرض واجب عليها الإنقياد لإمام عادل يقيم فيهم أحكام اللّه، ويسوسهم بأحكام الشريعة الّتي أتى بها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والسنة قد وردا بإيجاب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فى الملل والأهواء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فرد اهل سنّت، مرجئه، معتزله، شيعه و خوارج، در وجوب امامت، اتّفاق نظر دارند و معتقدند كه اطاعت از امام دادگر، مجرى احكام الاهى و شريعت نبوى بر همۀ آحاد امّت اسلامى،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نيز وجوب امام را مورد تصريح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خواهد آمد شيعۀ اثناعشرى، مسألۀ امامت را جزء لا ينفكّ اصول دين مى دانند و به همين جهت توجه فراوانى به آن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ائمۀ شيعه عليهم السلام، درباره امامت اين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اسّ الإسلام النامي وفرعه السامي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زمام الدين ونظام المسلمين وصلاح الدنيا وعزّ</w:t>
      </w:r>
    </w:p>
    <w:p>
      <w:pPr>
        <w:pStyle w:val="BookText"/>
        <w:rPr/>
      </w:pPr>
      <w:r>
        <w:rPr>
          <w:rFonts w:ascii="Amiri" w:hAnsi="Amiri" w:eastAsia="Amiri" w:cs="Amiri"/>
          <w:color w:val="111111"/>
          <w:sz w:val="28"/>
          <w:sz w:val="28"/>
          <w:szCs w:val="28"/>
          <w:rtl w:val="true"/>
          <w:lang w:bidi="ar-SA"/>
        </w:rPr>
        <w:t>المؤمنين؛</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ascii="Amiri" w:hAnsi="Amiri" w:eastAsia="Amiri" w:cs="Amiri"/>
          <w:color w:val="111111"/>
          <w:sz w:val="28"/>
          <w:sz w:val="28"/>
          <w:szCs w:val="28"/>
          <w:rtl w:val="true"/>
          <w:lang w:bidi="ar-SA"/>
        </w:rPr>
        <w:t>، 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معانى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پايۀ رو به رشد اسلام و شاخۀ بلند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زمام دين، نظم دهندۀ مسلمانان، صلاح دنيا و عزّت مؤمنان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امامان شيعه عليهم السلام دربارۀ امام نيز چنين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بالإمام تمام الصلاة والزكاة والصيام والحج والجهاد وتوفير الفيء والصدقات وإمضاء الحدود والأحكام ومنع الثغور والأطراف؛</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تكميل نماز، زكات، روزه، حج و جهاد، جمع آورى غنايم و صدقات، اجراى حدود و احكام و دفاع از مرزها و اقصى نقاط سرزمين اسلام، تنها و تنها به وسيلۀ امام امكان 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رحمه اللّه در مقدمۀ كتاب منهاج الكرامة فى معرفة الإمامة مى نويسد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رسالة شريفة، ومقالة لطيفة، اشتملت على أهمّ المطالب في أحكام الدين، وأشرف مسائل المسلمين، وهي مسألة الإمامة، الّتي يحصل بسبب إدراكها نيل درجة</w:t>
      </w:r>
      <w:bookmarkStart w:id="83" w:name="pg7099_52732"/>
    </w:p>
    <w:p>
      <w:pPr>
        <w:pStyle w:val="BookText"/>
        <w:rPr/>
      </w:pPr>
      <w:bookmarkEnd w:id="83"/>
      <w:r>
        <w:rPr>
          <w:rFonts w:ascii="Amiri" w:hAnsi="Amiri" w:eastAsia="Amiri" w:cs="Amiri"/>
          <w:color w:val="111111"/>
          <w:sz w:val="28"/>
          <w:sz w:val="28"/>
          <w:szCs w:val="28"/>
          <w:rtl w:val="true"/>
          <w:lang w:bidi="ar-SA"/>
        </w:rPr>
        <w:t>الكرامة، وهي أحد أركان الإيمان المستحقّ بسببه الخلود في الجنان والتخلص من غصب الرحمان؛</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منهاج الكرامة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و كتاب نغز به بررسى مهم ترين حكم دينى و گران قدرترين مسألۀ مسلمانان؛ يعنى مسألۀ امامت مى پردازد كه ادراك آن، موجبات نيل به مرتبۀ كرامت را فراهم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يكى از اركان دين است كه شناخت آن، جاودانگى در بهشت و رهايى از خشم پروردگار را به ارمغان مى آورد</w:t>
      </w:r>
      <w:r>
        <w:rPr>
          <w:rFonts w:eastAsia="IRNazanin" w:cs="IRNazanin"/>
          <w:color w:val="111111"/>
          <w:sz w:val="28"/>
          <w:szCs w:val="28"/>
          <w:rtl w:val="true"/>
          <w:lang w:bidi="fa-IR"/>
        </w:rPr>
        <w:t>.</w:t>
      </w:r>
    </w:p>
    <w:p>
      <w:pPr>
        <w:pStyle w:val="Heading4"/>
        <w:numPr>
          <w:ilvl w:val="3"/>
          <w:numId w:val="1"/>
        </w:numPr>
        <w:rPr/>
      </w:pPr>
      <w:bookmarkStart w:id="84" w:name="__RefHeading___Toc3655096_372815092"/>
      <w:bookmarkStart w:id="85" w:name="_Toc31"/>
      <w:bookmarkEnd w:id="84"/>
      <w:r>
        <w:rPr>
          <w:rtl w:val="true"/>
        </w:rPr>
        <w:t>امامت چيست؟</w:t>
      </w:r>
      <w:bookmarkEnd w:id="85"/>
    </w:p>
    <w:p>
      <w:pPr>
        <w:pStyle w:val="BookText"/>
        <w:rPr/>
      </w:pPr>
      <w:r>
        <w:rPr>
          <w:rFonts w:ascii="Amiri" w:hAnsi="Amiri" w:eastAsia="Amiri" w:cs="Amiri"/>
          <w:color w:val="111111"/>
          <w:sz w:val="28"/>
          <w:sz w:val="28"/>
          <w:szCs w:val="28"/>
          <w:rtl w:val="true"/>
          <w:lang w:bidi="ar-SA"/>
        </w:rPr>
        <w:t>تعريف يكسان مسلمانان از امامت، اهميّت و عظمت آن را نمايان 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به مواردى از تعريف دانشمندان اسلامى اشاره مى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ايجى مى 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رياست عامّ در امور دين و دنيا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تعريف جامع و مانع نيست و نبوّت را نيز دربر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معناى خلافت رسول خدا صلى اللّه عليه وآله در برپايى دين است؛ به گونه اى كه اطاعت از آن بر همۀ امّت،</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المواقف فى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سعدالدين تفتازانى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معناى رياست عامّ در امر دين و دنياست كه به جانشينى از پيامبر صورت مى گيرد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علاّمه حلّى رحمه اللّه در تعريف امامت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معناى رياست عامّ يك فرد در امور دين و دنياست كه به جانشينى از پيامبر صلى اللّه عليه وآله، صورت مى پذيرد</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دانشمند فاضل، مقداد سيورى</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سيورى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نجف اشرف ديده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از شرح حال او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 طبقات أعلام الشيعة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معجم المؤلّفين</w:t>
      </w:r>
      <w:r>
        <w:rPr>
          <w:rFonts w:eastAsia="IRNazanin" w:cs="IRNazanin"/>
          <w:color w:val="111111"/>
          <w:sz w:val="28"/>
          <w:szCs w:val="28"/>
          <w:rtl w:val="true"/>
          <w:lang w:bidi="fa-IR"/>
        </w:rPr>
        <w:t xml:space="preserve">: </w:t>
      </w:r>
      <w:r>
        <w:rPr>
          <w:rFonts w:eastAsia="IRNazanin" w:cs="IRNazanin"/>
          <w:color w:val="111111"/>
          <w:sz w:val="28"/>
          <w:szCs w:val="28"/>
          <w:lang w:bidi="fa-IR"/>
        </w:rPr>
        <w:t>906/3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17200</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282/7</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شرح خود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به معناى رياست عامّ يك فرد انسانى در امور دين و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رياست، جنس قريب است و انتساب امامت به يك شخص، جنس بعيد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بودن امامت نيز فصل تعريف است كه باعث مى شود اين مفهوم از ولايت قُضات و نمايندگان، جدا گردد و آنان را دربرنگيرد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گر عرصۀ امامت و دائرۀ رياست آن است؛ به گونه اى كه دين و دنيا را به طور مساوى دربرمى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فرد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مسأله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شايستۀ امامت، بايد شخصى منتصب از جانب خدا و رسول او باشد، نه هر شخصى كه اتّفاق افتاد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زمان واحد، فقط يك شخص، شايستگى امامت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از دانشمندان قيد اصالت را نيز افزوده و در تعريف امامت مى گويند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امامت به معناى رياست عامّ يك فرد انسانى در امور دين و دنيا، به</w:t>
      </w:r>
    </w:p>
    <w:p>
      <w:pPr>
        <w:pStyle w:val="BookText"/>
        <w:rPr/>
      </w:pPr>
      <w:r>
        <w:rPr>
          <w:rFonts w:ascii="IRNazanin" w:hAnsi="IRNazanin" w:eastAsia="IRNazanin"/>
          <w:color w:val="111111"/>
          <w:sz w:val="28"/>
          <w:sz w:val="28"/>
          <w:szCs w:val="28"/>
          <w:rtl w:val="true"/>
          <w:lang w:bidi="fa-IR"/>
        </w:rPr>
        <w:t>اصالت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تعريف، امامت نيابى را شامل نمى شود كه امام، عموم ولايت را به او تفويض كرده است؛ زيرا كه رياست نايب امام، عامّ است، امّا اصالتى در رياست او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واقعيت اين است كه تعريف مذكور، رياست عامّ را از نايب امام سلب مى كند؛ چرا كه نايب مذكور، هيچ رياستى بر امام خود ندارد و به همين جهت، رياست او، عامّ تلقّى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تعريف مذكور، نبوّت را نيز دربرمى گيرد؛ به همين دليل اين قيد نيز افزوده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حق نيابت از پيامبر صلى اللّه عليه وآله يا به واسطۀ يك انسان، صورت مى پذيرد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يوم الحشر فى شرح الباب الحادى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فيّاض لاهيجى در شرح التجريد، هر دو تعريف ايجى و تفتازانى را آورده و پسنديده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نشان مى دهد كه اختلاف الفاظ و تنوّع تعاريف، به هدف مشترك خدشه اى وارد نمى آورد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نكتۀ شايان توجه در موضوع مورد بحث، اين است كه علماى شيعه و سنّى در تعريف امامت، اختلافى با هم ندارند</w:t>
      </w:r>
      <w:r>
        <w:rPr>
          <w:rFonts w:eastAsia="Amiri" w:cs="Amiri" w:ascii="Amiri" w:hAnsi="Amiri"/>
          <w:color w:val="111111"/>
          <w:sz w:val="28"/>
          <w:szCs w:val="28"/>
          <w:rtl w:val="true"/>
          <w:lang w:bidi="ar-SA"/>
        </w:rPr>
        <w:t>.</w:t>
      </w:r>
      <w:bookmarkStart w:id="86" w:name="pg7099_52736"/>
    </w:p>
    <w:p>
      <w:pPr>
        <w:pStyle w:val="Heading4"/>
        <w:numPr>
          <w:ilvl w:val="3"/>
          <w:numId w:val="1"/>
        </w:numPr>
        <w:rPr/>
      </w:pPr>
      <w:bookmarkStart w:id="87" w:name="__RefHeading___Toc3655098_372815092"/>
      <w:bookmarkStart w:id="88" w:name="_Toc32"/>
      <w:bookmarkEnd w:id="86"/>
      <w:bookmarkEnd w:id="87"/>
      <w:r>
        <w:rPr>
          <w:rtl w:val="true"/>
        </w:rPr>
        <w:t>امامت، جزء اصول دين است</w:t>
      </w:r>
      <w:bookmarkEnd w:id="88"/>
    </w:p>
    <w:p>
      <w:pPr>
        <w:pStyle w:val="BookText"/>
        <w:rPr/>
      </w:pPr>
      <w:r>
        <w:rPr>
          <w:rFonts w:ascii="IRNazanin" w:hAnsi="IRNazanin" w:eastAsia="IRNazanin"/>
          <w:color w:val="111111"/>
          <w:sz w:val="28"/>
          <w:sz w:val="28"/>
          <w:szCs w:val="28"/>
          <w:rtl w:val="true"/>
          <w:lang w:bidi="fa-IR"/>
        </w:rPr>
        <w:t xml:space="preserve">از اين 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و سنّى در آن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 شود كه امامت، از اصول دين است، نه از فروع دين؛ چرا كه امامت، در جايگاه نيابت پيامبر صلى اللّه عليه وآله قرار مى گيرد و به همين جهت جزء شؤون و متعلّقات نبوّت، به شمار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احاديثى درباره امامت وجود دارد كه مورد اتّفاق نظر شيعه و سنّى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مثال رسول خدا صلى اللّه عليه وآله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ولم يعرف إمام زمانه مات ميتة جاهلية؛</w:t>
      </w:r>
    </w:p>
    <w:p>
      <w:pPr>
        <w:pStyle w:val="BookText"/>
        <w:rPr/>
      </w:pPr>
      <w:r>
        <w:rPr>
          <w:rFonts w:ascii="IRNazanin" w:hAnsi="IRNazanin" w:eastAsia="IRNazanin"/>
          <w:color w:val="111111"/>
          <w:sz w:val="28"/>
          <w:sz w:val="28"/>
          <w:szCs w:val="28"/>
          <w:rtl w:val="true"/>
          <w:lang w:bidi="fa-IR"/>
        </w:rPr>
        <w:t>هر كس بميرد و امام عصر خويش را نشناسد به مرگ دوران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اين حديث با عبارات متفاوتى نقل شده، امّا مراد همۀ اين عبارات، يكى است و همگى آن ها بر معانى واژه هاى همين روايت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با همين الفاظ در بسيارى از كتاب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شرح المقاصد </w:t>
      </w:r>
      <w:r>
        <w:rPr>
          <w:rStyle w:val="FootnoteAnchor"/>
          <w:rtl w:val="true"/>
        </w:rPr>
        <w:footnoteReference w:id="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239/5</w:t>
      </w:r>
      <w:r>
        <w:rPr>
          <w:rFonts w:ascii="Amiri" w:hAnsi="Amiri" w:eastAsia="Amiri" w:cs="Amiri"/>
          <w:color w:val="111111"/>
          <w:sz w:val="28"/>
          <w:sz w:val="28"/>
          <w:szCs w:val="28"/>
          <w:rtl w:val="true"/>
          <w:lang w:bidi="ar-SA"/>
        </w:rPr>
        <w:t>، شرح العقائد النسفيه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احمد و برخى ديگر از كتاب ها، چنين آمده است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بغير إمام مات ميتة جاهلية؛</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مسند طيالسى</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المعجم الكبير، طبرانى</w:t>
      </w:r>
      <w:r>
        <w:rPr>
          <w:rFonts w:eastAsia="IRNazanin" w:cs="IRNazanin"/>
          <w:color w:val="111111"/>
          <w:sz w:val="28"/>
          <w:szCs w:val="28"/>
          <w:rtl w:val="true"/>
          <w:lang w:bidi="fa-IR"/>
        </w:rPr>
        <w:t xml:space="preserve">: </w:t>
      </w:r>
      <w:r>
        <w:rPr>
          <w:rFonts w:eastAsia="IRNazanin" w:cs="IRNazanin"/>
          <w:color w:val="111111"/>
          <w:sz w:val="28"/>
          <w:szCs w:val="28"/>
          <w:lang w:bidi="fa-IR"/>
        </w:rPr>
        <w:t>388/19</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مسند الشاميّين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437/2</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1654</w:t>
      </w:r>
      <w:r>
        <w:rPr>
          <w:rFonts w:ascii="IRNazanin" w:hAnsi="IRNazanin" w:eastAsia="IRNazanin"/>
          <w:color w:val="111111"/>
          <w:sz w:val="28"/>
          <w:sz w:val="28"/>
          <w:szCs w:val="28"/>
          <w:rtl w:val="true"/>
          <w:lang w:bidi="fa-IR"/>
        </w:rPr>
        <w:t>، حلية الأولياء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اصفهانى پس از نقل اين حديث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صحيح و ثابت شده است و مسلم بن حجّاج در صحيح خود، آن را از عمرو بن على، از ابن مهدى، از هشام بن سعد، از زيد،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مذكور، پيش از اين نيز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الأحاديث، سيوطى</w:t>
      </w:r>
      <w:r>
        <w:rPr>
          <w:rFonts w:eastAsia="IRNazanin" w:cs="IRNazanin"/>
          <w:color w:val="111111"/>
          <w:sz w:val="28"/>
          <w:szCs w:val="28"/>
          <w:rtl w:val="true"/>
          <w:lang w:bidi="fa-IR"/>
        </w:rPr>
        <w:t xml:space="preserve">: </w:t>
      </w:r>
      <w:r>
        <w:rPr>
          <w:rFonts w:eastAsia="IRNazanin" w:cs="IRNazanin"/>
          <w:color w:val="111111"/>
          <w:sz w:val="28"/>
          <w:szCs w:val="28"/>
          <w:lang w:bidi="fa-IR"/>
        </w:rPr>
        <w:t>384/7</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23116</w:t>
      </w:r>
      <w:r>
        <w:rPr>
          <w:rFonts w:ascii="IRNazanin" w:hAnsi="IRNazanin" w:eastAsia="IRNazanin"/>
          <w:color w:val="111111"/>
          <w:sz w:val="28"/>
          <w:sz w:val="28"/>
          <w:szCs w:val="28"/>
          <w:rtl w:val="true"/>
          <w:lang w:bidi="fa-IR"/>
        </w:rPr>
        <w:t>،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14863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بدون امام، بميرد به مرگ دوران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كتاب ها نيز اين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وليس في عنقه بيعة مات ميتة جاهلية؛</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 كس بميرد و بيعتى بر ذمّۀ او نباشد به مرگ دوران جاهلى مرده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اين حديث به صورت هاى ديگرى نيز نقل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بنابراين، حديث مذكور به صراحت، نشان مى دهد كه شناخت امام، پيروى و اطاعت از او و اعتقاد به ولايت الاهى وى، واجب است و هر كس امام را نشناسد، يا او را انكار كند، در حال كفر مى ميرد؛ درست همانند كسى كه از شناخت نبوّت پيامبر صلى اللّه عليه وآله باز مى ماند و آن را انكار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 كه گفته شد، به ذكر ادله ديگرى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از برخى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قاضى بيضاوى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آن ها همانند اماميّه، امامت را جزء اصول دين دانسته اند؛</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الوصول فى معرفة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كتاب الابتهاج بتخريج أحاديث المنهاج به چاپ رسيده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ديگر همانند سعدالدين تفتازانى ترجيح داده اند كه امامت را در زمرۀ فروع دين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مشهور اين است كه بيشتر علماى اهل سنّت، امامت را جزء مسائل فرعى به شمار مى آورند</w:t>
      </w:r>
      <w:r>
        <w:rPr>
          <w:rFonts w:eastAsia="Amiri" w:cs="Amiri" w:ascii="Amiri" w:hAnsi="Amiri"/>
          <w:color w:val="111111"/>
          <w:sz w:val="28"/>
          <w:szCs w:val="28"/>
          <w:rtl w:val="true"/>
          <w:lang w:bidi="ar-SA"/>
        </w:rPr>
        <w:t>.</w:t>
      </w:r>
      <w:bookmarkStart w:id="89" w:name="pg7099_52739"/>
    </w:p>
    <w:p>
      <w:pPr>
        <w:pStyle w:val="Heading4"/>
        <w:numPr>
          <w:ilvl w:val="3"/>
          <w:numId w:val="1"/>
        </w:numPr>
        <w:rPr/>
      </w:pPr>
      <w:bookmarkStart w:id="90" w:name="__RefHeading___Toc3655100_372815092"/>
      <w:bookmarkStart w:id="91" w:name="_Toc33"/>
      <w:bookmarkEnd w:id="89"/>
      <w:bookmarkEnd w:id="90"/>
      <w:r>
        <w:rPr>
          <w:rtl w:val="true"/>
        </w:rPr>
        <w:t>تعيين امام با كيست؟</w:t>
      </w:r>
      <w:bookmarkEnd w:id="91"/>
    </w:p>
    <w:p>
      <w:pPr>
        <w:pStyle w:val="Heading5"/>
        <w:numPr>
          <w:ilvl w:val="4"/>
          <w:numId w:val="1"/>
        </w:numPr>
        <w:rPr/>
      </w:pPr>
      <w:bookmarkStart w:id="92" w:name="__RefHeading___Toc3655102_372815092"/>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در پاسخ اين پرسش كه تعيين امام با كيست؟ ديدگاه شيعه و اهل سنّت را بيان مى كنيم</w:t>
      </w:r>
      <w:r>
        <w:rPr>
          <w:rFonts w:eastAsia="IRNazanin" w:cs="IRNazanin"/>
          <w:color w:val="111111"/>
          <w:sz w:val="28"/>
          <w:szCs w:val="28"/>
          <w:rtl w:val="true"/>
          <w:lang w:bidi="fa-IR"/>
        </w:rPr>
        <w:t>.</w:t>
      </w:r>
    </w:p>
    <w:p>
      <w:pPr>
        <w:pStyle w:val="Heading5"/>
        <w:numPr>
          <w:ilvl w:val="4"/>
          <w:numId w:val="1"/>
        </w:numPr>
        <w:rPr/>
      </w:pPr>
      <w:bookmarkStart w:id="94" w:name="__RefHeading___Toc3655104_372815092"/>
      <w:bookmarkStart w:id="95" w:name="_Toc35"/>
      <w:bookmarkEnd w:id="94"/>
      <w:r>
        <w:rPr/>
        <w:t>1</w:t>
      </w:r>
      <w:r>
        <w:rPr>
          <w:rtl w:val="true"/>
        </w:rPr>
        <w:t xml:space="preserve">. </w:t>
      </w:r>
      <w:r>
        <w:rPr>
          <w:rtl w:val="true"/>
        </w:rPr>
        <w:t>ديدگاه اهل سنّت</w:t>
      </w:r>
      <w:bookmarkEnd w:id="95"/>
    </w:p>
    <w:p>
      <w:pPr>
        <w:pStyle w:val="Heading6"/>
        <w:numPr>
          <w:ilvl w:val="5"/>
          <w:numId w:val="1"/>
        </w:numPr>
        <w:rPr/>
      </w:pPr>
      <w:bookmarkStart w:id="96" w:name="__RefHeading___Toc3655106_372815092"/>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گفتيم كه بيشتر علماى اهل سنّت، امامت را جزء فروعِ مرتبط با اعمال مكلّفين مى دانند؛ گويى مقصود اين ديدگاه اين است كه نصب امام، بر امّت واجب است نه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سعدالدين تفتازانى در اين باره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ما و عموم معتزله، نصب امام از سوى مردم واجب نقلى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معتزله، نصب امام از سوى مردم را واجب عقلى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كه نصب امام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اثبات اعتقاد خود، مستندات و دلايلى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و عمده دليل ما اجماع و اتفاق نظر صحابه است تا جايى كه نصب امام را از مهم ترين واجبات دانسته و به جاى دفن رسول خدا صلى اللّه عليه وآله به نصب امام پرداختند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شگفتى است كه اهل سنّت، نصب امام را واجب مى دانند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معتقدند كه پيامبر خدا صلى اللّه عليه وآله بى هيچ وصيّتى در اين زمينه، به</w:t>
      </w:r>
      <w:bookmarkStart w:id="98" w:name="pg7099_52740"/>
    </w:p>
    <w:p>
      <w:pPr>
        <w:pStyle w:val="BookText"/>
        <w:rPr/>
      </w:pPr>
      <w:bookmarkEnd w:id="98"/>
      <w:r>
        <w:rPr>
          <w:rFonts w:ascii="IRNazanin" w:hAnsi="IRNazanin" w:eastAsia="IRNazanin"/>
          <w:color w:val="111111"/>
          <w:sz w:val="28"/>
          <w:sz w:val="28"/>
          <w:szCs w:val="28"/>
          <w:rtl w:val="true"/>
          <w:lang w:bidi="fa-IR"/>
        </w:rPr>
        <w:t>سوى رفيق اعلى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هيچ نصّ و سخن آشكارى يا تعيينى دربارۀ امامتِ فردى مشخّص، از خدا و رسول او صادر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جهت وجوب نصب امام، از وظايف مكلّفين به شمار مى رود</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الإمامة، ابونعيم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غياث الأمم، جوينى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الأربعين فى أصول الدين، فخر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3655108_372815092"/>
      <w:bookmarkStart w:id="100" w:name="_Toc37"/>
      <w:bookmarkEnd w:id="99"/>
      <w:r>
        <w:rPr>
          <w:rtl w:val="true"/>
        </w:rPr>
        <w:t>نقد ديدگاه اهل سنّت</w:t>
      </w:r>
      <w:bookmarkEnd w:id="100"/>
    </w:p>
    <w:p>
      <w:pPr>
        <w:pStyle w:val="BookText"/>
        <w:rPr/>
      </w:pPr>
      <w:r>
        <w:rPr>
          <w:rFonts w:ascii="IRNazanin" w:hAnsi="IRNazanin" w:eastAsia="IRNazanin"/>
          <w:color w:val="111111"/>
          <w:sz w:val="28"/>
          <w:sz w:val="28"/>
          <w:szCs w:val="28"/>
          <w:rtl w:val="true"/>
          <w:lang w:bidi="fa-IR"/>
        </w:rPr>
        <w:t>آرى، اهل سنّت عمده دليل اعتقاد خود را اجماع صحابه مى دانند تا جايى كه صحابه، نصب امام را از مهم ترين واجبات به شمار آورده و به جاى دفن رسول خدا صلى اللّه عليه وآله به نصب امام پرداختند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عمده دليل اهل سنّت، اجماع صحابه باشد، قضيه به راحتى حلّ و فصل مى شود؛ چرا كه اين دليل از چند صورت، قابل نقد است</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يكى از آن دليل ها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اجماع 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ابوبكر، عمر و عدّه اى ديگر پيكر رسول خدا صلى اللّه عليه وآله را بر روى زمين رها كردند و به سوى سقيفۀ بنى ساعده شتافتند؛ جايى كه برخى انصار براى بررسى موضوع خلافت،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انصار پس از انتخاب ابوبكر، به نزد بنى هاشم و ديگر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جنازۀ پيامبر را رها نكرده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خواستار بيعت آنان با ابوبكر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تنها گروهى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همۀ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را از مهم ترين واجبات دانسته و آن را بر دفن پيامبر اكرم صلى اللّه عليه وآله ترجيح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صورتى است كه اجتماع انصار در سقيفه، به منظور بحث و گفت و گو پيرامون خلافت صورت گرفته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علّت اجتماع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برخى ديدگاه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رايزنى پيرامون برخى مسائل خاص و دستيابى به اتحاد و هم رأيى خويش در رويارويى با مهاجران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مسأله روشن تر خواهد بود</w:t>
      </w:r>
      <w:r>
        <w:rPr>
          <w:rFonts w:eastAsia="IRNazanin" w:cs="IRNazanin"/>
          <w:color w:val="111111"/>
          <w:sz w:val="28"/>
          <w:szCs w:val="28"/>
          <w:rtl w:val="true"/>
          <w:lang w:bidi="fa-IR"/>
        </w:rPr>
        <w:t>.</w:t>
      </w:r>
      <w:bookmarkStart w:id="101" w:name="pg7099_52742"/>
    </w:p>
    <w:p>
      <w:pPr>
        <w:pStyle w:val="Heading5"/>
        <w:numPr>
          <w:ilvl w:val="4"/>
          <w:numId w:val="1"/>
        </w:numPr>
        <w:rPr/>
      </w:pPr>
      <w:bookmarkStart w:id="102" w:name="__RefHeading___Toc3655110_372815092"/>
      <w:bookmarkStart w:id="103" w:name="_Toc38"/>
      <w:bookmarkEnd w:id="101"/>
      <w:bookmarkEnd w:id="102"/>
      <w:r>
        <w:rPr/>
        <w:t>2</w:t>
      </w:r>
      <w:r>
        <w:rPr>
          <w:rtl w:val="true"/>
        </w:rPr>
        <w:t xml:space="preserve">. </w:t>
      </w:r>
      <w:r>
        <w:rPr>
          <w:rtl w:val="true"/>
        </w:rPr>
        <w:t>ديدگاه شيعه</w:t>
      </w:r>
      <w:bookmarkEnd w:id="103"/>
    </w:p>
    <w:p>
      <w:pPr>
        <w:pStyle w:val="BookText"/>
        <w:rPr/>
      </w:pPr>
      <w:r>
        <w:rPr>
          <w:rFonts w:ascii="Amiri" w:hAnsi="Amiri" w:eastAsia="Amiri" w:cs="Amiri"/>
          <w:color w:val="111111"/>
          <w:sz w:val="28"/>
          <w:sz w:val="28"/>
          <w:szCs w:val="28"/>
          <w:rtl w:val="true"/>
          <w:lang w:bidi="ar-SA"/>
        </w:rPr>
        <w:t>درباره تعيين امام، شيعه بر اين باور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امامت به دست خداى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بر خداوند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امام را نصب كرده است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در اين زمينه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 فى إمامة أمير المؤمنين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المقنع فى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الألفين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سه موضوع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بيان گر اين مطلب است كه امر امامت در دست قدرت الاهى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نويسان مطلبى را نقل كرده اند كه از گوياترين دلايل سنّت در اين امر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خود را به يكى از تيره هاى قبايل كنده و كلب به نام بنى عبداللّه، معرفى كرد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 نيكويى براى پدر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وآله در حديثى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 ترين نام ها در پيشگاه خداى عزّوجلّ، عبداللّه و عبدالرّحمان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پيامبر صلى اللّه عليه وآله به بنى عبداللّه پيشنهاد داد تا اسلام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پيشنهاد وى را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همين پيشنهاد را به بنى حنيفه و بنى عامر بن صعصعه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ميان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امر با تو بيعت كنيم و آن گاه خداوند تو را بر مخالفان، پيروز گرداند، آيا بعد از تو،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مى شود؟</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إلى اللّه يضعه حيث شاء؛</w:t>
      </w:r>
    </w:p>
    <w:p>
      <w:pPr>
        <w:pStyle w:val="BookText"/>
        <w:rPr/>
      </w:pPr>
      <w:r>
        <w:rPr>
          <w:rFonts w:ascii="Amiri" w:hAnsi="Amiri" w:eastAsia="Amiri" w:cs="Amiri"/>
          <w:color w:val="111111"/>
          <w:sz w:val="28"/>
          <w:sz w:val="28"/>
          <w:szCs w:val="28"/>
          <w:rtl w:val="true"/>
          <w:lang w:bidi="ar-SA"/>
        </w:rPr>
        <w:t>اين امر با خداست و آن را به هر كه خواهد عطا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حمايت از تو با اعراب بجنگيم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روايت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سينۀ خود را آماج تيرهاى اعراب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خداوند تو را پيروز گرداند،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امر تو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قبايل مذكور از پذيرش اسلام، سر باز زدند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ملاحظه مى كنيد، اين حديث، شايان توجه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وآله به هنگام ورود خود به قبيلۀ مذكور و دعوت آنان به توحيد، در سخت ترين شرايط قرار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پايۀ اين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تا به او ايمان آورده و او را از مكر و اذيّت شرك ورزان، در امان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آن ها به دعوت پيامبر اكرم صلى اللّه عليه وآله بسيار زشت و زننده بود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عشيره تو از حقيقت تو آگاه ترند؛ كه از تو پيروى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پيامبر صلى اللّه عليه وآله اهميّت داشت كه حتّى يك فرد، ايمان بياورد، از او اطاعت نمايد و آزار و اذيت قريش و ديگران را از آن حضرت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هنگامى كه قبيلۀ مذكور از او خواستند تا در صورت پيروزى بر مخالفان، رياست را به آنان واگذار نمايد، با صراحت تمام و بدون هيچ ترديدى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إلى اللّه يضعه حيث شاء؛</w:t>
      </w:r>
    </w:p>
    <w:p>
      <w:pPr>
        <w:pStyle w:val="BookText"/>
        <w:rPr/>
      </w:pPr>
      <w:r>
        <w:rPr>
          <w:rFonts w:ascii="Amiri" w:hAnsi="Amiri" w:eastAsia="Amiri" w:cs="Amiri"/>
          <w:color w:val="111111"/>
          <w:sz w:val="28"/>
          <w:sz w:val="28"/>
          <w:szCs w:val="28"/>
          <w:rtl w:val="true"/>
          <w:lang w:bidi="ar-SA"/>
        </w:rPr>
        <w:t>اين امر با خداست و آن را به هركه بخواهد عطا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پس از پيامبر صلى اللّه عليه وآله در اختيار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نبوّت نيز به اختيار ايشان نبوده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حادثۀ تاريخى از محكم ترين دلايل سمعى است كه نشان مى دهد</w:t>
      </w:r>
      <w:bookmarkStart w:id="104" w:name="pg7099_52745"/>
    </w:p>
    <w:p>
      <w:pPr>
        <w:pStyle w:val="BookText"/>
        <w:rPr/>
      </w:pPr>
      <w:bookmarkEnd w:id="104"/>
      <w:r>
        <w:rPr>
          <w:rFonts w:ascii="IRNazanin" w:hAnsi="IRNazanin" w:eastAsia="IRNazanin"/>
          <w:color w:val="111111"/>
          <w:sz w:val="28"/>
          <w:sz w:val="28"/>
          <w:szCs w:val="28"/>
          <w:rtl w:val="true"/>
          <w:lang w:bidi="fa-IR"/>
        </w:rPr>
        <w:t>نصب امام، در اختيار خداى سبحان است و پيامبر اكرم صلى اللّه عليه وآله نه تنها نمى تواند تعيين امام را به مردم واگذارد كه حتى خود ايشان نيز اجازۀ نصب امام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وجوب نصب امام بر خداوند متعال دلايلى وجود دارد كه وجوب لطف الاهى از جمله دلايل آن به شمار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اين كه خداوند متعال امام را نصب كرده است آيات فراوان قرآن كريم و احاديث قطعى پيامبر اكرم صلى اللّه عليه وآله نشان مى دهد كه خداوند، تكليف امامت را پس از رسول خدا صلى اللّه عليه وآله روشن نموده و امام را تعيين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اماميّه نيز در كتاب هاى امامت خود، به اين آيات و احاديث، استناد كرده اند</w:t>
      </w:r>
      <w:r>
        <w:rPr>
          <w:rFonts w:eastAsia="IRNazanin" w:cs="IRNazanin"/>
          <w:color w:val="111111"/>
          <w:sz w:val="28"/>
          <w:szCs w:val="28"/>
          <w:rtl w:val="true"/>
          <w:lang w:bidi="fa-IR"/>
        </w:rPr>
        <w:t>.</w:t>
      </w:r>
    </w:p>
    <w:p>
      <w:pPr>
        <w:pStyle w:val="Heading4"/>
        <w:numPr>
          <w:ilvl w:val="3"/>
          <w:numId w:val="1"/>
        </w:numPr>
        <w:rPr/>
      </w:pPr>
      <w:bookmarkStart w:id="105" w:name="__RefHeading___Toc3655112_372815092"/>
      <w:bookmarkStart w:id="106" w:name="_Toc39"/>
      <w:bookmarkEnd w:id="105"/>
      <w:r>
        <w:rPr>
          <w:rtl w:val="true"/>
        </w:rPr>
        <w:t>امام بعد از پيامبر كيست؟</w:t>
      </w:r>
      <w:bookmarkEnd w:id="106"/>
    </w:p>
    <w:p>
      <w:pPr>
        <w:pStyle w:val="BookText"/>
        <w:rPr/>
      </w:pPr>
      <w:r>
        <w:rPr>
          <w:rFonts w:ascii="IRNazanin" w:hAnsi="IRNazanin" w:eastAsia="IRNazanin"/>
          <w:color w:val="111111"/>
          <w:sz w:val="28"/>
          <w:sz w:val="28"/>
          <w:szCs w:val="28"/>
          <w:rtl w:val="true"/>
          <w:lang w:bidi="fa-IR"/>
        </w:rPr>
        <w:t>اكنون اين پرسش مطرح است كه پس از پيامبر خدا صلى اللّه عليه وآله، امامت بر عهدۀ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معتقد است كه خداى سبحان و پيامبر او، حضرت على عليه السلام را تعيين نموده و او را به عنوان خليفۀ مسلمانان پس از رسول خدا صلى اللّه عليه وآله، منصوب كرده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بر آنند كه خلافت پس از رسول خدا صلى اللّه عليه وآله از آنِ ابوبكر بوده كه به واسطۀ رأى مردم، صورت پذيرفته است</w:t>
      </w:r>
      <w:r>
        <w:rPr>
          <w:rFonts w:eastAsia="IRNazanin" w:cs="IRNazanin"/>
          <w:color w:val="111111"/>
          <w:sz w:val="28"/>
          <w:szCs w:val="28"/>
          <w:rtl w:val="true"/>
          <w:lang w:bidi="fa-IR"/>
        </w:rPr>
        <w:t>.</w:t>
      </w:r>
      <w:bookmarkStart w:id="107" w:name="pg7099_52746"/>
    </w:p>
    <w:p>
      <w:pPr>
        <w:pStyle w:val="Heading4"/>
        <w:numPr>
          <w:ilvl w:val="3"/>
          <w:numId w:val="1"/>
        </w:numPr>
        <w:rPr/>
      </w:pPr>
      <w:bookmarkStart w:id="108" w:name="__RefHeading___Toc3655114_372815092"/>
      <w:bookmarkStart w:id="109" w:name="_Toc40"/>
      <w:bookmarkEnd w:id="107"/>
      <w:bookmarkEnd w:id="108"/>
      <w:r>
        <w:rPr>
          <w:rtl w:val="true"/>
        </w:rPr>
        <w:t>ادلّه شيعه بر امامت حضرت على</w:t>
      </w:r>
      <w:bookmarkEnd w:id="109"/>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شيعۀ اماميّه براى اثبات امامت حضرت على عليه السلام پس از رسول خدا صلى اللّه عليه وآله، استدلال هاى خود را به سه بخش تقسيم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هايى از كتاب و سنّت</w:t>
      </w:r>
    </w:p>
    <w:p>
      <w:pPr>
        <w:pStyle w:val="BookText"/>
        <w:rPr/>
      </w:pPr>
      <w:r>
        <w:rPr>
          <w:rFonts w:ascii="Amiri" w:hAnsi="Amiri" w:eastAsia="Amiri" w:cs="Amiri"/>
          <w:color w:val="111111"/>
          <w:sz w:val="28"/>
          <w:sz w:val="28"/>
          <w:szCs w:val="28"/>
          <w:rtl w:val="true"/>
          <w:lang w:bidi="ar-SA"/>
        </w:rPr>
        <w:t>در اين بخش ادلّۀ امامت حضرت على عليه السلام را از كتاب و سنّت ارائه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عقلى</w:t>
      </w:r>
    </w:p>
    <w:p>
      <w:pPr>
        <w:pStyle w:val="BookText"/>
        <w:rPr/>
      </w:pPr>
      <w:r>
        <w:rPr>
          <w:rFonts w:ascii="IRNazanin" w:hAnsi="IRNazanin" w:eastAsia="IRNazanin"/>
          <w:color w:val="111111"/>
          <w:sz w:val="28"/>
          <w:sz w:val="28"/>
          <w:szCs w:val="28"/>
          <w:rtl w:val="true"/>
          <w:lang w:bidi="fa-IR"/>
        </w:rPr>
        <w:t xml:space="preserve">دليل عقلى بر امامت حضرت على عليه السلام از قياسى منطقى تشكيل مى شود كه حديث، سيره و تاريخ، صغراى آن محسوب مى شود؛ يعنى على عليه السلام پس از پيامبر، برترين مردم بود؛ كبراى اين قياس برگرفته از عقل است به اين معنا كه تقدّم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مقامش پايين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مقامش از همگان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و زشت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امامت خلفاى سه گانه</w:t>
      </w:r>
    </w:p>
    <w:p>
      <w:pPr>
        <w:pStyle w:val="BookText"/>
        <w:rPr/>
      </w:pPr>
      <w:r>
        <w:rPr>
          <w:rFonts w:ascii="Amiri" w:hAnsi="Amiri" w:eastAsia="Amiri" w:cs="Amiri"/>
          <w:color w:val="111111"/>
          <w:sz w:val="28"/>
          <w:sz w:val="28"/>
          <w:szCs w:val="28"/>
          <w:rtl w:val="true"/>
          <w:lang w:bidi="ar-SA"/>
        </w:rPr>
        <w:t>با توجه به تعريف و هدف امامت، شروط قطعى امام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ابوبكر، عمر و عثمان، جايز نيست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شيعۀ اماميّه، حجّت هاى معتبر خود را در سه بخش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بهترين 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نموده اند</w:t>
      </w:r>
      <w:r>
        <w:rPr>
          <w:rFonts w:eastAsia="Amiri" w:cs="Amiri" w:ascii="Amiri" w:hAnsi="Amiri"/>
          <w:color w:val="111111"/>
          <w:sz w:val="28"/>
          <w:szCs w:val="28"/>
          <w:rtl w:val="true"/>
          <w:lang w:bidi="ar-SA"/>
        </w:rPr>
        <w:t>.</w:t>
      </w:r>
      <w:bookmarkStart w:id="110" w:name="pg7099_52747"/>
    </w:p>
    <w:p>
      <w:pPr>
        <w:pStyle w:val="Heading4"/>
        <w:numPr>
          <w:ilvl w:val="3"/>
          <w:numId w:val="1"/>
        </w:numPr>
        <w:rPr/>
      </w:pPr>
      <w:bookmarkStart w:id="111" w:name="__RefHeading___Toc3655116_372815092"/>
      <w:bookmarkStart w:id="112" w:name="_Toc41"/>
      <w:bookmarkEnd w:id="110"/>
      <w:bookmarkEnd w:id="111"/>
      <w:r>
        <w:rPr>
          <w:rtl w:val="true"/>
        </w:rPr>
        <w:t>شيعه اماميه و پايبندى به جدال احسن</w:t>
      </w:r>
      <w:bookmarkEnd w:id="112"/>
    </w:p>
    <w:p>
      <w:pPr>
        <w:pStyle w:val="BookText"/>
        <w:rPr/>
      </w:pPr>
      <w:r>
        <w:rPr>
          <w:rFonts w:ascii="IRNazanin" w:hAnsi="IRNazanin" w:eastAsia="IRNazanin"/>
          <w:color w:val="111111"/>
          <w:sz w:val="28"/>
          <w:sz w:val="28"/>
          <w:szCs w:val="28"/>
          <w:rtl w:val="true"/>
          <w:lang w:bidi="fa-IR"/>
        </w:rPr>
        <w:t>شيعۀ اماميّه بر اساس اصلى ترين قاعدۀ مناظره، براى ردّ ادعاى امامت ابوبكر از استدلال ها و برهان هاى مورد تأييد اهل سنّت، بهره مى گيرند و به كتاب ها و گفته هاى علماى آنان، استناد مى نمايند</w:t>
      </w:r>
      <w:r>
        <w:rPr>
          <w:rFonts w:eastAsia="IRNazanin" w:cs="IRNazanin"/>
          <w:color w:val="111111"/>
          <w:sz w:val="28"/>
          <w:szCs w:val="28"/>
          <w:rtl w:val="true"/>
          <w:lang w:bidi="fa-IR"/>
        </w:rPr>
        <w:t>.</w:t>
      </w:r>
    </w:p>
    <w:p>
      <w:pPr>
        <w:pStyle w:val="Heading3"/>
        <w:numPr>
          <w:ilvl w:val="2"/>
          <w:numId w:val="1"/>
        </w:numPr>
        <w:rPr/>
      </w:pPr>
      <w:bookmarkStart w:id="113" w:name="__RefHeading___Toc3655118_372815092"/>
      <w:bookmarkStart w:id="114" w:name="_Toc42"/>
      <w:bookmarkEnd w:id="113"/>
      <w:r>
        <w:rPr>
          <w:rtl w:val="true"/>
        </w:rPr>
        <w:t>نمونه هايى از استدلال هاى شيعه</w:t>
      </w:r>
      <w:bookmarkEnd w:id="114"/>
    </w:p>
    <w:p>
      <w:pPr>
        <w:pStyle w:val="Heading4"/>
        <w:numPr>
          <w:ilvl w:val="3"/>
          <w:numId w:val="1"/>
        </w:numPr>
        <w:rPr/>
      </w:pPr>
      <w:bookmarkStart w:id="115" w:name="__RefHeading___Toc3655120_372815092"/>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براى مثال، استدلال به حديث غدير خم براى اثبات امامت امير مؤمنان على عليه السلام چنين صورت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أولى بالمؤمنين من أنفسهم؟</w:t>
      </w:r>
    </w:p>
    <w:p>
      <w:pPr>
        <w:pStyle w:val="BookText"/>
        <w:rPr/>
      </w:pPr>
      <w:r>
        <w:rPr>
          <w:rFonts w:ascii="Amiri" w:hAnsi="Amiri" w:eastAsia="Amiri" w:cs="Amiri"/>
          <w:color w:val="111111"/>
          <w:sz w:val="28"/>
          <w:sz w:val="28"/>
          <w:szCs w:val="28"/>
          <w:rtl w:val="true"/>
          <w:lang w:bidi="ar-SA"/>
        </w:rPr>
        <w:t>آيا من از مؤمنان به خودشان سزاوارتر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من مولاى او هستم پس على مولاى اوست،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داران او را دوست و دشمنانش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برخى از اهل سنّت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است</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ابن تيميّه در 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 خدا صلى اللّه عليه وآله چنين سخنانى را نگفته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تن از علماى بزرگ اهل سنّت، حديث فوق را نقل كرده 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ممكن است طرف مقابل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آن روز كجا بود؟ او در آن روز در يمن بود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شيعه ناگزير است در پاسخ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او از يمن را فلانى و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اهل سنّت، نقل كرده 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ممكن است طرف مقابل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 ندارد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تفتازانى در شرح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274/5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فلانى و فلانى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علماى اهل سنّت نقل كرده اند</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ممكن است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شيعه در پاسخ او، ليستى از زبان شناسان بزرگ اهل سنّت را ارائه مى كند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68"/>
      </w:r>
      <w:bookmarkStart w:id="117" w:name="pg7099_52750"/>
    </w:p>
    <w:p>
      <w:pPr>
        <w:pStyle w:val="Heading4"/>
        <w:numPr>
          <w:ilvl w:val="3"/>
          <w:numId w:val="1"/>
        </w:numPr>
        <w:rPr/>
      </w:pPr>
      <w:bookmarkStart w:id="118" w:name="__RefHeading___Toc3655122_372815092"/>
      <w:bookmarkStart w:id="119" w:name="_Toc44"/>
      <w:bookmarkEnd w:id="117"/>
      <w:bookmarkEnd w:id="118"/>
      <w:r>
        <w:rPr>
          <w:rtl w:val="true"/>
        </w:rPr>
        <w:t xml:space="preserve">استدلال به حديث </w:t>
      </w:r>
      <w:r>
        <w:rPr>
          <w:rtl w:val="true"/>
        </w:rPr>
        <w:t>«</w:t>
      </w:r>
      <w:r>
        <w:rPr>
          <w:rtl w:val="true"/>
        </w:rPr>
        <w:t>مدينة العلم</w:t>
      </w:r>
      <w:r>
        <w:rPr>
          <w:rtl w:val="true"/>
        </w:rPr>
        <w:t>»</w:t>
      </w:r>
      <w:bookmarkEnd w:id="119"/>
    </w:p>
    <w:p>
      <w:pPr>
        <w:pStyle w:val="BookText"/>
        <w:rPr/>
      </w:pPr>
      <w:r>
        <w:rPr>
          <w:rFonts w:ascii="IRNazanin" w:hAnsi="IRNazanin" w:eastAsia="IRNazanin"/>
          <w:color w:val="111111"/>
          <w:sz w:val="28"/>
          <w:sz w:val="28"/>
          <w:szCs w:val="28"/>
          <w:rtl w:val="true"/>
          <w:lang w:bidi="fa-IR"/>
        </w:rPr>
        <w:t>شيعه، در استدلال ديگر به اين سخن رسول خدا صلى اللّه عليه وآله استدلال مى كند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وعلي بابها، فمن أراد المدينة فليأتها من بابها؛</w:t>
      </w:r>
    </w:p>
    <w:p>
      <w:pPr>
        <w:pStyle w:val="BookText"/>
        <w:rPr/>
      </w:pPr>
      <w:r>
        <w:rPr>
          <w:rFonts w:ascii="IRNazanin" w:hAnsi="IRNazanin" w:eastAsia="IRNazanin"/>
          <w:color w:val="111111"/>
          <w:sz w:val="28"/>
          <w:sz w:val="28"/>
          <w:szCs w:val="28"/>
          <w:rtl w:val="true"/>
          <w:lang w:bidi="fa-IR"/>
        </w:rPr>
        <w:t>من شهر علم هستم و على دروازۀ آن است؛ پس هر كس بخواهد وارد اين شهر شود بايد از دروازۀ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اهل سنّت به اين استدلال اعتراض مى كنند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به پيامبر خدا صلى اللّه عليه وآله دروغ بسته 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ابن جوزى در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تيميّه در الفتاوى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در پاسخ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علماى اهل سنّت آن را نقل كرده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فلانى و فلانى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صحيح</w:t>
      </w:r>
    </w:p>
    <w:p>
      <w:pPr>
        <w:pStyle w:val="BookText"/>
        <w:rPr/>
      </w:pP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اين حديث را صحيح دانسته اند مى توان به اين علما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در نقل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148/13</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36464</w:t>
      </w:r>
      <w:r>
        <w:rPr>
          <w:rFonts w:ascii="IRNazanin" w:hAnsi="IRNazanin" w:eastAsia="IRNazanin"/>
          <w:color w:val="111111"/>
          <w:sz w:val="28"/>
          <w:sz w:val="28"/>
          <w:szCs w:val="28"/>
          <w:rtl w:val="true"/>
          <w:lang w:bidi="fa-IR"/>
        </w:rPr>
        <w:t>، ابن جرير طبرى در تهذيب الآثار به نقل از فتح الملك العلى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حاكم نيشابورى و خطيب بغدادى كه در پاورقى قبل اشاره شد، حافظ ابومحمّد حسن بن احمد سمرقندى در بحر الأسانيد فى صحاح المسانيد به نقل از فتح الملك العلى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جلال الدين سيوطى در جمع الجوامع به نقل از فتح الملك العلى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متّقى هندى در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149/13</w:t>
      </w:r>
      <w:r>
        <w:rPr>
          <w:rFonts w:ascii="IRNazanin" w:hAnsi="IRNazanin" w:eastAsia="IRNazanin"/>
          <w:color w:val="111111"/>
          <w:sz w:val="28"/>
          <w:sz w:val="28"/>
          <w:szCs w:val="28"/>
          <w:rtl w:val="true"/>
          <w:lang w:bidi="fa-IR"/>
        </w:rPr>
        <w:t>، احمد بن محمّد بن صدّيق غمارى در فتح الملك العلى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طرف مقابل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دروازه هاى شهر علم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شيعى در پاسخ او در پرتو كتاب هاى اهل سنّت جهل و نادانى ابوبكر، عمر و عثمان را ثابت مى كند كه آن ها از ساده ترين مسائل دينى</w:t>
      </w:r>
      <w:bookmarkStart w:id="120" w:name="pg7099_52752"/>
    </w:p>
    <w:p>
      <w:pPr>
        <w:pStyle w:val="BookText"/>
        <w:rPr/>
      </w:pPr>
      <w:bookmarkEnd w:id="120"/>
      <w:r>
        <w:rPr>
          <w:rFonts w:ascii="IRNazanin" w:hAnsi="IRNazanin" w:eastAsia="IRNazanin"/>
          <w:color w:val="111111"/>
          <w:sz w:val="28"/>
          <w:sz w:val="28"/>
          <w:szCs w:val="28"/>
          <w:rtl w:val="true"/>
          <w:lang w:bidi="fa-IR"/>
        </w:rPr>
        <w:t>نيز بى اطلاع بوده اند تا جايى كه اصحابِ نادانى چون مغيرة بن شعبه و ديگران، آن ها را با مسائل مذكور آشنا كرده 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مسائل مى توان به مسأله كلاله، واژه أبّ، چگونگى تيمّم و مسأله ارث و مهريۀ زنان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در اين زمينه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الغدير اثر علاّمه امينى قدّس سرّه جلدهاى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اين موقع برخى از اهل سنّت ناچار باشند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مذكور،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صفت دروازه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پاسخ او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تن از علماى اهل تسنّن، ديدگاه فوق را تقبيح نموده و تعدادى نيز به تمسخر آن پرداخته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1" w:name="__RefHeading___Toc3655124_372815092"/>
      <w:bookmarkStart w:id="122" w:name="_Toc45"/>
      <w:bookmarkEnd w:id="121"/>
      <w:r>
        <w:rPr>
          <w:rtl w:val="true"/>
        </w:rPr>
        <w:t xml:space="preserve">استدلال به حديث </w:t>
      </w:r>
      <w:r>
        <w:rPr>
          <w:rtl w:val="true"/>
        </w:rPr>
        <w:t>«</w:t>
      </w:r>
      <w:r>
        <w:rPr>
          <w:rtl w:val="true"/>
        </w:rPr>
        <w:t>طير</w:t>
      </w:r>
      <w:r>
        <w:rPr>
          <w:rtl w:val="true"/>
        </w:rPr>
        <w:t>»</w:t>
      </w:r>
      <w:bookmarkEnd w:id="122"/>
    </w:p>
    <w:p>
      <w:pPr>
        <w:pStyle w:val="BookText"/>
        <w:rPr/>
      </w:pPr>
      <w:r>
        <w:rPr>
          <w:rFonts w:ascii="IRNazanin" w:hAnsi="IRNazanin" w:eastAsia="IRNazanin"/>
          <w:color w:val="111111"/>
          <w:sz w:val="28"/>
          <w:sz w:val="28"/>
          <w:szCs w:val="28"/>
          <w:rtl w:val="true"/>
          <w:lang w:bidi="fa-IR"/>
        </w:rPr>
        <w:t>شيعه در استدلال ديگر، به حديث طير اشاره مى كند و مى 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براى پيامبر اكرم صلى اللّه عليه وآله پرنده بريانى را آوردند تا 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ائتني بأحب خلقك إليك وإلى رسولك يأكل معي من هذا الطير؛</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فرد براى خود و رسولت را بفرست تا همراه من از اين پرنده تناول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اندكى حضرت على عليه السلام آمد و همراه پيامبر اكرم صلى اللّه عليه وآله از آن پرنده ميل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تشويش و اضطراب بزرگان اهل سنّت در مقام پاسخ گويى به اين استدلال شيعه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اهل سنّت، ادعاى دروغ و جعلى بودن اين حديث را مطرح كرده است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بايد گفت كه تعدادى از پيشوايان بزرگ اهل سنّت، اين حديث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سندهاى فراوان و راويان مورد اعتماد بهره مى برد و علماى جرح و تعديل اهل سنّت، موردِ اعتماد بودنِ آن ها را تأكيد كرده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عالمان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اين حديث صحيح كه به صراحت، برترى امير مؤمنان على عليه السلام را مورد تأكيد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احتمالات توخالى و دلايل بى ارزش شده و چنين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دعاى پيامبر صلى اللّه عليه وآله از آن رو بوده كه تنهايى غذا خوردن را دوست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دارد على عليه السلام، تنها در تناول غذا، محبوب ترين فرد براى خدا و رسول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دارد مقصود پيامبر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فرد براى خود و رسولت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بفرست كه جزء محبوب ترين انسان ها براى تو و رسولت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احتمالات ادامه مى يابد و سرانجام احتمال آخر اين گونه مطرح مى 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دارد ابوبكر و عمر در آن موقع، در مدينۀ منوّره حضور نداشته اند</w:t>
      </w:r>
      <w:r>
        <w:rPr>
          <w:rFonts w:eastAsia="Amiri" w:cs="Amiri" w:ascii="Amiri" w:hAnsi="Amiri"/>
          <w:color w:val="111111"/>
          <w:sz w:val="28"/>
          <w:szCs w:val="28"/>
          <w:rtl w:val="true"/>
          <w:lang w:bidi="ar-SA"/>
        </w:rPr>
        <w:t>!!</w:t>
      </w:r>
      <w:bookmarkStart w:id="123" w:name="pg7099_52755"/>
    </w:p>
    <w:p>
      <w:pPr>
        <w:pStyle w:val="Heading3"/>
        <w:numPr>
          <w:ilvl w:val="2"/>
          <w:numId w:val="1"/>
        </w:numPr>
        <w:rPr/>
      </w:pPr>
      <w:bookmarkStart w:id="124" w:name="__RefHeading___Toc3655126_372815092"/>
      <w:bookmarkStart w:id="125" w:name="_Toc46"/>
      <w:bookmarkEnd w:id="123"/>
      <w:bookmarkEnd w:id="124"/>
      <w:r>
        <w:rPr>
          <w:rtl w:val="true"/>
        </w:rPr>
        <w:t>موضع شيعه در برابر هجوم مخالفان</w:t>
      </w:r>
      <w:bookmarkEnd w:id="125"/>
    </w:p>
    <w:p>
      <w:pPr>
        <w:pStyle w:val="Heading4"/>
        <w:numPr>
          <w:ilvl w:val="3"/>
          <w:numId w:val="1"/>
        </w:numPr>
        <w:rPr/>
      </w:pPr>
      <w:bookmarkStart w:id="126" w:name="__RefHeading___Toc3655128_372815092"/>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همان گونه كه پيش تر اشاره شد، شيعه اماميه اثناعشريه كتاب هايى را در زمينه اصول دين؛ به ويژه در امامت به رشته تحرير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فعاليت علماى شيعه را در نگارش اين كتاب ها مى توان به دو بخش، تقسيم كرد</w:t>
      </w:r>
      <w:r>
        <w:rPr>
          <w:rFonts w:eastAsia="IRNazanin" w:cs="IRNazanin"/>
          <w:color w:val="111111"/>
          <w:sz w:val="28"/>
          <w:szCs w:val="28"/>
          <w:rtl w:val="true"/>
          <w:lang w:bidi="fa-IR"/>
        </w:rPr>
        <w:t>:</w:t>
      </w:r>
    </w:p>
    <w:p>
      <w:pPr>
        <w:pStyle w:val="Heading4"/>
        <w:numPr>
          <w:ilvl w:val="3"/>
          <w:numId w:val="1"/>
        </w:numPr>
        <w:rPr/>
      </w:pPr>
      <w:bookmarkStart w:id="128" w:name="__RefHeading___Toc3655130_372815092"/>
      <w:bookmarkStart w:id="129" w:name="_Toc48"/>
      <w:bookmarkEnd w:id="128"/>
      <w:r>
        <w:rPr/>
        <w:t>1</w:t>
      </w:r>
      <w:r>
        <w:rPr>
          <w:rtl w:val="true"/>
        </w:rPr>
        <w:t xml:space="preserve">. </w:t>
      </w:r>
      <w:r>
        <w:rPr>
          <w:rtl w:val="true"/>
        </w:rPr>
        <w:t>نگارش كتاب هاى استدلالى</w:t>
      </w:r>
      <w:bookmarkEnd w:id="129"/>
    </w:p>
    <w:p>
      <w:pPr>
        <w:pStyle w:val="BookText"/>
        <w:rPr/>
      </w:pPr>
      <w:r>
        <w:rPr>
          <w:rFonts w:ascii="IRNazanin" w:hAnsi="IRNazanin" w:eastAsia="IRNazanin"/>
          <w:color w:val="111111"/>
          <w:sz w:val="28"/>
          <w:sz w:val="28"/>
          <w:szCs w:val="28"/>
          <w:rtl w:val="true"/>
          <w:lang w:bidi="fa-IR"/>
        </w:rPr>
        <w:t>علماى شيعه به منظور اثبات استدلالىِ اصول دين و به ويژه امامت، كتاب هايى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ها عقايد شيعه و ادلّۀ آن مورد اشاره قرار گرفته و گاه با عقايد ديگر فرقه هاى اسلامى، مقايسه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ها مى توان به موارد ذيل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شيخ مفيد بغدادى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 فى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نوشتۀ سيد مرتضى موسوى بغدادى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الإقتصاد الهادى إلى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ابوجعفر 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شيخ نصيرالدين طوسى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كتاب هاى علاّمه حلّى رحمه اللّه همانند كتاب نهج الحقّ وكشف الصّدق كه به تفصيل درباره آن سخن خواهيم گفت</w:t>
      </w:r>
      <w:r>
        <w:rPr>
          <w:rFonts w:eastAsia="IRNazanin" w:cs="IRNazanin"/>
          <w:color w:val="111111"/>
          <w:sz w:val="28"/>
          <w:szCs w:val="28"/>
          <w:rtl w:val="true"/>
          <w:lang w:bidi="fa-IR"/>
        </w:rPr>
        <w:t>.</w:t>
      </w:r>
    </w:p>
    <w:p>
      <w:pPr>
        <w:pStyle w:val="Heading4"/>
        <w:numPr>
          <w:ilvl w:val="3"/>
          <w:numId w:val="1"/>
        </w:numPr>
        <w:rPr/>
      </w:pPr>
      <w:bookmarkStart w:id="130" w:name="__RefHeading___Toc3655132_372815092"/>
      <w:bookmarkStart w:id="131" w:name="_Toc49"/>
      <w:bookmarkEnd w:id="130"/>
      <w:r>
        <w:rPr/>
        <w:t>2</w:t>
      </w:r>
      <w:r>
        <w:rPr>
          <w:rtl w:val="true"/>
        </w:rPr>
        <w:t xml:space="preserve">. </w:t>
      </w:r>
      <w:r>
        <w:rPr>
          <w:rtl w:val="true"/>
        </w:rPr>
        <w:t>نگارش كتاب هايى در رد مخالفان</w:t>
      </w:r>
      <w:bookmarkEnd w:id="13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شيعه در مقام پاسخ گويى يا نقض كتاب هاى ضدّ شيعى</w:t>
      </w:r>
    </w:p>
    <w:p>
      <w:pPr>
        <w:pStyle w:val="BookText"/>
        <w:rPr/>
      </w:pPr>
      <w:r>
        <w:rPr>
          <w:rFonts w:ascii="Amiri" w:hAnsi="Amiri" w:eastAsia="Amiri" w:cs="Amiri"/>
          <w:color w:val="111111"/>
          <w:sz w:val="28"/>
          <w:sz w:val="28"/>
          <w:szCs w:val="28"/>
          <w:rtl w:val="true"/>
          <w:lang w:bidi="ar-SA"/>
        </w:rPr>
        <w:t>مخالفان نيز كتاب هايى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 رسد كه اين بخش از كتاب هاى علماى شيعه، افزون تر از كتاب هاى بخش نخست است؛ چرا كه مخالفان شيعه از زمان هاى دور، از روى لجاجت و انكار حقايق، عقايد شيعه را با فحش و ناسزاهاى خود، مورد حمله قرار داده و در اين راه از هيچ تلاشى فروگذار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پيامبر خدا صلى اللّه عليه وآله در حديثى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فيكم كمثل سفينة نوح، من ركبها نجا ومن تخلّف عنها هلك؛</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مثال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ابن قتيبه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شرح حال ابوذر غفارى، المعجم الكبير، 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2638</w:t>
      </w:r>
      <w:r>
        <w:rPr>
          <w:rFonts w:ascii="Amiri" w:hAnsi="Amiri" w:eastAsia="Amiri" w:cs="Amiri"/>
          <w:color w:val="111111"/>
          <w:sz w:val="28"/>
          <w:sz w:val="28"/>
          <w:szCs w:val="28"/>
          <w:rtl w:val="true"/>
          <w:lang w:bidi="ar-SA"/>
        </w:rPr>
        <w:t>، المعجم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5870</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4720</w:t>
      </w:r>
      <w:r>
        <w:rPr>
          <w:rFonts w:ascii="Amiri" w:hAnsi="Amiri" w:eastAsia="Amiri" w:cs="Amiri"/>
          <w:color w:val="111111"/>
          <w:sz w:val="28"/>
          <w:sz w:val="28"/>
          <w:szCs w:val="28"/>
          <w:rtl w:val="true"/>
          <w:lang w:bidi="ar-SA"/>
        </w:rPr>
        <w:t>، 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احمد بن حنبل، الصواعق المحرقه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بيت من در ميان شما هم چون كشتى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سوار آن شود نجات مى يابد و هر كس از آن روى گرداند هلاك مى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اهل سنّت به راحتى اين حديث را انكار كرده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دروغ و جعلى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 چنين پيامبر اكرم صلى اللّه عليه وآله در حديث ديگرى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أنا وعلي من نور واحد؛</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الصّحابه،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823/2</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المناقب، خوارزمى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4884</w:t>
      </w:r>
      <w:r>
        <w:rPr>
          <w:rFonts w:ascii="IRNazanin" w:hAnsi="IRNazanin" w:eastAsia="IRNazanin"/>
          <w:color w:val="111111"/>
          <w:sz w:val="28"/>
          <w:sz w:val="28"/>
          <w:szCs w:val="28"/>
          <w:rtl w:val="true"/>
          <w:lang w:bidi="fa-IR"/>
        </w:rPr>
        <w:t>، تاريخ مدينة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67/42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 على از يك نور، آفريده شده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اهل سنّت به آسانى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اجماع اهل سنّت، جعلى و ساختگى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هم چنين پيش تر گذشت كه پيامبر خدا صلى اللّه عليه وآله در حديثى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ائتني بأحب خلقك إليك وإلى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ترين فرد براى تو و رسولت را بفرست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راحتى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نويسندگان صحاح اين حديث را نقل ننموده و ائمۀ حديث نيز، صحّت آن را تأييد نكرده اند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هم چنين آنان به آسانى مى توانند در مورد حديث غدير</w:t>
      </w:r>
      <w:r>
        <w:rPr>
          <w:rStyle w:val="FootnoteAnchor"/>
          <w:rtl w:val="true"/>
        </w:rPr>
        <w:footnoteReference w:id="79"/>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يك از ائمه،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صفحۀ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ديگر حديث ثقلين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حديث ارزشمند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وإنّهما لن يفترقا حتّى يردا علَيَّ الحوض؛</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من دو چيز گرانبها را در ميان شما باقى مى گذارم كه يكى از ديگرى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هم چون ريسمانى از آسمان به سوى زمين كشيده شده است و عترتم اهل بيتم، اين دو هيچ گاه از هم جدا نمى شوند تا اين كه در كنار حوض بر من وارد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اهل سنّت به راحتى اين حديث را تغيير داده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خدا و سنّتم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پيامبر خدا صلى اللّه عليه وآله در حديث بستن درها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اُمرت بسدّ الأبواب إلّاباب علي؛</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3732</w:t>
      </w:r>
      <w:r>
        <w:rPr>
          <w:rFonts w:ascii="Amiri" w:hAnsi="Amiri" w:eastAsia="Amiri" w:cs="Amiri"/>
          <w:color w:val="111111"/>
          <w:sz w:val="28"/>
          <w:sz w:val="28"/>
          <w:szCs w:val="28"/>
          <w:rtl w:val="true"/>
          <w:lang w:bidi="ar-SA"/>
        </w:rPr>
        <w:t>، السنن الكبرى، 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8425</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مسند ابى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78/12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12594</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من فرمان داد تا همۀ درها را ببندم به جز در خانه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به آسانى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از آنِ ابوبكر است، امّا شيعيان آن را به نفع على تغيير داده 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پيامبر خدا صلى اللّه عليه وآله در حديث منزلت به امير مؤمنان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ترضى أن تكون منّي بمنزلة هارون من موسى؛</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آيا خشنود نيستى كه براى من، هم چون هارون براى موسى باشى؟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اهل سنّت به راحتى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بر عموم منزلت دلالت نمى كند</w:t>
      </w:r>
      <w:r>
        <w:rPr>
          <w:rFonts w:eastAsia="IRNazanin" w:cs="IRNazanin"/>
          <w:color w:val="111111"/>
          <w:sz w:val="28"/>
          <w:szCs w:val="28"/>
          <w:rtl w:val="true"/>
          <w:lang w:bidi="fa-IR"/>
        </w:rPr>
        <w:t>.</w:t>
      </w:r>
      <w:r>
        <w:rPr>
          <w:rStyle w:val="FootnoteAnchor"/>
          <w:rtl w:val="true"/>
        </w:rPr>
        <w:footnoteReference w:id="86"/>
      </w:r>
      <w:bookmarkStart w:id="132" w:name="pg7099_52760"/>
    </w:p>
    <w:p>
      <w:pPr>
        <w:pStyle w:val="BookText"/>
        <w:rPr/>
      </w:pPr>
      <w:bookmarkEnd w:id="132"/>
      <w:r>
        <w:rPr>
          <w:rFonts w:ascii="IRNazanin" w:hAnsi="IRNazanin" w:eastAsia="IRNazanin"/>
          <w:color w:val="111111"/>
          <w:sz w:val="28"/>
          <w:sz w:val="28"/>
          <w:szCs w:val="28"/>
          <w:rtl w:val="true"/>
          <w:lang w:bidi="fa-IR"/>
        </w:rPr>
        <w:t>روشن است كه هر يك از گفته هاى مذكور، از يك يا دو خطّ فراتر نمى رود، امّا چنان كه پيداست، پاسخ گويى به آن ها، مباحثات فراوانى را مى طلبد و چه بسا به يك كتاب مستقل نياز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روست كه تأليفات اماميّه در پاسخ گويى و نقض شبهات مخالفان، فراوان شده است و علماى شيعه غالباً در مقام دفاع از مبانى مذهب جعفرى و اصول دين هستند و چه بسا هيچ كتابى را نيابيم كه نوشتن آن به منظور حمله به مخالفان صورت گرفته باشد</w:t>
      </w:r>
      <w:r>
        <w:rPr>
          <w:rFonts w:eastAsia="IRNazanin" w:cs="IRNazanin"/>
          <w:color w:val="111111"/>
          <w:sz w:val="28"/>
          <w:szCs w:val="28"/>
          <w:rtl w:val="true"/>
          <w:lang w:bidi="fa-IR"/>
        </w:rPr>
        <w:t>.</w:t>
      </w:r>
    </w:p>
    <w:p>
      <w:pPr>
        <w:pStyle w:val="Heading4"/>
        <w:numPr>
          <w:ilvl w:val="3"/>
          <w:numId w:val="1"/>
        </w:numPr>
        <w:rPr/>
      </w:pPr>
      <w:bookmarkStart w:id="133" w:name="__RefHeading___Toc3655134_372815092"/>
      <w:bookmarkStart w:id="134" w:name="_Toc50"/>
      <w:bookmarkEnd w:id="133"/>
      <w:r>
        <w:rPr>
          <w:rtl w:val="true"/>
        </w:rPr>
        <w:t>جاحظ و سيد بن طاووس</w:t>
      </w:r>
      <w:bookmarkEnd w:id="134"/>
    </w:p>
    <w:p>
      <w:pPr>
        <w:pStyle w:val="BookText"/>
        <w:rPr/>
      </w:pPr>
      <w:r>
        <w:rPr>
          <w:rFonts w:ascii="IRNazanin" w:hAnsi="IRNazanin" w:eastAsia="IRNazanin"/>
          <w:color w:val="111111"/>
          <w:sz w:val="28"/>
          <w:sz w:val="28"/>
          <w:szCs w:val="28"/>
          <w:rtl w:val="true"/>
          <w:lang w:bidi="fa-IR"/>
        </w:rPr>
        <w:t xml:space="preserve">جاحظ، متوفّاى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كتاب عثمانيه را در حمله به شيعه تأليف كرد و آن را از دروغ، انكار ضروريّات و ردّ بديهيات پر كرد تا جايى كه كوشيد شجاعت امير مؤمنان على عليه السلام را نيز انكار كند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مسعودى 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جاحظ از نگارش اين كتاب ميراندن حق و مخالفت با اهل حق بود، اما خداوند نور خود را كامل مى كند، هر چند كفرورزان را خوش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جاحظ بعدها به نقض كتاب خود پرداخت و نخستين</w:t>
      </w:r>
      <w:bookmarkStart w:id="135" w:name="pg7099_52761"/>
    </w:p>
    <w:p>
      <w:pPr>
        <w:pStyle w:val="BookText"/>
        <w:rPr/>
      </w:pPr>
      <w:bookmarkEnd w:id="135"/>
      <w:r>
        <w:rPr>
          <w:rFonts w:ascii="IRNazanin" w:hAnsi="IRNazanin" w:eastAsia="IRNazanin"/>
          <w:color w:val="111111"/>
          <w:sz w:val="28"/>
          <w:sz w:val="28"/>
          <w:szCs w:val="28"/>
          <w:rtl w:val="true"/>
          <w:lang w:bidi="fa-IR"/>
        </w:rPr>
        <w:t>كسى بود كه در مقام پاسخ گويى به كتاب عثمانيه برآمد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ابن 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او گروهى از علماى اماميّه و ديگران در پاسخ به كتاب عثمانيّه، به نگارش پژوهش هايى پرداختند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علما مى توان ابوجعفر اسكافى معتزلى، متوفّاى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مسعودى نگارنده مروج الذّهب، متوفّاى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جمال الدين ابن طاووس حلّى، متوفّاى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چاپ شدۀ بناء المقالة الفاطميه را نام برد</w:t>
      </w:r>
      <w:r>
        <w:rPr>
          <w:rFonts w:eastAsia="IRNazanin" w:cs="IRNazanin"/>
          <w:color w:val="111111"/>
          <w:sz w:val="28"/>
          <w:szCs w:val="28"/>
          <w:rtl w:val="true"/>
          <w:lang w:bidi="fa-IR"/>
        </w:rPr>
        <w:t>.</w:t>
      </w:r>
    </w:p>
    <w:p>
      <w:pPr>
        <w:pStyle w:val="Heading4"/>
        <w:numPr>
          <w:ilvl w:val="3"/>
          <w:numId w:val="1"/>
        </w:numPr>
        <w:rPr/>
      </w:pPr>
      <w:bookmarkStart w:id="136" w:name="__RefHeading___Toc3655136_372815092"/>
      <w:bookmarkStart w:id="137" w:name="_Toc51"/>
      <w:bookmarkEnd w:id="136"/>
      <w:r>
        <w:rPr>
          <w:rtl w:val="true"/>
        </w:rPr>
        <w:t>قاضى عبدالجبّار و سيد مرتضى</w:t>
      </w:r>
      <w:bookmarkEnd w:id="137"/>
    </w:p>
    <w:p>
      <w:pPr>
        <w:pStyle w:val="BookText"/>
        <w:rPr/>
      </w:pPr>
      <w:r>
        <w:rPr>
          <w:rFonts w:ascii="IRNazanin" w:hAnsi="IRNazanin" w:eastAsia="IRNazanin"/>
          <w:color w:val="111111"/>
          <w:sz w:val="28"/>
          <w:sz w:val="28"/>
          <w:szCs w:val="28"/>
          <w:rtl w:val="true"/>
          <w:lang w:bidi="fa-IR"/>
        </w:rPr>
        <w:t xml:space="preserve">قاضى عبدالجبّار بن احمد معتزلى، متوفاى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نيز كتاب المغنى را به رشتۀ تحرير درآورد و طى آن به ردّ و نقد عقايد اماميّه به ويژه در بخش امامت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مقدمۀ كتاب الشافى آمده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قاضى عبدالجبّار در كتاب المغنى جمع آورى شبهات را به اوج رساند و استدلال هاى مستحكم مورد استناد شيوخ خود را نقل كرد؛ وى به اجتهاد خود، مقدارى بر استدلال هاى مذكور افزود و به ابتكار</w:t>
      </w:r>
      <w:bookmarkStart w:id="138" w:name="pg7099_52762"/>
    </w:p>
    <w:p>
      <w:pPr>
        <w:pStyle w:val="BookText"/>
        <w:rPr/>
      </w:pPr>
      <w:bookmarkEnd w:id="138"/>
      <w:r>
        <w:rPr>
          <w:rFonts w:ascii="IRNazanin" w:hAnsi="IRNazanin" w:eastAsia="IRNazanin"/>
          <w:color w:val="111111"/>
          <w:sz w:val="28"/>
          <w:sz w:val="28"/>
          <w:szCs w:val="28"/>
          <w:rtl w:val="true"/>
          <w:lang w:bidi="fa-IR"/>
        </w:rPr>
        <w:t>خود به جرح و تعديل برخى مواضع پرداخت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الشافى فى الإمامه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مرتضى، متوفّاى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پاسخ به قاضى عبدالجبّار، كتاب الشافى فى الإمامه را به رشتۀ تحرير درآورد؛ بعدها شيخ ابوجعفر طوسى، شاگرد سيّد مرتضى و متوفّاى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كتاب استادش را خلاصه نويسى كرد كه اين كتاب با نام تلخيص الشافى شهرت يافت</w:t>
      </w:r>
      <w:r>
        <w:rPr>
          <w:rFonts w:eastAsia="IRNazanin" w:cs="IRNazanin"/>
          <w:color w:val="111111"/>
          <w:sz w:val="28"/>
          <w:szCs w:val="28"/>
          <w:rtl w:val="true"/>
          <w:lang w:bidi="fa-IR"/>
        </w:rPr>
        <w:t>.</w:t>
      </w:r>
    </w:p>
    <w:p>
      <w:pPr>
        <w:pStyle w:val="Heading4"/>
        <w:numPr>
          <w:ilvl w:val="3"/>
          <w:numId w:val="1"/>
        </w:numPr>
        <w:rPr/>
      </w:pPr>
      <w:bookmarkStart w:id="139" w:name="__RefHeading___Toc3655138_372815092"/>
      <w:bookmarkStart w:id="140" w:name="_Toc52"/>
      <w:bookmarkEnd w:id="139"/>
      <w:r>
        <w:rPr>
          <w:rtl w:val="true"/>
        </w:rPr>
        <w:t>شهاب الدين شافعى و شيخ نصيرالدين قزوينى</w:t>
      </w:r>
      <w:bookmarkEnd w:id="140"/>
    </w:p>
    <w:p>
      <w:pPr>
        <w:pStyle w:val="BookText"/>
        <w:rPr/>
      </w:pPr>
      <w:r>
        <w:rPr>
          <w:rFonts w:ascii="Amiri" w:hAnsi="Amiri" w:eastAsia="Amiri" w:cs="Amiri"/>
          <w:color w:val="111111"/>
          <w:sz w:val="28"/>
          <w:sz w:val="28"/>
          <w:szCs w:val="28"/>
          <w:rtl w:val="true"/>
          <w:lang w:bidi="ar-SA"/>
        </w:rPr>
        <w:t xml:space="preserve">شهاب الدين شافعى حنفى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بنى مشّاط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كتابى به نام بعض فضائح الروافض را تأليف كرد و طى آن، تشيّع را مورد حمله قرار داد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جهت شيخ نصيرالدين عبدالجليل بن يوسف ابوالحسن قزوينى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عصر شهاب الدين شافعى مى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وى، كتاب مثالب النّواصب فى نقض بعض فضائح الروافض را به رشتۀ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اين كتاب به چاپ رسيده است</w:t>
      </w:r>
      <w:r>
        <w:rPr>
          <w:rFonts w:eastAsia="IRNazanin" w:cs="IRNazanin"/>
          <w:color w:val="111111"/>
          <w:sz w:val="28"/>
          <w:szCs w:val="28"/>
          <w:rtl w:val="true"/>
          <w:lang w:bidi="fa-IR"/>
        </w:rPr>
        <w:t>.</w:t>
      </w:r>
      <w:bookmarkStart w:id="141" w:name="pg7099_52763"/>
    </w:p>
    <w:p>
      <w:pPr>
        <w:pStyle w:val="Heading4"/>
        <w:numPr>
          <w:ilvl w:val="3"/>
          <w:numId w:val="1"/>
        </w:numPr>
        <w:rPr/>
      </w:pPr>
      <w:bookmarkStart w:id="142" w:name="__RefHeading___Toc3655140_372815092"/>
      <w:bookmarkStart w:id="143" w:name="_Toc53"/>
      <w:bookmarkEnd w:id="141"/>
      <w:bookmarkEnd w:id="142"/>
      <w:r>
        <w:rPr>
          <w:rtl w:val="true"/>
        </w:rPr>
        <w:t>ابن تيميّه حرّانى و پاسخ به ديدگاه او</w:t>
      </w:r>
      <w:bookmarkEnd w:id="143"/>
    </w:p>
    <w:p>
      <w:pPr>
        <w:pStyle w:val="BookText"/>
        <w:rPr/>
      </w:pPr>
      <w:r>
        <w:rPr>
          <w:rFonts w:ascii="IRNazanin" w:hAnsi="IRNazanin" w:eastAsia="IRNazanin"/>
          <w:color w:val="111111"/>
          <w:sz w:val="28"/>
          <w:sz w:val="28"/>
          <w:szCs w:val="28"/>
          <w:rtl w:val="true"/>
          <w:lang w:bidi="fa-IR"/>
        </w:rPr>
        <w:t>بعدها احمد بن عبدالحليم حرّانى ابن تيميّه، كتاب منهاج السُنّه را تأليف و ادّعا نمود كه اين كتاب را در پاسخ به كتاب منهاج الكرامه اثر علاّمه حلّى رحمه اللّه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گفت كه كتاب ابن تيميّه از آغاز تا پايان، از ناسزا و افترا مملو است و در مجموع، دشمنى با امير مؤمنان على عليه السلام و اهل بيت عليهم السلام در آن موج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معاصرين ابن تيميّه در پاسخ به او، كتاب الإنصاف والإنتصاف لأهل الحقّ من أهل الإسراف را به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رشتۀ تحرير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مهدى قزوينى، درگذشتۀ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نيز كتاب منهاج الشريعه را در پاسخ به كتاب ابن تيميّه تأليف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نيز در اين زمينه، كتاب دراسات فى منهاج السنّة را نگاشته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وزين به چاپ رسيده است و در كشورهاى ديگر در دست رس همگان قرار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كتاب شرح منهاج الكرامة را نيز در پاسخ به منهاج السنّة به رشتۀ تحرير درآورده ام كه جلد اوّل آن به چاپ رسيده است</w:t>
      </w:r>
      <w:r>
        <w:rPr>
          <w:rFonts w:eastAsia="IRNazanin" w:cs="IRNazanin"/>
          <w:color w:val="111111"/>
          <w:sz w:val="28"/>
          <w:szCs w:val="28"/>
          <w:rtl w:val="true"/>
          <w:lang w:bidi="fa-IR"/>
        </w:rPr>
        <w:t>.</w:t>
      </w:r>
      <w:bookmarkStart w:id="144" w:name="pg7099_52764"/>
    </w:p>
    <w:p>
      <w:pPr>
        <w:pStyle w:val="Heading4"/>
        <w:numPr>
          <w:ilvl w:val="3"/>
          <w:numId w:val="1"/>
        </w:numPr>
        <w:rPr/>
      </w:pPr>
      <w:bookmarkStart w:id="145" w:name="__RefHeading___Toc3655142_372815092"/>
      <w:bookmarkStart w:id="146" w:name="_Toc54"/>
      <w:bookmarkEnd w:id="144"/>
      <w:bookmarkEnd w:id="145"/>
      <w:r>
        <w:rPr>
          <w:rtl w:val="true"/>
        </w:rPr>
        <w:t>يوسف اعور واسطى و شيخ عزّ الدين حلّى</w:t>
      </w:r>
      <w:bookmarkEnd w:id="146"/>
    </w:p>
    <w:p>
      <w:pPr>
        <w:pStyle w:val="BookText"/>
        <w:rPr/>
      </w:pPr>
      <w:r>
        <w:rPr>
          <w:rFonts w:ascii="Amiri" w:hAnsi="Amiri" w:eastAsia="Amiri" w:cs="Amiri"/>
          <w:color w:val="111111"/>
          <w:sz w:val="28"/>
          <w:sz w:val="28"/>
          <w:szCs w:val="28"/>
          <w:rtl w:val="true"/>
          <w:lang w:bidi="ar-SA"/>
        </w:rPr>
        <w:t>يوسف اعور واسطى شافعى نيز كتاب الرّسالة المعارضة فى الرّد على الرافضه را 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عزّ الدين حسن بن شمس الدّين مهلّبى حلّى در سال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كتاب الأنوار البدرية فى كشف شبه القدريه را در پاسخ به كتاب يوسف اعور،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اين كتاب، تنها به آن بخش از احاديث نبوى استناد كرده ام كه توسّط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ثبوت رسيده است و از روش بحث و شيوۀ اين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الرّسالة المعارضة فى الرّد على الرافضه پرهيز نموده ام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419/2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نجم الدّين خضر بن محمّد حبلرودى رازى نيز در پاسخ به كتاب يوسف اعور، كتاب التوضيح الأنور فى دفع شبه الأعور را به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حلّۀ عراق، به رشتۀ تحرير درآورده است</w:t>
      </w:r>
      <w:r>
        <w:rPr>
          <w:rFonts w:eastAsia="IRNazanin" w:cs="IRNazanin"/>
          <w:color w:val="111111"/>
          <w:sz w:val="28"/>
          <w:szCs w:val="28"/>
          <w:rtl w:val="true"/>
          <w:lang w:bidi="fa-IR"/>
        </w:rPr>
        <w:t>.</w:t>
      </w:r>
    </w:p>
    <w:p>
      <w:pPr>
        <w:pStyle w:val="Heading4"/>
        <w:numPr>
          <w:ilvl w:val="3"/>
          <w:numId w:val="1"/>
        </w:numPr>
        <w:rPr/>
      </w:pPr>
      <w:bookmarkStart w:id="147" w:name="__RefHeading___Toc3655144_372815092"/>
      <w:bookmarkStart w:id="148" w:name="_Toc55"/>
      <w:bookmarkEnd w:id="147"/>
      <w:r>
        <w:rPr>
          <w:rtl w:val="true"/>
        </w:rPr>
        <w:t>ابن حجر هيتمى مكّى و قاضى نور اللّه شوشترى</w:t>
      </w:r>
      <w:bookmarkEnd w:id="1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هيتمى مكّى، متوفاى سال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كتاب الصواعق المحرقة فى الرّد على أهل البدع والزندقه را تأليف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مقدّمۀ اين</w:t>
      </w:r>
    </w:p>
    <w:p>
      <w:pPr>
        <w:pStyle w:val="BookText"/>
        <w:rPr/>
      </w:pPr>
      <w:r>
        <w:rPr>
          <w:rFonts w:ascii="Amiri" w:hAnsi="Amiri" w:eastAsia="Amiri" w:cs="Amiri"/>
          <w:color w:val="111111"/>
          <w:sz w:val="28"/>
          <w:sz w:val="28"/>
          <w:szCs w:val="28"/>
          <w:rtl w:val="true"/>
          <w:lang w:bidi="ar-SA"/>
        </w:rPr>
        <w:t>كتاب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از من خواستند تا كتابى در اثبات صحّت خلافت ابوبكر صدّيق و امارت عمر بن خطّاب، بنويسم؛ من نيز در راستاى خدمت گزارى هر چه سريع تر به ايشان، به اين درخواست پاسخ دادم و به حمد اللّه، كتابى را تأليف كردم كه الگويى دلنشين، روشى گران قدر و راهى استوار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من خواستند تا به جهت فزونى شيعيان، رافضى ها و مانند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در مكّۀ مكرّمه گران قدرترين سرزمين اسلامى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فوق را در رمضان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قرائت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درخواست آن ها را اجابت نمودم به اين اميد كه برخى گمراه شدگان از روشن ترين راه، هدايت يابند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نور اللّه شوشترى كه به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به شهادت رسيد در مقام پاسخ گويى به ابن حجر، كتاب الصوارم المهرقة فى الردّ على الصواعق المحرقه را تأليف نمود كه تا كنون چندين بار به چاپ رسيده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فردى به نام محمّد نصر اللّه كابلى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نامش ناشناخته و احتمال دارد مستعار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الصواقع الموبقة را به رشتۀ تحرير درآورد</w:t>
      </w:r>
      <w:r>
        <w:rPr>
          <w:rFonts w:eastAsia="Amiri" w:cs="Amiri" w:ascii="Amiri" w:hAnsi="Amiri"/>
          <w:color w:val="111111"/>
          <w:sz w:val="28"/>
          <w:szCs w:val="28"/>
          <w:rtl w:val="true"/>
          <w:lang w:bidi="ar-SA"/>
        </w:rPr>
        <w:t>.</w:t>
      </w:r>
      <w:bookmarkStart w:id="149" w:name="pg7099_52766"/>
    </w:p>
    <w:p>
      <w:pPr>
        <w:pStyle w:val="Heading4"/>
        <w:numPr>
          <w:ilvl w:val="3"/>
          <w:numId w:val="1"/>
        </w:numPr>
        <w:rPr/>
      </w:pPr>
      <w:bookmarkStart w:id="150" w:name="__RefHeading___Toc3655146_372815092"/>
      <w:bookmarkStart w:id="151" w:name="_Toc56"/>
      <w:bookmarkEnd w:id="149"/>
      <w:bookmarkEnd w:id="150"/>
      <w:r>
        <w:rPr>
          <w:rtl w:val="true"/>
        </w:rPr>
        <w:t>مولوى عبدالعزيز دهلوى و سيد مير حامد حسين لكهنوى</w:t>
      </w:r>
      <w:bookmarkEnd w:id="151"/>
    </w:p>
    <w:p>
      <w:pPr>
        <w:pStyle w:val="BookText"/>
        <w:rPr/>
      </w:pPr>
      <w:r>
        <w:rPr>
          <w:rFonts w:ascii="IRNazanin" w:hAnsi="IRNazanin" w:eastAsia="IRNazanin"/>
          <w:color w:val="111111"/>
          <w:sz w:val="28"/>
          <w:sz w:val="28"/>
          <w:szCs w:val="28"/>
          <w:rtl w:val="true"/>
          <w:lang w:bidi="fa-IR"/>
        </w:rPr>
        <w:t xml:space="preserve">آن گاه مولوى عبدالعزيز دهلوى، درگذشته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مطالب محمّد نصر اللّه كابلى را اقتباس نمود و در كتاب خود به نام تحفه اثنا 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زبان فارسى نگارش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وى را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شيعۀ اثنا عشرى را در زمينه هاى اصول،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هجوم خود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آلوسى بغدادى، چكيدۀ كتاب مذكور را به زبان عربى و با نام مختصر التحفة الإثنا عشريه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پيروان بنى اميّه و دشمنان دين اسلام، دروغ ها و ياوه گويى هاى خود را در قالب حواشى به اين كتاب افزود و دست هاى گنهكار كه از دنباله روان كفر جهانى بودند، چندين بار آن را به چاپ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بزرگ شيعه در هندوستان، كتاب هاى فراوانى را در پاسخ به ابواب مختلف تحفه اثنا عشريه به رشتۀ تحرير در آوردند، همۀ ادّعاها و تحريفات اين كتاب را تكذيب نموده و سخنان باطل آن را برملا ساختند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مير حامد حسين نيشابورى لكهنوى، متوفّاى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بزرگ عبقات الأنوار فى إثبات إمامة الأئمّة الأطهار، به بخش امامت تحفه اثنا عشريه پاسخ داد و به بررسى و نقد آن پرداخت</w:t>
      </w:r>
      <w:r>
        <w:rPr>
          <w:rFonts w:eastAsia="IRNazanin" w:cs="IRNazanin"/>
          <w:color w:val="111111"/>
          <w:sz w:val="28"/>
          <w:szCs w:val="28"/>
          <w:rtl w:val="true"/>
          <w:lang w:bidi="fa-IR"/>
        </w:rPr>
        <w:t>.</w:t>
      </w:r>
      <w:bookmarkStart w:id="152" w:name="pg7099_52767"/>
    </w:p>
    <w:p>
      <w:pPr>
        <w:pStyle w:val="BookText"/>
        <w:rPr/>
      </w:pPr>
      <w:bookmarkEnd w:id="152"/>
      <w:r>
        <w:rPr>
          <w:rFonts w:ascii="IRNazanin" w:hAnsi="IRNazanin" w:eastAsia="IRNazanin"/>
          <w:color w:val="111111"/>
          <w:sz w:val="28"/>
          <w:sz w:val="28"/>
          <w:szCs w:val="28"/>
          <w:rtl w:val="true"/>
          <w:lang w:bidi="fa-IR"/>
        </w:rPr>
        <w:t>البته كتاب هاى ديگرى نيز در پاسخ به مختصر التحفه به 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اطلاع از جزئيات كتاب عبقات الأنوار و ديگر نقدها بر كتاب تحفه اثنا عشريه مى توانيد به كتاب دراسات فى كتاب العبقات</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 به طور مستقل و هم در مقدمۀ جلد نخست نفحات الأزهار فى خلاصة عبقات الأنوار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نگارنده، مراجعه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نگارش كتاب هاى ضد شيعى تا زمان معاصر ادامه يافته و حتى رو به فزونى نيز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 سنّت هم چنان به تكرار ناسزاگويى ها، دروغ ها، تهمت ها و سخنان باطل گذشتگان خود ادامه مى دهند و علماى اماميّه نيز به نيكويى در مقام پاسخ گويى به تهمت ها و دروغ هاى آنان برمى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اماميّه هم چنان در موضع دفاع از مذهب خود قرار دارند و هجوم تبليغاتى كشورهاى مختلف را پاسخ مى گويند</w:t>
      </w:r>
      <w:r>
        <w:rPr>
          <w:rFonts w:eastAsia="IRNazanin" w:cs="IRNazanin"/>
          <w:color w:val="111111"/>
          <w:sz w:val="28"/>
          <w:szCs w:val="28"/>
          <w:rtl w:val="true"/>
          <w:lang w:bidi="fa-IR"/>
        </w:rPr>
        <w:t>.</w:t>
      </w:r>
    </w:p>
    <w:p>
      <w:pPr>
        <w:pStyle w:val="Heading3"/>
        <w:numPr>
          <w:ilvl w:val="2"/>
          <w:numId w:val="1"/>
        </w:numPr>
        <w:rPr/>
      </w:pPr>
      <w:bookmarkStart w:id="153" w:name="__RefHeading___Toc3655148_372815092"/>
      <w:bookmarkStart w:id="154" w:name="_Toc57"/>
      <w:bookmarkEnd w:id="153"/>
      <w:r>
        <w:rPr>
          <w:rtl w:val="true"/>
        </w:rPr>
        <w:t>نگاهى به كتاب نهج الحقّ و كشف الصّدق</w:t>
      </w:r>
      <w:bookmarkEnd w:id="15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پيش تر اشاره شد كتاب نهج الحقّ وكشف الصّدق، نوشتۀ علاّمه حلّى رحمه اللّه، از كتاب هاى شيعى در زمينۀ اصول دين به</w:t>
      </w:r>
    </w:p>
    <w:p>
      <w:pPr>
        <w:pStyle w:val="BookText"/>
        <w:rPr/>
      </w:pPr>
      <w:r>
        <w:rPr>
          <w:rFonts w:ascii="IRNazanin" w:hAnsi="IRNazanin" w:eastAsia="IRNazanin"/>
          <w:color w:val="111111"/>
          <w:sz w:val="28"/>
          <w:sz w:val="28"/>
          <w:szCs w:val="28"/>
          <w:rtl w:val="true"/>
          <w:lang w:bidi="fa-IR"/>
        </w:rPr>
        <w:t>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معرّفى اجمالى اين كتاب مى پردازيم تا از اين طريق با موضوعات كتاب هاى شيعه و شيوه هاى علماى اماميّه در پرداختن به اصول دين،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رحمه اللّه اين كتاب را به بررسى اصولين و فقه،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مذكور، ديدگاه هاى شيعه پيرامون اين علوم سه گانه را با نظرات مخالفان، مقايسه نموده است و يكى از بهترين كتاب هاى تطبيقى در ميان كتاب هاى اسلامى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رحمه اللّه در مقدّمۀ اين كتاب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اين كتاب كه نهج الحقّ وكشف الصّدق نام دارد، به اختصار سخن گفته و از پرگويى پرهيز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بررسى معدودى مسائل آشكار و واضح اكتفا كرده و براى مقلّدانِ وابسته به فرقه هاى ضدّ شيعى روشن ساخته ايم كه رؤسا و مجتهدان آن ها، قضاياى بديهى را انكار مى كنند، در مشاهدات حسى، لجاجت مى ورزند، در زمرۀ فرق سوفسطايى جاى مى گيرند و احكامى را صادر مى كنند كه هيچ عاقل انديشمندى آن را نمى پسندد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آن جهت مقلدان مذكور را مورد خطاب قرار مى دهيم كه مى دانيم منصفان آن ها در صورت آگاهى از مكتب مراجع تقليد خود،</w:t>
      </w:r>
    </w:p>
    <w:p>
      <w:pPr>
        <w:pStyle w:val="BookText"/>
        <w:rPr/>
      </w:pPr>
      <w:r>
        <w:rPr>
          <w:rFonts w:ascii="IRNazanin" w:hAnsi="IRNazanin" w:eastAsia="IRNazanin"/>
          <w:color w:val="111111"/>
          <w:sz w:val="28"/>
          <w:sz w:val="28"/>
          <w:szCs w:val="28"/>
          <w:rtl w:val="true"/>
          <w:lang w:bidi="fa-IR"/>
        </w:rPr>
        <w:t>از آن ها بيزارى جسته و راه خود را تغيير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مقلدان در صورت كسب آگاهى، به اشتباه و لغزش خود پى مى برند و مخالفت قول و عمل خود با حق را در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تودۀ مردم به انصاف تن در دهند، لجاجت و مخالفت را رها كنند، به اذهان سالم و خصلت پاك خود باز گردند و تقليد از نياكان و اتّكا به سخن رؤساى دنيا طلب، لذّت پرست و بى اعتنا به سختى هاى جهان آخرت دست بردارند، به عدالت دست مى يابند، به اخلاص نزديك مى شوند و بالاترين بهره از نجات و رهايى را از آنِ خود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تودۀ مردم، تنها و تنها بر تقليد خود اصرار ورزند خود را به آتش دوزخ خواهند افكند و مصداق اين آيه خواهند شد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وَرَأَوُا الْعَذابَ وَتَقَطَّعَتْ بِهِمُ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پيشوايان باطل از پيروان خود بيزارى جويند؛ و عذاب خدا را مشاهده كنند و هر گونه وسيله و اسباب از آن ها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كتاب را براى خدا، كسب ثواب و رهايى از عذاب دردناك دوزخ، به رشتۀ تحرير در آورديم؛ چرا كه كتمان حق و ترك راهنمايى مردم، عذاب دوزخ را به ارمغان مى آورد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عناوين مسائل كتاب نهج الحقّ وكشف الصدق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بارى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فقه</w:t>
      </w:r>
    </w:p>
    <w:p>
      <w:pPr>
        <w:pStyle w:val="BookText"/>
        <w:rPr/>
      </w:pPr>
      <w:r>
        <w:rPr>
          <w:rFonts w:ascii="Amiri" w:hAnsi="Amiri" w:eastAsia="Amiri" w:cs="Amiri"/>
          <w:color w:val="111111"/>
          <w:sz w:val="28"/>
          <w:sz w:val="28"/>
          <w:szCs w:val="28"/>
          <w:rtl w:val="true"/>
          <w:lang w:bidi="ar-SA"/>
        </w:rPr>
        <w:t>علاّمه حلّى رحمه اللّه در هر يك از فروع اين مسائل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اماميّه معتقد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اشاعره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 معتقدند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استدلال ها و نقل ديدگاه هاى ديگران، به مشهورترين و محكم ترين كتاب هاى اهل سنّت استناد مى كند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 شافعى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بيهقى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 بغوى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المغازى، واقدى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بلاذرى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ابن عبدالبرّ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 غزّالى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المغنى، قاضى عبدالجبّار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زمخشرى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رازى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حلّى رحمه اللّه در اغلب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يا چند نقل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و طرفداران ديگر مذاهب را مورد وعظ و نصيحت قرار مى دهد؛ براى مثال در يكى از قسمت هاى كتاب وى اين گونه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خوانندۀ خردمند بايد هر دو سخن و مذهب را نيك بنگرد، در ترجيح يكى بر ديگرى انصاف به خرج دهد، دليل واضح و صحيح را مورد استناد قرار دهد، تقليد نياكان و شيوخ هوسران و شيفتۀ زندگى دنيا را رها سازد، خود را نصيحت نمايد و به ديگران اتّكا نكند؛ چرا كه در روز قيامت عذرهايى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فلان شيخ تقليد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نياكانم را بر اين اعتقاد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پذيرفته نيست و سودى به حال انسان نخواهد داشت؛ همان گونه كه خداى تعالى در قرآن كريم تصريح مى كند كه در روز قيامت پيشوايان از پيروان خود بيزارى جسته و از آن ها مى 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هاى شنوا و دل هاى آگاه كجا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عاقلى درمورد صحّت يكى از دو ديدگاه مذكور ترديدى به دل راه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شكّى وجود دارد كه ديدگاه اماميّه، بهترين و شبيه ترين ديدگاه به دين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علاّمه حلّى رحمه اللّه در جاى ديگرى از اين كتاب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منصف، بايد اين مسأله را به عقل خود ارجاع دهند، حكم عقل را بپذيرند و از دنباله روى خطاكارانى كه در اين مسأله به گمراهى رفته اند، بپرهيزند؛ چرا كه در روز قيامت چنين عذرهايى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منصف، نبايد خود را در گروهى جاى دهند كه خداى تعالى درباره آن ها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يَتَحاجُّونَ فِي النّارِ فَيَقُولُ الضُّعَفاءُ لِلَّذينَ اسْتَكْبَرُوا إِنّا كُنّا لَكُمْ تَبَعًا فَهَلْ أَنْتُمْ مُغْنُونَ عَنّا نَصيبًا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بياور هنگامى را كه در آتش دوزخ چون با هم ديگر به احتجاج و مجادله برآيند و ضعيفان به مستكبران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پيروى كرديم، آيا مى توانيد امروز شما نيز به عوض آن، سهمى از آتش را به جاى ما بپذيريد؟</w:t>
      </w:r>
      <w:r>
        <w:rPr>
          <w:rStyle w:val="FootnoteAnchor"/>
          <w:rtl w:val="true"/>
        </w:rPr>
        <w:footnoteReference w:id="98"/>
      </w:r>
      <w:r>
        <w:rPr>
          <w:rFonts w:ascii="IRNazanin" w:hAnsi="IRNazanin" w:eastAsia="IRNazanin"/>
          <w:color w:val="111111"/>
          <w:sz w:val="28"/>
          <w:sz w:val="28"/>
          <w:szCs w:val="28"/>
          <w:rtl w:val="true"/>
          <w:lang w:bidi="fa-IR"/>
        </w:rPr>
        <w:t>عبارات فوق بيان گر روش علامه حلّى رحمه اللّه در اين كتاب و نيز روش همۀ علماى اماميّه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bookmarkStart w:id="155" w:name="pg7099_52774"/>
    </w:p>
    <w:p>
      <w:pPr>
        <w:pStyle w:val="Heading2"/>
        <w:numPr>
          <w:ilvl w:val="1"/>
          <w:numId w:val="1"/>
        </w:numPr>
        <w:rPr/>
      </w:pPr>
      <w:bookmarkStart w:id="156" w:name="__RefHeading___Toc3655150_372815092"/>
      <w:bookmarkStart w:id="157" w:name="_Toc58"/>
      <w:bookmarkEnd w:id="155"/>
      <w:bookmarkEnd w:id="156"/>
      <w:r>
        <w:rPr>
          <w:rtl w:val="true"/>
        </w:rPr>
        <w:t>كتابنامه</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الابتهاج بتخريج أحاديث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الصديق بن احمد حسنى ادريسى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زبيدى، دار الكتب علميّه،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بلبان فارسى 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الأربعين فى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رازى، مكتبه كليات الأزهر، قاهره، مصر،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إلى قواطع الأدلّة في اصول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ابوالمعالى عبدالملك بن يوسف، معروف به امام الحرمين جوينى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الكتب علميّه، بيروت، لبنان،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زركلى، دار العلم للملايين، بيروت، لبنان، سال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الإفصاح فى إمامة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محمّد بن محمّد بن نعمان عكبرى بغدادى، ملقب به شيخ مفيد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على بن حسين بن بابويه قمى، معروف به شيخ صدوق رحمه اللّه، مكتبه صدوق، تهران، سال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الألفين في إمامة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حسن بن يوسف مطهّر حلّى، مكتبة الألفين، كويت،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امين، دار التعارف، بيروت، لبنان،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 فى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حسن حرّ عاملى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ابومنصور حسن بن يوسف بن مطهّر حلّى، مركز نشر الكتاب، تهران،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الأسانيد فى صحاح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حسن بن احمد سمرقندى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ابوحيّان محمّد بن يوسف بن على بن يوسف بن حيّان اندلسى جيانى، دار احياء التراث العربى،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البدر الطالع بمحاسن من بعد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محمّد شوكانى، دار المعرفه،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الشيعة لعلوم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صدر، از منشورات اعلمى،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بخارى جعفى، دار الفكر،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خطيب بغدادى، دار الكتب علميّه، بيروت، لبنان،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على بن حسن، معروف به ابن عساكر، دار احياء التراث العربى، بيروت، لبنان، چاپ يكم،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 الإمامة وترتيب الخلافه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احمد بن عبداللّه اصفهانى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إثنا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عبدالعزيز دهلوى، نورانى، كتابخانه، پيشاور، پاكستان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بن على هندى فتنى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طبرى، دار الفكر، بيروت، 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جاراللّه محمود بن عمر زمخشرى، شركت مكتبه و مطبعه مصطفى بابى حلبى، مصر،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دار احياء التراث العربى، بيروت،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 الأوائل وتلخيص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ابوبكر محمد بن طيب باقلانى، مؤسسة الكتاب الثقافيه،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تنوير المقباس من 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ابوطاهر محمّد بن يعقوب فيروزآبادى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طبرى، مطبعه مدنى، مؤسسه السعوديه، مصر،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اصفهانى، دار الكتب علميّه، بيروت، لبنان،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حجر عسقلانى، دار الجيل، بيروت، لبنان،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تصانيف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دار الأضواء، بيروت،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انصارى رازى دولابى، تحقيق سيّد محمّد جواد حسينى جلالى، مؤسّسۀ نشر اسلامى، قم، ايران،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افندى اصفهانى، كتابخانه آيت اللّه مرعشى نجفى، قم،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زوائد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احمد بن حنبل شيبانى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الفتى في شرح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عاصمى، دار الكتب علميّه، بيروت، لبنان،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محمّد بن يزيد قزوينى، مشهور به ابن ماجه، دار الفكر،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داوود سليمان بن اشعث سجستانى، دار الكتب علميّه، بيروت، لبنان،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حسين بيهقى، دار الكتب علميّه، بيروت،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شعيب نسائى، دار الكتب علميّه، بيروت، لبنان،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سوره تِرمذى، دار الفكر، بيروت،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عمر دارقطنى، دار الكتب علميّه،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دارمى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رحمان دارمى، دار الكتب علميّه،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عاصم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مكتبة التجارية الكبرى، قاهره، مصر، سال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هشام حميرى، قاهره، مصر،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الشافى فى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على بن حسين موسوى، اسماعيليان،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 فى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بن حاجب مالكى، مكتبه اميريه، مصر، چاپ يكم، سال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المقاصد فى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سعدالدين بن مسعود بن عمر تفتازانى، از منشورات شريف رضى، قم، ايران،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منهاج الكرامة في معرفة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نشر الحقائق، چاپ يكم، سال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عبدالحميد بن ابى الحديد معتزلى، دار احياء التراث العربى، بيروت،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حبان، مؤسسه الرساله، بيروت، لبنان،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بُخارى جُعفى، دار ابن كثير، دمشق، بيروت، يمامه،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نيشابورى، مؤسسه عز الدين و دار الفكر، بيروت، لبنان،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بن على بن حجر هيتمى مكّى، تحقيق عبدالرحمان بن عبداللّه تركى و كامل محمّد خرّاط، مؤسسه رسالت، بيروت، لبنان،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آقابزرگ تهرانى، دار الكتاب 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الشافعيّه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ابونصر عبدالوهاب بن تقى الدين سُبكى، دار احياء الكتب العربيّه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ابوعثمان عمرو بن بحر بن محبوب ليثى بصرى، ملقّب به جاحظ، دار الكتاب،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 ابوالحسن على بن ابوعلى آمدى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عبدالحسين احمد امينى، مركز الغدير، قم، ايران،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غياث الأمم فى التياث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ابوالمعالى عبدالملك بن عبداللّه جوينى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عبدالحليم مشهور به ابن تيميه حرّانى، دار الكتب علميّه،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العلى بصحة حديث باب مدينة العلم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صديق عمارى مغربى، كتابخانه عمومى امام اميرالمؤمنين عليه السلام، اصفهان،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بن شهردار بن شيرويه ديلمى، دار الفكر، بيروت، لبنان،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فى الأهواء والملل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اندلسى، دار الكتب علميّه، بيروت، لبنان،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شيبانى، جامعة امّ القرى، مركز بحث العلم واحياء التراث الاسلامى، مكه، عربستان سعودى، چاپ يكم،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وراق بن نديم، دار المعرفه،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فى 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مَناوى، دار الكتب علميّه، بيروت، لبنان،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كلينى رحمه اللّه، دار صعب، دار التعارف، بيروت، لبنان، چاپ سوم،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على متّقى بن حسام الدين هندى، دار الكتب علميّه، بيروت، لبنان،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الاسلام ابوعلى فضل بن الحسن طبرسى، دار احياء التراث العربى، بيروت، لبنان،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على بن ابى بكر هيثمى، دار الفكر، بيروت، لبنان،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مسعودى، دار المعرفه،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دار الكتب علميّه، بيروت، لبنان،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ابو يعلى احمد بن على بن مثنى تميمى موصلى، دار المأمون للتراث،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شيبانى، دار احياء التراث العربى و دار صادر، بيروت،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عمرو بن عبدالخالق عتكى البزّار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سليمان بن احمد بن ايوب لخمى طبرانى، مؤسسه الرساله،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داوود طيالسى، دار المعرفه،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معروف به خطيب تبريزى، دار الفكر، بيروت، لبنان،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مصابيح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مسعود بغوى، دار المعرفه، بيروت، لبنان،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شيبه كوفى،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مسلم بن قُتَيْبَه، دار الكتب علميّه، بيروت، لبنان،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موسى بن بابويه قمى، معروف به شيخ صدوق، مكتبه، صدوق، تهران،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احمد بن ايّوب لخمى طبرانى، دار الحرمين،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ياقوت حموى، دار الكتب علميّه، بيروت، لبنان،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سليمان بن احمد بن ايوب لخمى طبرانى، دار احياء التراث،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كحاله، دار احياء التراث العربى،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حسين بن محمّد، معروف به راغب اصفهانى، دار القلم، دمشق،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فى الإمامه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عبيداللّه بن عبداللّه اسدآبادى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عبدالكريم بن ابى بكر احمد شهرستانى، دار السرور، بيروت، لبنان، چاپ يكم،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محمد بن مغازلى شافعى، دار الاضواء،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بكرى مكّى حنفى خوارزمى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المنح المكيّة في شرح القصيدة الهمزيه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احمد بن حجر هيتمى مكّى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عبدالحليم، مشهور به ابن تيميّه حرّانى، مكتبة ابن تيميّه،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الوصول فى معرفة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بيضاوى، چاپ شده با الابتهاج بتخريج أحاديث المنهاج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فى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عضدالدين عبدالرحمان بن احمد ايجى،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على بن محمد بن جوزى بكرى بغدادى، دار الكتب علميّه، بيروت، لبنان،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انس، دار احياء التراث العربى، بيروت، لبنان،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الإعتدال فى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احمد بن عثمان ذهبى، دار المعرفه و دار الكتب علميّه، بيروت، لبنان، چاپ يكم،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النافع يوم الحشر فى شرح الباب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فاضل مقداد سيورى، دار الاضواء، بيروت، لبنان، چاپ دوم،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قم، نشر الحقايق،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ابومنصور حسن بن يوسف بن مطهر حلّى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فى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كامل وى سعدالدين مسعود بن عمر بن عبداللّه تفتازانى است كه به سال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قولى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تفتازان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 روستايى بزرگ از توابع نَسا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شهرهاى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پشت كوه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تفتازانى از جمله پيشوايان زبان عربى، بيان و منطق بود و در فقه، اصول، تفسير و كلام نيز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كتاب هاى فراوانى را به رشتۀ تحرير در آورد كه از جملۀ آن ها مى توان به تهذيب المنطق، المطوّل فى البلاغة، حقائق التنقيح فى الأصول، حاشية على تفسير الكشّاف، زمخشرى، شرح العقائد النسفيّة و شرح المقاصد،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تفتازانى به سال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قولى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سمرقند،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11997</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16856</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كامل وى، شيخ عبدالرزّاق بن على بن حسين لاهيجى گيلانى، ملقب به فيّاض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لاهيجى از علماى محقّق، دقيق و حكيم در علم كلام بود كه در قم تدريس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شاگردان مولى صدرالدين محمّد شيرازى و داماد ايشان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تأليفات لاهيجى مى توان به شوارق الأنوار و بوارق الأسرار في الحكمه، الكلمات الطيّبه في المحاكمة بين ملاصدرا وبين الميرداماد، ديوان شعر فارسى، حواش على حاشية الخضرى و شوارق الإلهام فى شرح تجريد الكلام،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كه لاهيجى به سال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درگذشت، اما آقابزرگ تهرانى، آن را اشتباه دانسته و سال وفات او را سال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احوالات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470/7</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7185</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شوارق الإلهام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الحادى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كامل وى شرف الدّين ابوعبداللّه مقداد بن عبداللّه بن عبداللّه بن محمّد بن حسين سيورى حلّى اسدى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زمرۀ علما، فضلا، متكلّمان، محقّقان و اهل دقّت و نظر قرار داشت و از شاگردان شهيد اوّل شيخ محمّد بن مكّى عاملى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سيورى مى توان به شرح نهج المسترشدين فى أصول الدّين، كنز العرفان فى فقه القرآن، شرح مبادئ الأصول، تجويد البراعة فى شرح تجريد البلاغة و النافع يوم الحشر فى شرح الباب الحادى عشر، اشاره نمود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المعجم الكبير،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إتحاف السادة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ابن ابوعاصم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مسند ابويعلى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7375</w:t>
      </w:r>
      <w:r>
        <w:rPr>
          <w:rFonts w:ascii="IRNazanin" w:hAnsi="IRNazanin" w:eastAsia="IRNazanin"/>
          <w:b w:val="false"/>
          <w:b w:val="false"/>
          <w:bCs w:val="false"/>
          <w:i w:val="false"/>
          <w:i w:val="false"/>
          <w:iCs w:val="false"/>
          <w:color w:val="333333"/>
          <w:sz w:val="20"/>
          <w:sz w:val="20"/>
          <w:szCs w:val="20"/>
          <w:rtl w:val="true"/>
        </w:rPr>
        <w:t>، المعجم الكبير،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10687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5820</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242/13</w:t>
      </w:r>
      <w:r>
        <w:rPr>
          <w:rFonts w:ascii="IRNazanin" w:hAnsi="IRNazanin" w:eastAsia="IRNazanin"/>
          <w:b w:val="false"/>
          <w:b w:val="false"/>
          <w:bCs w:val="false"/>
          <w:i w:val="false"/>
          <w:i w:val="false"/>
          <w:iCs w:val="false"/>
          <w:color w:val="333333"/>
          <w:sz w:val="20"/>
          <w:sz w:val="20"/>
          <w:szCs w:val="20"/>
          <w:rtl w:val="true"/>
        </w:rPr>
        <w:t>، الإحسان بترتيب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4554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جامع الأحاديث،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سنّت، نصب امام پس از پيامبر صلى اللّه عليه وآله را از مهم ترين واجبات مى دانند تاجايى كه برخى صحابه جنازۀ پيامبر صلى اللّه عليه وآله را بر روى زمين رها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خود موجب وهن اسلام و پيامبر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تعيين خليفه و امام پرداختند؛ اگر ادعاى اهل سنّت درست باشد بايد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خود پيامبر صلى اللّه عليه وآله اين مهم ترين واجبات را ترك نمود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سان كه آنان مى پندارند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مسلمانان را در معرض هواهاى نفسانى قرار داد؟</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مثال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8397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چندين جاى ديگر، 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چندين جاى ديگر،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السنّة، ابن ابوعاصم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طرق گوناگون، زوائد عبداللّه بن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مسند 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چندين جاى ديگر، مسند ابى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6892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چندين جاى ديگر،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چندين جاى ديگر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ايجى در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آگاهى بيشتر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سنن ابى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سنن دارمى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آگاهى بيشتر از راويان صدر حديث مذكور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جاهاى ديگر، 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 جاى ديگر، السنّه، ابن ابى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 جاى ديگر، مسند 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 جاى ديگر، مسند ابى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 چندين موضع از معاجم سه گانۀ طبرانى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باقلانى در تمهيد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آمدى در غاية المرام فى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دهلوى در تحفة إثنا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معنا از كلبى، زجّاج، فرّاء و ابوعبيده در تفسير فخر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هم چنين 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تنوير المقباس من تفسير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ذهبى در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مفضّل بن صالح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كشتى نوح، بسيار ناشناخته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إثنا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صفحۀ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صفحۀ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سنن درامى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4577</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دارقطنى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تذكرة الموضوعات، فتنى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مثال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8138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مسند 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اين سخن در الإرشاد، جوينى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به سال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در قيد حيات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17070</Words>
  <Characters>66811</Characters>
  <CharactersWithSpaces>82792</CharactersWithSpaces>
  <Paragraphs>1247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2026-08-27T07:47:58Z</dcterms:created>
  <dc:creator>ghaemiyeh.com</dc:creator>
  <dc:description/>
  <dc:language>en-US</dc:language>
  <cp:lastModifiedBy/>
  <dcterms:modified xsi:type="dcterms:W3CDTF">2026-08-27T11:18:10Z</dcterms:modified>
  <cp:revision>1</cp:revision>
  <dc:subject/>
  <dc:title>آداب مناظره و گفت وگو در اصول دین</dc:title>
</cp:coreProperties>
</file>

<file path=docProps/custom.xml><?xml version="1.0" encoding="utf-8"?>
<Properties xmlns="http://schemas.openxmlformats.org/officeDocument/2006/custom-properties" xmlns:vt="http://schemas.openxmlformats.org/officeDocument/2006/docPropsVTypes"/>
</file>