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حقوق در آینه فقه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0230_37281509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40232_37281509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40234_37281509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440236_372815092">
            <w:r>
              <w:rPr>
                <w:webHidden/>
                <w:rStyle w:val="IndexLink"/>
                <w:rtl w:val="true"/>
              </w:rPr>
              <w:t>سخن ناشر</w:t>
            </w:r>
            <w:r>
              <w:rPr>
                <w:rStyle w:val="IndexLink"/>
                <w:rtl w:val="true"/>
              </w:rPr>
              <w:tab/>
            </w:r>
            <w:r>
              <w:rPr>
                <w:rStyle w:val="IndexLink"/>
              </w:rPr>
              <w:t>20</w:t>
            </w:r>
          </w:hyperlink>
        </w:p>
        <w:p>
          <w:pPr>
            <w:pStyle w:val="Contents2"/>
            <w:tabs>
              <w:tab w:val="clear" w:pos="8743"/>
              <w:tab w:val="right" w:pos="9026" w:leader="dot"/>
            </w:tabs>
            <w:rPr/>
          </w:pPr>
          <w:hyperlink w:anchor="__RefHeading___Toc1440238_372815092">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1440240_372815092">
            <w:r>
              <w:rPr>
                <w:webHidden/>
                <w:rStyle w:val="IndexLink"/>
                <w:rtl w:val="true"/>
              </w:rPr>
              <w:t>فقه، منبع گرانبهای حقوق</w:t>
            </w:r>
            <w:r>
              <w:rPr>
                <w:rStyle w:val="IndexLink"/>
                <w:rtl w:val="true"/>
              </w:rPr>
              <w:tab/>
            </w:r>
            <w:r>
              <w:rPr>
                <w:rStyle w:val="IndexLink"/>
              </w:rPr>
              <w:t>25</w:t>
            </w:r>
          </w:hyperlink>
        </w:p>
        <w:p>
          <w:pPr>
            <w:pStyle w:val="Contents3"/>
            <w:tabs>
              <w:tab w:val="clear" w:pos="8459"/>
              <w:tab w:val="right" w:pos="9026" w:leader="dot"/>
            </w:tabs>
            <w:rPr/>
          </w:pPr>
          <w:hyperlink w:anchor="__RefHeading___Toc1440242_372815092">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440244_372815092">
            <w:r>
              <w:rPr>
                <w:webHidden/>
                <w:rStyle w:val="IndexLink"/>
                <w:rtl w:val="true"/>
              </w:rPr>
              <w:t>تعریف فقه</w:t>
            </w:r>
            <w:r>
              <w:rPr>
                <w:rStyle w:val="IndexLink"/>
                <w:rtl w:val="true"/>
              </w:rPr>
              <w:tab/>
            </w:r>
            <w:r>
              <w:rPr>
                <w:rStyle w:val="IndexLink"/>
              </w:rPr>
              <w:t>25</w:t>
            </w:r>
          </w:hyperlink>
        </w:p>
        <w:p>
          <w:pPr>
            <w:pStyle w:val="Contents2"/>
            <w:tabs>
              <w:tab w:val="clear" w:pos="8743"/>
              <w:tab w:val="right" w:pos="9026" w:leader="dot"/>
            </w:tabs>
            <w:rPr/>
          </w:pPr>
          <w:hyperlink w:anchor="__RefHeading___Toc1440246_372815092">
            <w:r>
              <w:rPr>
                <w:webHidden/>
                <w:rStyle w:val="IndexLink"/>
                <w:rtl w:val="true"/>
              </w:rPr>
              <w:t>مقالات کتاب</w:t>
            </w:r>
            <w:r>
              <w:rPr>
                <w:rStyle w:val="IndexLink"/>
                <w:rtl w:val="true"/>
              </w:rPr>
              <w:tab/>
            </w:r>
            <w:r>
              <w:rPr>
                <w:rStyle w:val="IndexLink"/>
              </w:rPr>
              <w:t>26</w:t>
            </w:r>
          </w:hyperlink>
        </w:p>
        <w:p>
          <w:pPr>
            <w:pStyle w:val="Contents3"/>
            <w:tabs>
              <w:tab w:val="clear" w:pos="8459"/>
              <w:tab w:val="right" w:pos="9026" w:leader="dot"/>
            </w:tabs>
            <w:rPr/>
          </w:pPr>
          <w:hyperlink w:anchor="__RefHeading___Toc1440248_37281509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440250_372815092">
            <w:r>
              <w:rPr>
                <w:webHidden/>
                <w:rStyle w:val="IndexLink"/>
              </w:rPr>
              <w:t>1</w:t>
            </w:r>
            <w:r>
              <w:rPr>
                <w:rStyle w:val="IndexLink"/>
                <w:rtl w:val="true"/>
              </w:rPr>
              <w:t xml:space="preserve">. </w:t>
            </w:r>
            <w:r>
              <w:rPr>
                <w:rStyle w:val="IndexLink"/>
                <w:rtl w:val="true"/>
              </w:rPr>
              <w:t>تحلیلی از قانون اصلاح مقررات طلاق و مبانی فقهی آن</w:t>
            </w:r>
            <w:r>
              <w:rPr>
                <w:rStyle w:val="IndexLink"/>
                <w:rtl w:val="true"/>
              </w:rPr>
              <w:tab/>
            </w:r>
            <w:r>
              <w:rPr>
                <w:rStyle w:val="IndexLink"/>
              </w:rPr>
              <w:t>26</w:t>
            </w:r>
          </w:hyperlink>
        </w:p>
        <w:p>
          <w:pPr>
            <w:pStyle w:val="Contents3"/>
            <w:tabs>
              <w:tab w:val="clear" w:pos="8459"/>
              <w:tab w:val="right" w:pos="9026" w:leader="dot"/>
            </w:tabs>
            <w:rPr/>
          </w:pPr>
          <w:hyperlink w:anchor="__RefHeading___Toc1440252_372815092">
            <w:r>
              <w:rPr>
                <w:webHidden/>
                <w:rStyle w:val="IndexLink"/>
              </w:rPr>
              <w:t>2</w:t>
            </w:r>
            <w:r>
              <w:rPr>
                <w:rStyle w:val="IndexLink"/>
                <w:rtl w:val="true"/>
              </w:rPr>
              <w:t xml:space="preserve">. </w:t>
            </w:r>
            <w:r>
              <w:rPr>
                <w:rStyle w:val="IndexLink"/>
                <w:rtl w:val="true"/>
              </w:rPr>
              <w:t>طلاق حاكم از دیدگاه فقیهان متأخر</w:t>
            </w:r>
            <w:r>
              <w:rPr>
                <w:rStyle w:val="IndexLink"/>
                <w:rtl w:val="true"/>
              </w:rPr>
              <w:tab/>
            </w:r>
            <w:r>
              <w:rPr>
                <w:rStyle w:val="IndexLink"/>
              </w:rPr>
              <w:t>28</w:t>
            </w:r>
          </w:hyperlink>
        </w:p>
        <w:p>
          <w:pPr>
            <w:pStyle w:val="Contents3"/>
            <w:tabs>
              <w:tab w:val="clear" w:pos="8459"/>
              <w:tab w:val="right" w:pos="9026" w:leader="dot"/>
            </w:tabs>
            <w:rPr/>
          </w:pPr>
          <w:hyperlink w:anchor="__RefHeading___Toc1440254_372815092">
            <w:r>
              <w:rPr>
                <w:webHidden/>
                <w:rStyle w:val="IndexLink"/>
              </w:rPr>
              <w:t>3</w:t>
            </w:r>
            <w:r>
              <w:rPr>
                <w:rStyle w:val="IndexLink"/>
                <w:rtl w:val="true"/>
              </w:rPr>
              <w:t xml:space="preserve">. </w:t>
            </w:r>
            <w:r>
              <w:rPr>
                <w:rStyle w:val="IndexLink"/>
                <w:rtl w:val="true"/>
              </w:rPr>
              <w:t>محاربه و افساد فی الارض در فقه و قوانین کیفری</w:t>
            </w:r>
            <w:r>
              <w:rPr>
                <w:rStyle w:val="IndexLink"/>
                <w:rtl w:val="true"/>
              </w:rPr>
              <w:tab/>
            </w:r>
            <w:r>
              <w:rPr>
                <w:rStyle w:val="IndexLink"/>
              </w:rPr>
              <w:t>29</w:t>
            </w:r>
          </w:hyperlink>
        </w:p>
        <w:p>
          <w:pPr>
            <w:pStyle w:val="Contents3"/>
            <w:tabs>
              <w:tab w:val="clear" w:pos="8459"/>
              <w:tab w:val="right" w:pos="9026" w:leader="dot"/>
            </w:tabs>
            <w:rPr/>
          </w:pPr>
          <w:hyperlink w:anchor="__RefHeading___Toc1440256_372815092">
            <w:r>
              <w:rPr>
                <w:webHidden/>
                <w:rStyle w:val="IndexLink"/>
              </w:rPr>
              <w:t>4</w:t>
            </w:r>
            <w:r>
              <w:rPr>
                <w:rStyle w:val="IndexLink"/>
                <w:rtl w:val="true"/>
              </w:rPr>
              <w:t xml:space="preserve">. </w:t>
            </w:r>
            <w:r>
              <w:rPr>
                <w:rStyle w:val="IndexLink"/>
                <w:rtl w:val="true"/>
              </w:rPr>
              <w:t>ارتداد</w:t>
            </w:r>
            <w:r>
              <w:rPr>
                <w:rStyle w:val="IndexLink"/>
                <w:rtl w:val="true"/>
              </w:rPr>
              <w:tab/>
            </w:r>
            <w:r>
              <w:rPr>
                <w:rStyle w:val="IndexLink"/>
              </w:rPr>
              <w:t>30</w:t>
            </w:r>
          </w:hyperlink>
        </w:p>
        <w:p>
          <w:pPr>
            <w:pStyle w:val="Contents3"/>
            <w:tabs>
              <w:tab w:val="clear" w:pos="8459"/>
              <w:tab w:val="right" w:pos="9026" w:leader="dot"/>
            </w:tabs>
            <w:rPr/>
          </w:pPr>
          <w:hyperlink w:anchor="__RefHeading___Toc1440258_372815092">
            <w:r>
              <w:rPr>
                <w:webHidden/>
                <w:rStyle w:val="IndexLink"/>
              </w:rPr>
              <w:t>5</w:t>
            </w:r>
            <w:r>
              <w:rPr>
                <w:rStyle w:val="IndexLink"/>
                <w:rtl w:val="true"/>
              </w:rPr>
              <w:t xml:space="preserve">. </w:t>
            </w:r>
            <w:r>
              <w:rPr>
                <w:rStyle w:val="IndexLink"/>
                <w:rtl w:val="true"/>
              </w:rPr>
              <w:t>آزادی بیان در اسلام و اعلامیه جهانی حقوق بشر</w:t>
            </w:r>
            <w:r>
              <w:rPr>
                <w:rStyle w:val="IndexLink"/>
                <w:rtl w:val="true"/>
              </w:rPr>
              <w:tab/>
            </w:r>
            <w:r>
              <w:rPr>
                <w:rStyle w:val="IndexLink"/>
              </w:rPr>
              <w:t>31</w:t>
            </w:r>
          </w:hyperlink>
        </w:p>
        <w:p>
          <w:pPr>
            <w:pStyle w:val="Contents3"/>
            <w:tabs>
              <w:tab w:val="clear" w:pos="8459"/>
              <w:tab w:val="right" w:pos="9026" w:leader="dot"/>
            </w:tabs>
            <w:rPr/>
          </w:pPr>
          <w:hyperlink w:anchor="__RefHeading___Toc1440260_372815092">
            <w:r>
              <w:rPr>
                <w:webHidden/>
                <w:rStyle w:val="IndexLink"/>
              </w:rPr>
              <w:t>6</w:t>
            </w:r>
            <w:r>
              <w:rPr>
                <w:rStyle w:val="IndexLink"/>
                <w:rtl w:val="true"/>
              </w:rPr>
              <w:t xml:space="preserve">. </w:t>
            </w:r>
            <w:r>
              <w:rPr>
                <w:rStyle w:val="IndexLink"/>
                <w:rtl w:val="true"/>
              </w:rPr>
              <w:t>حقوق اقلیتها در اسلام و اعلامیه های حقوق بشر</w:t>
            </w:r>
            <w:r>
              <w:rPr>
                <w:rStyle w:val="IndexLink"/>
                <w:rtl w:val="true"/>
              </w:rPr>
              <w:tab/>
            </w:r>
            <w:r>
              <w:rPr>
                <w:rStyle w:val="IndexLink"/>
              </w:rPr>
              <w:t>32</w:t>
            </w:r>
          </w:hyperlink>
        </w:p>
        <w:p>
          <w:pPr>
            <w:pStyle w:val="Contents3"/>
            <w:tabs>
              <w:tab w:val="clear" w:pos="8459"/>
              <w:tab w:val="right" w:pos="9026" w:leader="dot"/>
            </w:tabs>
            <w:rPr/>
          </w:pPr>
          <w:hyperlink w:anchor="__RefHeading___Toc1440262_372815092">
            <w:r>
              <w:rPr>
                <w:webHidden/>
                <w:rStyle w:val="IndexLink"/>
              </w:rPr>
              <w:t>7</w:t>
            </w:r>
            <w:r>
              <w:rPr>
                <w:rStyle w:val="IndexLink"/>
                <w:rtl w:val="true"/>
              </w:rPr>
              <w:t xml:space="preserve">. </w:t>
            </w:r>
            <w:r>
              <w:rPr>
                <w:rStyle w:val="IndexLink"/>
                <w:rtl w:val="true"/>
              </w:rPr>
              <w:t>حمایت از اموال فرهنگی به هنگام نزاع مسلحانه</w:t>
            </w:r>
            <w:r>
              <w:rPr>
                <w:rStyle w:val="IndexLink"/>
                <w:rtl w:val="true"/>
              </w:rPr>
              <w:tab/>
            </w:r>
            <w:r>
              <w:rPr>
                <w:rStyle w:val="IndexLink"/>
              </w:rPr>
              <w:t>34</w:t>
            </w:r>
          </w:hyperlink>
        </w:p>
        <w:p>
          <w:pPr>
            <w:pStyle w:val="Contents2"/>
            <w:tabs>
              <w:tab w:val="clear" w:pos="8743"/>
              <w:tab w:val="right" w:pos="9026" w:leader="dot"/>
            </w:tabs>
            <w:rPr/>
          </w:pPr>
          <w:hyperlink w:anchor="__RefHeading___Toc1440264_372815092">
            <w:r>
              <w:rPr>
                <w:webHidden/>
                <w:rStyle w:val="IndexLink"/>
                <w:rtl w:val="true"/>
              </w:rPr>
              <w:t xml:space="preserve">بخش اول </w:t>
            </w:r>
            <w:r>
              <w:rPr>
                <w:rStyle w:val="IndexLink"/>
                <w:rtl w:val="true"/>
              </w:rPr>
              <w:t xml:space="preserve">: </w:t>
            </w:r>
            <w:r>
              <w:rPr>
                <w:rStyle w:val="IndexLink"/>
                <w:rtl w:val="true"/>
              </w:rPr>
              <w:t>حقوق خصوصی</w:t>
            </w:r>
            <w:r>
              <w:rPr>
                <w:rStyle w:val="IndexLink"/>
                <w:rtl w:val="true"/>
              </w:rPr>
              <w:tab/>
            </w:r>
            <w:r>
              <w:rPr>
                <w:rStyle w:val="IndexLink"/>
              </w:rPr>
              <w:t>36</w:t>
            </w:r>
          </w:hyperlink>
        </w:p>
        <w:p>
          <w:pPr>
            <w:pStyle w:val="Contents3"/>
            <w:tabs>
              <w:tab w:val="clear" w:pos="8459"/>
              <w:tab w:val="right" w:pos="9026" w:leader="dot"/>
            </w:tabs>
            <w:rPr/>
          </w:pPr>
          <w:hyperlink w:anchor="__RefHeading___Toc1440266_372815092">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440268_372815092">
            <w:r>
              <w:rPr>
                <w:webHidden/>
                <w:rStyle w:val="IndexLink"/>
                <w:rtl w:val="true"/>
              </w:rPr>
              <w:t>تحلیلی از قانون اصلاح مقررات طلاق و مبانی فقهی آن</w:t>
            </w:r>
            <w:r>
              <w:rPr>
                <w:rStyle w:val="IndexLink"/>
                <w:rtl w:val="true"/>
              </w:rPr>
              <w:tab/>
            </w:r>
            <w:r>
              <w:rPr>
                <w:rStyle w:val="IndexLink"/>
              </w:rPr>
              <w:t>38</w:t>
            </w:r>
          </w:hyperlink>
        </w:p>
        <w:p>
          <w:pPr>
            <w:pStyle w:val="Contents4"/>
            <w:tabs>
              <w:tab w:val="clear" w:pos="8176"/>
              <w:tab w:val="right" w:pos="9026" w:leader="dot"/>
            </w:tabs>
            <w:rPr/>
          </w:pPr>
          <w:hyperlink w:anchor="__RefHeading___Toc1440270_372815092">
            <w:r>
              <w:rPr>
                <w:webHidden/>
                <w:rStyle w:val="IndexLink"/>
                <w:rtl w:val="true"/>
              </w:rPr>
              <w:t>پیشگفتار</w:t>
            </w:r>
            <w:r>
              <w:rPr>
                <w:rStyle w:val="IndexLink"/>
                <w:rtl w:val="true"/>
              </w:rPr>
              <w:tab/>
            </w:r>
            <w:r>
              <w:rPr>
                <w:rStyle w:val="IndexLink"/>
              </w:rPr>
              <w:t>38</w:t>
            </w:r>
          </w:hyperlink>
        </w:p>
        <w:p>
          <w:pPr>
            <w:pStyle w:val="Contents4"/>
            <w:tabs>
              <w:tab w:val="clear" w:pos="8176"/>
              <w:tab w:val="right" w:pos="9026" w:leader="dot"/>
            </w:tabs>
            <w:rPr/>
          </w:pPr>
          <w:hyperlink w:anchor="__RefHeading___Toc1440272_372815092">
            <w:r>
              <w:rPr>
                <w:webHidden/>
                <w:rStyle w:val="IndexLink"/>
                <w:rtl w:val="true"/>
              </w:rPr>
              <w:t xml:space="preserve">موجبات طرح و تصویب قانون </w:t>
            </w:r>
            <w:r>
              <w:rPr>
                <w:rStyle w:val="IndexLink"/>
                <w:rtl w:val="true"/>
              </w:rPr>
              <w:t>«</w:t>
            </w:r>
            <w:r>
              <w:rPr>
                <w:rStyle w:val="IndexLink"/>
                <w:rtl w:val="true"/>
              </w:rPr>
              <w:t>اصلاح مقررات طلاق</w:t>
            </w:r>
            <w:r>
              <w:rPr>
                <w:rStyle w:val="IndexLink"/>
                <w:rtl w:val="true"/>
              </w:rPr>
              <w:t>»</w:t>
              <w:tab/>
            </w:r>
            <w:r>
              <w:rPr>
                <w:rStyle w:val="IndexLink"/>
              </w:rPr>
              <w:t>40</w:t>
            </w:r>
          </w:hyperlink>
        </w:p>
        <w:p>
          <w:pPr>
            <w:pStyle w:val="Contents5"/>
            <w:tabs>
              <w:tab w:val="clear" w:pos="7892"/>
              <w:tab w:val="right" w:pos="9026" w:leader="dot"/>
            </w:tabs>
            <w:rPr/>
          </w:pPr>
          <w:hyperlink w:anchor="__RefHeading___Toc1440274_372815092">
            <w:r>
              <w:rPr>
                <w:webHidden/>
                <w:rStyle w:val="IndexLink"/>
              </w:rPr>
              <w:t>1</w:t>
            </w:r>
            <w:r>
              <w:rPr>
                <w:rStyle w:val="IndexLink"/>
                <w:rtl w:val="true"/>
              </w:rPr>
              <w:t xml:space="preserve">. </w:t>
            </w:r>
            <w:r>
              <w:rPr>
                <w:rStyle w:val="IndexLink"/>
                <w:rtl w:val="true"/>
              </w:rPr>
              <w:t>طلاق قانونی و تأثیر آن در فرآیند نظم اجتماعی</w:t>
            </w:r>
            <w:r>
              <w:rPr>
                <w:rStyle w:val="IndexLink"/>
                <w:rtl w:val="true"/>
              </w:rPr>
              <w:tab/>
            </w:r>
            <w:r>
              <w:rPr>
                <w:rStyle w:val="IndexLink"/>
              </w:rPr>
              <w:t>40</w:t>
            </w:r>
          </w:hyperlink>
        </w:p>
        <w:p>
          <w:pPr>
            <w:pStyle w:val="Contents5"/>
            <w:tabs>
              <w:tab w:val="clear" w:pos="7892"/>
              <w:tab w:val="right" w:pos="9026" w:leader="dot"/>
            </w:tabs>
            <w:rPr/>
          </w:pPr>
          <w:hyperlink w:anchor="__RefHeading___Toc1440276_372815092">
            <w:r>
              <w:rPr>
                <w:webHidden/>
                <w:rStyle w:val="IndexLink"/>
              </w:rPr>
              <w:t>2</w:t>
            </w:r>
            <w:r>
              <w:rPr>
                <w:rStyle w:val="IndexLink"/>
                <w:rtl w:val="true"/>
              </w:rPr>
              <w:t xml:space="preserve">. </w:t>
            </w:r>
            <w:r>
              <w:rPr>
                <w:rStyle w:val="IndexLink"/>
                <w:rtl w:val="true"/>
              </w:rPr>
              <w:t>ناخوشایندی مطالبه مهر و تأثیر آن بر سکوت زن</w:t>
            </w:r>
            <w:r>
              <w:rPr>
                <w:rStyle w:val="IndexLink"/>
                <w:rtl w:val="true"/>
              </w:rPr>
              <w:tab/>
            </w:r>
            <w:r>
              <w:rPr>
                <w:rStyle w:val="IndexLink"/>
              </w:rPr>
              <w:t>42</w:t>
            </w:r>
          </w:hyperlink>
        </w:p>
        <w:p>
          <w:pPr>
            <w:pStyle w:val="Contents5"/>
            <w:tabs>
              <w:tab w:val="clear" w:pos="7892"/>
              <w:tab w:val="right" w:pos="9026" w:leader="dot"/>
            </w:tabs>
            <w:rPr/>
          </w:pPr>
          <w:hyperlink w:anchor="__RefHeading___Toc1440278_372815092">
            <w:r>
              <w:rPr>
                <w:webHidden/>
                <w:rStyle w:val="IndexLink"/>
              </w:rPr>
              <w:t>3</w:t>
            </w:r>
            <w:r>
              <w:rPr>
                <w:rStyle w:val="IndexLink"/>
                <w:rtl w:val="true"/>
              </w:rPr>
              <w:t xml:space="preserve">. </w:t>
            </w:r>
            <w:r>
              <w:rPr>
                <w:rStyle w:val="IndexLink"/>
                <w:rtl w:val="true"/>
              </w:rPr>
              <w:t>فلسفه اهتمام اسلام به مسأله طلاق و احکام آن</w:t>
            </w:r>
            <w:r>
              <w:rPr>
                <w:rStyle w:val="IndexLink"/>
                <w:rtl w:val="true"/>
              </w:rPr>
              <w:tab/>
            </w:r>
            <w:r>
              <w:rPr>
                <w:rStyle w:val="IndexLink"/>
              </w:rPr>
              <w:t>42</w:t>
            </w:r>
          </w:hyperlink>
        </w:p>
        <w:p>
          <w:pPr>
            <w:pStyle w:val="Contents5"/>
            <w:tabs>
              <w:tab w:val="clear" w:pos="7892"/>
              <w:tab w:val="right" w:pos="9026" w:leader="dot"/>
            </w:tabs>
            <w:rPr/>
          </w:pPr>
          <w:hyperlink w:anchor="__RefHeading___Toc1440280_372815092">
            <w:r>
              <w:rPr>
                <w:webHidden/>
                <w:rStyle w:val="IndexLink"/>
              </w:rPr>
              <w:t>4</w:t>
            </w:r>
            <w:r>
              <w:rPr>
                <w:rStyle w:val="IndexLink"/>
                <w:rtl w:val="true"/>
              </w:rPr>
              <w:t xml:space="preserve">. </w:t>
            </w:r>
            <w:r>
              <w:rPr>
                <w:rStyle w:val="IndexLink"/>
                <w:rtl w:val="true"/>
              </w:rPr>
              <w:t>طلاق و وضع قوانین حکومتی برای کمک بیشتر به زن</w:t>
            </w:r>
            <w:r>
              <w:rPr>
                <w:rStyle w:val="IndexLink"/>
                <w:rtl w:val="true"/>
              </w:rPr>
              <w:tab/>
            </w:r>
            <w:r>
              <w:rPr>
                <w:rStyle w:val="IndexLink"/>
              </w:rPr>
              <w:t>43</w:t>
            </w:r>
          </w:hyperlink>
        </w:p>
        <w:p>
          <w:pPr>
            <w:pStyle w:val="Contents4"/>
            <w:tabs>
              <w:tab w:val="clear" w:pos="8176"/>
              <w:tab w:val="right" w:pos="9026" w:leader="dot"/>
            </w:tabs>
            <w:rPr/>
          </w:pPr>
          <w:hyperlink w:anchor="__RefHeading___Toc1440282_372815092">
            <w:r>
              <w:rPr>
                <w:webHidden/>
                <w:rStyle w:val="IndexLink"/>
                <w:rtl w:val="true"/>
              </w:rPr>
              <w:t>تعریف شرط و بهره گیری از آن در امر طلاق</w:t>
            </w:r>
            <w:r>
              <w:rPr>
                <w:rStyle w:val="IndexLink"/>
                <w:rtl w:val="true"/>
              </w:rPr>
              <w:tab/>
            </w:r>
            <w:r>
              <w:rPr>
                <w:rStyle w:val="IndexLink"/>
              </w:rPr>
              <w:t>45</w:t>
            </w:r>
          </w:hyperlink>
        </w:p>
        <w:p>
          <w:pPr>
            <w:pStyle w:val="Contents5"/>
            <w:tabs>
              <w:tab w:val="clear" w:pos="7892"/>
              <w:tab w:val="right" w:pos="9026" w:leader="dot"/>
            </w:tabs>
            <w:rPr/>
          </w:pPr>
          <w:hyperlink w:anchor="__RefHeading___Toc1440284_372815092">
            <w:r>
              <w:rPr>
                <w:webHidden/>
                <w:rStyle w:val="IndexLink"/>
                <w:rtl w:val="true"/>
              </w:rPr>
              <w:t>معنای لغوی و اصطلاحی شرط</w:t>
            </w:r>
            <w:r>
              <w:rPr>
                <w:rStyle w:val="IndexLink"/>
                <w:rtl w:val="true"/>
              </w:rPr>
              <w:tab/>
            </w:r>
            <w:r>
              <w:rPr>
                <w:rStyle w:val="IndexLink"/>
              </w:rPr>
              <w:t>45</w:t>
            </w:r>
          </w:hyperlink>
        </w:p>
        <w:p>
          <w:pPr>
            <w:pStyle w:val="Contents5"/>
            <w:tabs>
              <w:tab w:val="clear" w:pos="7892"/>
              <w:tab w:val="right" w:pos="9026" w:leader="dot"/>
            </w:tabs>
            <w:rPr/>
          </w:pPr>
          <w:hyperlink w:anchor="__RefHeading___Toc1440286_372815092">
            <w:r>
              <w:rPr>
                <w:webHidden/>
                <w:rStyle w:val="IndexLink"/>
                <w:rtl w:val="true"/>
              </w:rPr>
              <w:t>بهره گیری از اراده مشروع به صورت شرط ضمن عقد</w:t>
            </w:r>
            <w:r>
              <w:rPr>
                <w:rStyle w:val="IndexLink"/>
                <w:rtl w:val="true"/>
              </w:rPr>
              <w:tab/>
            </w:r>
            <w:r>
              <w:rPr>
                <w:rStyle w:val="IndexLink"/>
              </w:rPr>
              <w:t>46</w:t>
            </w:r>
          </w:hyperlink>
        </w:p>
        <w:p>
          <w:pPr>
            <w:pStyle w:val="Contents4"/>
            <w:tabs>
              <w:tab w:val="clear" w:pos="8176"/>
              <w:tab w:val="right" w:pos="9026" w:leader="dot"/>
            </w:tabs>
            <w:rPr/>
          </w:pPr>
          <w:hyperlink w:anchor="__RefHeading___Toc1440288_372815092">
            <w:r>
              <w:rPr>
                <w:webHidden/>
                <w:rStyle w:val="IndexLink"/>
                <w:rtl w:val="true"/>
              </w:rPr>
              <w:t xml:space="preserve">تحلیل و بررسی مبانی فقهی قانون اصلاح مقررات طلاق </w:t>
            </w:r>
            <w:r>
              <w:rPr>
                <w:rStyle w:val="IndexLink"/>
                <w:rtl w:val="true"/>
              </w:rPr>
              <w:t>(</w:t>
            </w:r>
            <w:r>
              <w:rPr>
                <w:rStyle w:val="IndexLink"/>
                <w:rtl w:val="true"/>
              </w:rPr>
              <w:t>ماده واحده</w:t>
            </w:r>
            <w:r>
              <w:rPr>
                <w:rStyle w:val="IndexLink"/>
                <w:rtl w:val="true"/>
              </w:rPr>
              <w:t>)</w:t>
              <w:tab/>
            </w:r>
            <w:r>
              <w:rPr>
                <w:rStyle w:val="IndexLink"/>
              </w:rPr>
              <w:t>48</w:t>
            </w:r>
          </w:hyperlink>
        </w:p>
        <w:p>
          <w:pPr>
            <w:pStyle w:val="Contents5"/>
            <w:tabs>
              <w:tab w:val="clear" w:pos="7892"/>
              <w:tab w:val="right" w:pos="9026" w:leader="dot"/>
            </w:tabs>
            <w:rPr/>
          </w:pPr>
          <w:hyperlink w:anchor="__RefHeading___Toc1440290_372815092">
            <w:r>
              <w:rPr>
                <w:webHidden/>
                <w:rStyle w:val="IndexLink"/>
                <w:rtl w:val="true"/>
              </w:rPr>
              <w:t>وجه الزام زوجین به تسلیم دادخواست طلاق</w:t>
            </w:r>
            <w:r>
              <w:rPr>
                <w:rStyle w:val="IndexLink"/>
                <w:rtl w:val="true"/>
              </w:rPr>
              <w:tab/>
            </w:r>
            <w:r>
              <w:rPr>
                <w:rStyle w:val="IndexLink"/>
              </w:rPr>
              <w:t>48</w:t>
            </w:r>
          </w:hyperlink>
        </w:p>
        <w:p>
          <w:pPr>
            <w:pStyle w:val="Contents5"/>
            <w:tabs>
              <w:tab w:val="clear" w:pos="7892"/>
              <w:tab w:val="right" w:pos="9026" w:leader="dot"/>
            </w:tabs>
            <w:rPr/>
          </w:pPr>
          <w:hyperlink w:anchor="__RefHeading___Toc1440292_372815092">
            <w:r>
              <w:rPr>
                <w:webHidden/>
                <w:rStyle w:val="IndexLink"/>
                <w:rtl w:val="true"/>
              </w:rPr>
              <w:t>بررسی اقدامات اولیه دادگاه برای متقاضیان طلاق</w:t>
            </w:r>
            <w:r>
              <w:rPr>
                <w:rStyle w:val="IndexLink"/>
                <w:rtl w:val="true"/>
              </w:rPr>
              <w:tab/>
            </w:r>
            <w:r>
              <w:rPr>
                <w:rStyle w:val="IndexLink"/>
              </w:rPr>
              <w:t>49</w:t>
            </w:r>
          </w:hyperlink>
        </w:p>
        <w:p>
          <w:pPr>
            <w:pStyle w:val="Contents6"/>
            <w:tabs>
              <w:tab w:val="clear" w:pos="7609"/>
              <w:tab w:val="right" w:pos="9026" w:leader="dot"/>
            </w:tabs>
            <w:rPr/>
          </w:pPr>
          <w:hyperlink w:anchor="__RefHeading___Toc1440294_372815092">
            <w:r>
              <w:rPr>
                <w:webHidden/>
                <w:rStyle w:val="IndexLink"/>
                <w:rtl w:val="true"/>
              </w:rPr>
              <w:t>ارجاع زوجین به داوری و تشکیل محكمة صلح خانوادگی</w:t>
            </w:r>
            <w:r>
              <w:rPr>
                <w:rStyle w:val="IndexLink"/>
                <w:rtl w:val="true"/>
              </w:rPr>
              <w:tab/>
            </w:r>
            <w:r>
              <w:rPr>
                <w:rStyle w:val="IndexLink"/>
              </w:rPr>
              <w:t>49</w:t>
            </w:r>
          </w:hyperlink>
        </w:p>
        <w:p>
          <w:pPr>
            <w:pStyle w:val="Contents6"/>
            <w:tabs>
              <w:tab w:val="clear" w:pos="7609"/>
              <w:tab w:val="right" w:pos="9026" w:leader="dot"/>
            </w:tabs>
            <w:rPr/>
          </w:pPr>
          <w:hyperlink w:anchor="__RefHeading___Toc1440296_372815092">
            <w:r>
              <w:rPr>
                <w:webHidden/>
                <w:rStyle w:val="IndexLink"/>
                <w:rtl w:val="true"/>
              </w:rPr>
              <w:t>صدور گواهی عدم امکان سازش و ارجاع و اعلان به محضر</w:t>
            </w:r>
            <w:r>
              <w:rPr>
                <w:rStyle w:val="IndexLink"/>
                <w:rtl w:val="true"/>
              </w:rPr>
              <w:tab/>
            </w:r>
            <w:r>
              <w:rPr>
                <w:rStyle w:val="IndexLink"/>
              </w:rPr>
              <w:t>54</w:t>
            </w:r>
          </w:hyperlink>
        </w:p>
        <w:p>
          <w:pPr>
            <w:pStyle w:val="Contents5"/>
            <w:tabs>
              <w:tab w:val="clear" w:pos="7892"/>
              <w:tab w:val="right" w:pos="9026" w:leader="dot"/>
            </w:tabs>
            <w:rPr/>
          </w:pPr>
          <w:hyperlink w:anchor="__RefHeading___Toc1440298_372815092">
            <w:r>
              <w:rPr>
                <w:webHidden/>
                <w:rStyle w:val="IndexLink"/>
                <w:rtl w:val="true"/>
              </w:rPr>
              <w:t xml:space="preserve">بررسی تبصره </w:t>
            </w:r>
            <w:r>
              <w:rPr>
                <w:rStyle w:val="IndexLink"/>
              </w:rPr>
              <w:t>6</w:t>
            </w:r>
            <w:r>
              <w:rPr>
                <w:rStyle w:val="IndexLink"/>
                <w:rtl w:val="true"/>
              </w:rPr>
              <w:t xml:space="preserve"> </w:t>
            </w:r>
            <w:r>
              <w:rPr>
                <w:rStyle w:val="IndexLink"/>
                <w:rtl w:val="true"/>
              </w:rPr>
              <w:t xml:space="preserve">ماده واحده </w:t>
            </w:r>
            <w:r>
              <w:rPr>
                <w:rStyle w:val="IndexLink"/>
                <w:rtl w:val="true"/>
              </w:rPr>
              <w:t>(</w:t>
            </w:r>
            <w:r>
              <w:rPr>
                <w:rStyle w:val="IndexLink"/>
                <w:rtl w:val="true"/>
              </w:rPr>
              <w:t>مقررات طلاق</w:t>
            </w:r>
            <w:r>
              <w:rPr>
                <w:rStyle w:val="IndexLink"/>
                <w:rtl w:val="true"/>
              </w:rPr>
              <w:t>)</w:t>
              <w:tab/>
            </w:r>
            <w:r>
              <w:rPr>
                <w:rStyle w:val="IndexLink"/>
              </w:rPr>
              <w:t>55</w:t>
            </w:r>
          </w:hyperlink>
        </w:p>
        <w:p>
          <w:pPr>
            <w:pStyle w:val="Contents6"/>
            <w:tabs>
              <w:tab w:val="clear" w:pos="7609"/>
              <w:tab w:val="right" w:pos="9026" w:leader="dot"/>
            </w:tabs>
            <w:rPr/>
          </w:pPr>
          <w:hyperlink w:anchor="__RefHeading___Toc1440300_372815092">
            <w:r>
              <w:rPr>
                <w:webHidden/>
                <w:rStyle w:val="IndexLink"/>
                <w:rtl w:val="true"/>
              </w:rPr>
              <w:t>اشکالات وارد بر تبصرة فوق</w:t>
            </w:r>
            <w:r>
              <w:rPr>
                <w:rStyle w:val="IndexLink"/>
                <w:rtl w:val="true"/>
              </w:rPr>
              <w:tab/>
            </w:r>
            <w:r>
              <w:rPr>
                <w:rStyle w:val="IndexLink"/>
              </w:rPr>
              <w:t>55</w:t>
            </w:r>
          </w:hyperlink>
        </w:p>
        <w:p>
          <w:pPr>
            <w:pStyle w:val="Contents6"/>
            <w:tabs>
              <w:tab w:val="clear" w:pos="7609"/>
              <w:tab w:val="right" w:pos="9026" w:leader="dot"/>
            </w:tabs>
            <w:rPr/>
          </w:pPr>
          <w:hyperlink w:anchor="__RefHeading___Toc1440302_372815092">
            <w:r>
              <w:rPr>
                <w:webHidden/>
                <w:rStyle w:val="IndexLink"/>
                <w:rtl w:val="true"/>
              </w:rPr>
              <w:t>کارهایی که زن در مقابل آنها می تواند از شوهر، مطالبه اجرت کند</w:t>
            </w:r>
            <w:r>
              <w:rPr>
                <w:rStyle w:val="IndexLink"/>
                <w:rtl w:val="true"/>
              </w:rPr>
              <w:tab/>
            </w:r>
            <w:r>
              <w:rPr>
                <w:rStyle w:val="IndexLink"/>
              </w:rPr>
              <w:t>57</w:t>
            </w:r>
          </w:hyperlink>
        </w:p>
        <w:p>
          <w:pPr>
            <w:pStyle w:val="Contents5"/>
            <w:tabs>
              <w:tab w:val="clear" w:pos="7892"/>
              <w:tab w:val="right" w:pos="9026" w:leader="dot"/>
            </w:tabs>
            <w:rPr/>
          </w:pPr>
          <w:hyperlink w:anchor="__RefHeading___Toc1440304_372815092">
            <w:r>
              <w:rPr>
                <w:webHidden/>
                <w:rStyle w:val="IndexLink"/>
                <w:rtl w:val="true"/>
              </w:rPr>
              <w:t>بررسی تفسیری و فقهی مفهوم و ماهیت نحله</w:t>
            </w:r>
            <w:r>
              <w:rPr>
                <w:rStyle w:val="IndexLink"/>
                <w:rtl w:val="true"/>
              </w:rPr>
              <w:tab/>
            </w:r>
            <w:r>
              <w:rPr>
                <w:rStyle w:val="IndexLink"/>
              </w:rPr>
              <w:t>59</w:t>
            </w:r>
          </w:hyperlink>
        </w:p>
        <w:p>
          <w:pPr>
            <w:pStyle w:val="Contents6"/>
            <w:tabs>
              <w:tab w:val="clear" w:pos="7609"/>
              <w:tab w:val="right" w:pos="9026" w:leader="dot"/>
            </w:tabs>
            <w:rPr/>
          </w:pPr>
          <w:hyperlink w:anchor="__RefHeading___Toc1440306_372815092">
            <w:r>
              <w:rPr>
                <w:webHidden/>
                <w:rStyle w:val="IndexLink"/>
                <w:rtl w:val="true"/>
              </w:rPr>
              <w:t>ذكر نحله در قرآن و مفهوم آن از نظر مفسران</w:t>
            </w:r>
            <w:r>
              <w:rPr>
                <w:rStyle w:val="IndexLink"/>
                <w:rtl w:val="true"/>
              </w:rPr>
              <w:tab/>
            </w:r>
            <w:r>
              <w:rPr>
                <w:rStyle w:val="IndexLink"/>
              </w:rPr>
              <w:t>59</w:t>
            </w:r>
          </w:hyperlink>
        </w:p>
        <w:p>
          <w:pPr>
            <w:pStyle w:val="Contents6"/>
            <w:tabs>
              <w:tab w:val="clear" w:pos="7609"/>
              <w:tab w:val="right" w:pos="9026" w:leader="dot"/>
            </w:tabs>
            <w:rPr/>
          </w:pPr>
          <w:hyperlink w:anchor="__RefHeading___Toc1440308_372815092">
            <w:r>
              <w:rPr>
                <w:webHidden/>
                <w:rStyle w:val="IndexLink"/>
                <w:rtl w:val="true"/>
              </w:rPr>
              <w:t>ماهیت نحله از دیدگاه فقهی</w:t>
            </w:r>
            <w:r>
              <w:rPr>
                <w:rStyle w:val="IndexLink"/>
                <w:rtl w:val="true"/>
              </w:rPr>
              <w:tab/>
            </w:r>
            <w:r>
              <w:rPr>
                <w:rStyle w:val="IndexLink"/>
              </w:rPr>
              <w:t>60</w:t>
            </w:r>
          </w:hyperlink>
        </w:p>
        <w:p>
          <w:pPr>
            <w:pStyle w:val="Contents5"/>
            <w:tabs>
              <w:tab w:val="clear" w:pos="7892"/>
              <w:tab w:val="right" w:pos="9026" w:leader="dot"/>
            </w:tabs>
            <w:rPr/>
          </w:pPr>
          <w:hyperlink w:anchor="__RefHeading___Toc1440310_372815092">
            <w:r>
              <w:rPr>
                <w:webHidden/>
                <w:rStyle w:val="IndexLink"/>
                <w:rtl w:val="true"/>
              </w:rPr>
              <w:t>اسلام و توصیه به دادن هدیه به زن، حتی پس از طلاق</w:t>
            </w:r>
            <w:r>
              <w:rPr>
                <w:rStyle w:val="IndexLink"/>
                <w:rtl w:val="true"/>
              </w:rPr>
              <w:tab/>
            </w:r>
            <w:r>
              <w:rPr>
                <w:rStyle w:val="IndexLink"/>
              </w:rPr>
              <w:t>62</w:t>
            </w:r>
          </w:hyperlink>
        </w:p>
        <w:p>
          <w:pPr>
            <w:pStyle w:val="Contents6"/>
            <w:tabs>
              <w:tab w:val="clear" w:pos="7609"/>
              <w:tab w:val="right" w:pos="9026" w:leader="dot"/>
            </w:tabs>
            <w:rPr/>
          </w:pPr>
          <w:hyperlink w:anchor="__RefHeading___Toc1440312_372815092">
            <w:r>
              <w:rPr>
                <w:webHidden/>
                <w:rStyle w:val="IndexLink"/>
                <w:rtl w:val="true"/>
              </w:rPr>
              <w:t xml:space="preserve">قرآن و سفارش به برخوردار شدن زنان مطلقه از متاع </w:t>
            </w:r>
            <w:r>
              <w:rPr>
                <w:rStyle w:val="IndexLink"/>
                <w:rtl w:val="true"/>
              </w:rPr>
              <w:t>(</w:t>
            </w:r>
            <w:r>
              <w:rPr>
                <w:rStyle w:val="IndexLink"/>
                <w:rtl w:val="true"/>
              </w:rPr>
              <w:t>هدیه</w:t>
            </w:r>
            <w:r>
              <w:rPr>
                <w:rStyle w:val="IndexLink"/>
                <w:rtl w:val="true"/>
              </w:rPr>
              <w:t>)</w:t>
              <w:tab/>
            </w:r>
            <w:r>
              <w:rPr>
                <w:rStyle w:val="IndexLink"/>
              </w:rPr>
              <w:t>62</w:t>
            </w:r>
          </w:hyperlink>
        </w:p>
        <w:p>
          <w:pPr>
            <w:pStyle w:val="Contents6"/>
            <w:tabs>
              <w:tab w:val="clear" w:pos="7609"/>
              <w:tab w:val="right" w:pos="9026" w:leader="dot"/>
            </w:tabs>
            <w:rPr/>
          </w:pPr>
          <w:hyperlink w:anchor="__RefHeading___Toc1440314_372815092">
            <w:r>
              <w:rPr>
                <w:webHidden/>
                <w:rStyle w:val="IndexLink"/>
                <w:rtl w:val="true"/>
              </w:rPr>
              <w:t>هدیه دادن به زن پس از طلاق از دید روایات</w:t>
            </w:r>
            <w:r>
              <w:rPr>
                <w:rStyle w:val="IndexLink"/>
                <w:rtl w:val="true"/>
              </w:rPr>
              <w:tab/>
            </w:r>
            <w:r>
              <w:rPr>
                <w:rStyle w:val="IndexLink"/>
              </w:rPr>
              <w:t>65</w:t>
            </w:r>
          </w:hyperlink>
        </w:p>
        <w:p>
          <w:pPr>
            <w:pStyle w:val="Contents4"/>
            <w:tabs>
              <w:tab w:val="clear" w:pos="8176"/>
              <w:tab w:val="right" w:pos="9026" w:leader="dot"/>
            </w:tabs>
            <w:rPr/>
          </w:pPr>
          <w:hyperlink w:anchor="__RefHeading___Toc1440316_372815092">
            <w:r>
              <w:rPr>
                <w:webHidden/>
                <w:rStyle w:val="IndexLink"/>
                <w:rtl w:val="true"/>
              </w:rPr>
              <w:t>خاتمه</w:t>
            </w:r>
            <w:r>
              <w:rPr>
                <w:rStyle w:val="IndexLink"/>
                <w:rtl w:val="true"/>
              </w:rPr>
              <w:tab/>
            </w:r>
            <w:r>
              <w:rPr>
                <w:rStyle w:val="IndexLink"/>
              </w:rPr>
              <w:t>67</w:t>
            </w:r>
          </w:hyperlink>
        </w:p>
        <w:p>
          <w:pPr>
            <w:pStyle w:val="Contents4"/>
            <w:tabs>
              <w:tab w:val="clear" w:pos="8176"/>
              <w:tab w:val="right" w:pos="9026" w:leader="dot"/>
            </w:tabs>
            <w:rPr/>
          </w:pPr>
          <w:hyperlink w:anchor="__RefHeading___Toc1440318_372815092">
            <w:r>
              <w:rPr>
                <w:webHidden/>
                <w:rStyle w:val="IndexLink"/>
                <w:rtl w:val="true"/>
              </w:rPr>
              <w:t>کتاب نامه</w:t>
            </w:r>
            <w:r>
              <w:rPr>
                <w:rStyle w:val="IndexLink"/>
                <w:rtl w:val="true"/>
              </w:rPr>
              <w:tab/>
            </w:r>
            <w:r>
              <w:rPr>
                <w:rStyle w:val="IndexLink"/>
              </w:rPr>
              <w:t>68</w:t>
            </w:r>
          </w:hyperlink>
        </w:p>
        <w:p>
          <w:pPr>
            <w:pStyle w:val="Contents3"/>
            <w:tabs>
              <w:tab w:val="clear" w:pos="8459"/>
              <w:tab w:val="right" w:pos="9026" w:leader="dot"/>
            </w:tabs>
            <w:rPr/>
          </w:pPr>
          <w:hyperlink w:anchor="__RefHeading___Toc1440320_372815092">
            <w:r>
              <w:rPr>
                <w:webHidden/>
                <w:rStyle w:val="IndexLink"/>
                <w:rtl w:val="true"/>
              </w:rPr>
              <w:t>طلاق حاکم از دیدگاه فقیهان متأخر</w:t>
            </w:r>
            <w:r>
              <w:rPr>
                <w:rStyle w:val="IndexLink"/>
                <w:rtl w:val="true"/>
              </w:rPr>
              <w:tab/>
            </w:r>
            <w:r>
              <w:rPr>
                <w:rStyle w:val="IndexLink"/>
              </w:rPr>
              <w:t>69</w:t>
            </w:r>
          </w:hyperlink>
        </w:p>
        <w:p>
          <w:pPr>
            <w:pStyle w:val="Contents4"/>
            <w:tabs>
              <w:tab w:val="clear" w:pos="8176"/>
              <w:tab w:val="right" w:pos="9026" w:leader="dot"/>
            </w:tabs>
            <w:rPr/>
          </w:pPr>
          <w:hyperlink w:anchor="__RefHeading___Toc1440322_372815092">
            <w:r>
              <w:rPr>
                <w:webHidden/>
                <w:rStyle w:val="IndexLink"/>
                <w:rtl w:val="true"/>
              </w:rPr>
              <w:t>پیشگفتار</w:t>
            </w:r>
            <w:r>
              <w:rPr>
                <w:rStyle w:val="IndexLink"/>
                <w:rtl w:val="true"/>
              </w:rPr>
              <w:tab/>
            </w:r>
            <w:r>
              <w:rPr>
                <w:rStyle w:val="IndexLink"/>
              </w:rPr>
              <w:t>69</w:t>
            </w:r>
          </w:hyperlink>
        </w:p>
        <w:p>
          <w:pPr>
            <w:pStyle w:val="Contents4"/>
            <w:tabs>
              <w:tab w:val="clear" w:pos="8176"/>
              <w:tab w:val="right" w:pos="9026" w:leader="dot"/>
            </w:tabs>
            <w:rPr/>
          </w:pPr>
          <w:hyperlink w:anchor="__RefHeading___Toc1440324_372815092">
            <w:r>
              <w:rPr>
                <w:webHidden/>
                <w:rStyle w:val="IndexLink"/>
                <w:rtl w:val="true"/>
              </w:rPr>
              <w:t>کلیات</w:t>
            </w:r>
            <w:r>
              <w:rPr>
                <w:rStyle w:val="IndexLink"/>
                <w:rtl w:val="true"/>
              </w:rPr>
              <w:tab/>
            </w:r>
            <w:r>
              <w:rPr>
                <w:rStyle w:val="IndexLink"/>
              </w:rPr>
              <w:t>70</w:t>
            </w:r>
          </w:hyperlink>
        </w:p>
        <w:p>
          <w:pPr>
            <w:pStyle w:val="Contents5"/>
            <w:tabs>
              <w:tab w:val="clear" w:pos="7892"/>
              <w:tab w:val="right" w:pos="9026" w:leader="dot"/>
            </w:tabs>
            <w:rPr/>
          </w:pPr>
          <w:hyperlink w:anchor="__RefHeading___Toc1440326_372815092">
            <w:r>
              <w:rPr>
                <w:webHidden/>
                <w:rStyle w:val="IndexLink"/>
                <w:rtl w:val="true"/>
              </w:rPr>
              <w:t>تعریف طلاق</w:t>
            </w:r>
            <w:r>
              <w:rPr>
                <w:rStyle w:val="IndexLink"/>
                <w:rtl w:val="true"/>
              </w:rPr>
              <w:tab/>
            </w:r>
            <w:r>
              <w:rPr>
                <w:rStyle w:val="IndexLink"/>
              </w:rPr>
              <w:t>70</w:t>
            </w:r>
          </w:hyperlink>
        </w:p>
        <w:p>
          <w:pPr>
            <w:pStyle w:val="Contents5"/>
            <w:tabs>
              <w:tab w:val="clear" w:pos="7892"/>
              <w:tab w:val="right" w:pos="9026" w:leader="dot"/>
            </w:tabs>
            <w:rPr/>
          </w:pPr>
          <w:hyperlink w:anchor="__RefHeading___Toc1440328_372815092">
            <w:r>
              <w:rPr>
                <w:webHidden/>
                <w:rStyle w:val="IndexLink"/>
                <w:rtl w:val="true"/>
              </w:rPr>
              <w:t>ضرورت طلاق، به رغم ناخوشایندی آن</w:t>
            </w:r>
            <w:r>
              <w:rPr>
                <w:rStyle w:val="IndexLink"/>
                <w:rtl w:val="true"/>
              </w:rPr>
              <w:tab/>
            </w:r>
            <w:r>
              <w:rPr>
                <w:rStyle w:val="IndexLink"/>
              </w:rPr>
              <w:t>72</w:t>
            </w:r>
          </w:hyperlink>
        </w:p>
        <w:p>
          <w:pPr>
            <w:pStyle w:val="Contents5"/>
            <w:tabs>
              <w:tab w:val="clear" w:pos="7892"/>
              <w:tab w:val="right" w:pos="9026" w:leader="dot"/>
            </w:tabs>
            <w:rPr/>
          </w:pPr>
          <w:hyperlink w:anchor="__RefHeading___Toc1440330_372815092">
            <w:r>
              <w:rPr>
                <w:webHidden/>
                <w:rStyle w:val="IndexLink"/>
                <w:rtl w:val="true"/>
              </w:rPr>
              <w:t>امر طلاق به دست مرد است</w:t>
            </w:r>
            <w:r>
              <w:rPr>
                <w:rStyle w:val="IndexLink"/>
                <w:rtl w:val="true"/>
              </w:rPr>
              <w:tab/>
            </w:r>
            <w:r>
              <w:rPr>
                <w:rStyle w:val="IndexLink"/>
              </w:rPr>
              <w:t>73</w:t>
            </w:r>
          </w:hyperlink>
        </w:p>
        <w:p>
          <w:pPr>
            <w:pStyle w:val="Contents5"/>
            <w:tabs>
              <w:tab w:val="clear" w:pos="7892"/>
              <w:tab w:val="right" w:pos="9026" w:leader="dot"/>
            </w:tabs>
            <w:rPr/>
          </w:pPr>
          <w:hyperlink w:anchor="__RefHeading___Toc1440332_372815092">
            <w:r>
              <w:rPr>
                <w:webHidden/>
                <w:rStyle w:val="IndexLink"/>
                <w:rtl w:val="true"/>
              </w:rPr>
              <w:t>انواع طلاق</w:t>
            </w:r>
            <w:r>
              <w:rPr>
                <w:rStyle w:val="IndexLink"/>
                <w:rtl w:val="true"/>
              </w:rPr>
              <w:tab/>
            </w:r>
            <w:r>
              <w:rPr>
                <w:rStyle w:val="IndexLink"/>
              </w:rPr>
              <w:t>75</w:t>
            </w:r>
          </w:hyperlink>
        </w:p>
        <w:p>
          <w:pPr>
            <w:pStyle w:val="Contents4"/>
            <w:tabs>
              <w:tab w:val="clear" w:pos="8176"/>
              <w:tab w:val="right" w:pos="9026" w:leader="dot"/>
            </w:tabs>
            <w:rPr/>
          </w:pPr>
          <w:hyperlink w:anchor="__RefHeading___Toc1440334_372815092">
            <w:r>
              <w:rPr>
                <w:webHidden/>
                <w:rStyle w:val="IndexLink"/>
                <w:rtl w:val="true"/>
              </w:rPr>
              <w:t>امتناع یا عجز شوهر از تهیه نفقه</w:t>
            </w:r>
            <w:r>
              <w:rPr>
                <w:rStyle w:val="IndexLink"/>
                <w:rtl w:val="true"/>
              </w:rPr>
              <w:tab/>
            </w:r>
            <w:r>
              <w:rPr>
                <w:rStyle w:val="IndexLink"/>
              </w:rPr>
              <w:t>77</w:t>
            </w:r>
          </w:hyperlink>
        </w:p>
        <w:p>
          <w:pPr>
            <w:pStyle w:val="Contents5"/>
            <w:tabs>
              <w:tab w:val="clear" w:pos="7892"/>
              <w:tab w:val="right" w:pos="9026" w:leader="dot"/>
            </w:tabs>
            <w:rPr/>
          </w:pPr>
          <w:hyperlink w:anchor="__RefHeading___Toc1440336_372815092">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440338_372815092">
            <w:r>
              <w:rPr>
                <w:webHidden/>
                <w:rStyle w:val="IndexLink"/>
                <w:rtl w:val="true"/>
              </w:rPr>
              <w:t>وظیفه حاکم شرع در مقابل زوج ممتنع</w:t>
            </w:r>
            <w:r>
              <w:rPr>
                <w:rStyle w:val="IndexLink"/>
                <w:rtl w:val="true"/>
              </w:rPr>
              <w:tab/>
            </w:r>
            <w:r>
              <w:rPr>
                <w:rStyle w:val="IndexLink"/>
              </w:rPr>
              <w:t>78</w:t>
            </w:r>
          </w:hyperlink>
        </w:p>
        <w:p>
          <w:pPr>
            <w:pStyle w:val="Contents5"/>
            <w:tabs>
              <w:tab w:val="clear" w:pos="7892"/>
              <w:tab w:val="right" w:pos="9026" w:leader="dot"/>
            </w:tabs>
            <w:rPr/>
          </w:pPr>
          <w:hyperlink w:anchor="__RefHeading___Toc1440340_372815092">
            <w:r>
              <w:rPr>
                <w:webHidden/>
                <w:rStyle w:val="IndexLink"/>
                <w:rtl w:val="true"/>
              </w:rPr>
              <w:t>وظیفه حاکم شرع در مقابل زوج عاجز از نفقه</w:t>
            </w:r>
            <w:r>
              <w:rPr>
                <w:rStyle w:val="IndexLink"/>
                <w:rtl w:val="true"/>
              </w:rPr>
              <w:tab/>
            </w:r>
            <w:r>
              <w:rPr>
                <w:rStyle w:val="IndexLink"/>
              </w:rPr>
              <w:t>82</w:t>
            </w:r>
          </w:hyperlink>
        </w:p>
        <w:p>
          <w:pPr>
            <w:pStyle w:val="Contents4"/>
            <w:tabs>
              <w:tab w:val="clear" w:pos="8176"/>
              <w:tab w:val="right" w:pos="9026" w:leader="dot"/>
            </w:tabs>
            <w:rPr/>
          </w:pPr>
          <w:hyperlink w:anchor="__RefHeading___Toc1440342_372815092">
            <w:r>
              <w:rPr>
                <w:webHidden/>
                <w:rStyle w:val="IndexLink"/>
                <w:rtl w:val="true"/>
              </w:rPr>
              <w:t>فقها و مواجه شدن زن با عسر و حرج</w:t>
            </w:r>
            <w:r>
              <w:rPr>
                <w:rStyle w:val="IndexLink"/>
                <w:rtl w:val="true"/>
              </w:rPr>
              <w:tab/>
            </w:r>
            <w:r>
              <w:rPr>
                <w:rStyle w:val="IndexLink"/>
              </w:rPr>
              <w:t>86</w:t>
            </w:r>
          </w:hyperlink>
        </w:p>
        <w:p>
          <w:pPr>
            <w:pStyle w:val="Contents4"/>
            <w:tabs>
              <w:tab w:val="clear" w:pos="8176"/>
              <w:tab w:val="right" w:pos="9026" w:leader="dot"/>
            </w:tabs>
            <w:rPr/>
          </w:pPr>
          <w:hyperlink w:anchor="__RefHeading___Toc1440344_372815092">
            <w:r>
              <w:rPr>
                <w:webHidden/>
                <w:rStyle w:val="IndexLink"/>
                <w:rtl w:val="true"/>
              </w:rPr>
              <w:t>فقدان یا حبس شوهر</w:t>
            </w:r>
            <w:r>
              <w:rPr>
                <w:rStyle w:val="IndexLink"/>
                <w:rtl w:val="true"/>
              </w:rPr>
              <w:tab/>
            </w:r>
            <w:r>
              <w:rPr>
                <w:rStyle w:val="IndexLink"/>
              </w:rPr>
              <w:t>92</w:t>
            </w:r>
          </w:hyperlink>
        </w:p>
        <w:p>
          <w:pPr>
            <w:pStyle w:val="Contents5"/>
            <w:tabs>
              <w:tab w:val="clear" w:pos="7892"/>
              <w:tab w:val="right" w:pos="9026" w:leader="dot"/>
            </w:tabs>
            <w:rPr/>
          </w:pPr>
          <w:hyperlink w:anchor="__RefHeading___Toc1440346_372815092">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440348_372815092">
            <w:r>
              <w:rPr>
                <w:webHidden/>
                <w:rStyle w:val="IndexLink"/>
                <w:rtl w:val="true"/>
              </w:rPr>
              <w:t>نظر امام خمینی قدس سره و مشهور فقها درباره شوهران مفقود شده</w:t>
            </w:r>
            <w:r>
              <w:rPr>
                <w:rStyle w:val="IndexLink"/>
                <w:rtl w:val="true"/>
              </w:rPr>
              <w:tab/>
            </w:r>
            <w:r>
              <w:rPr>
                <w:rStyle w:val="IndexLink"/>
              </w:rPr>
              <w:t>97</w:t>
            </w:r>
          </w:hyperlink>
        </w:p>
        <w:p>
          <w:pPr>
            <w:pStyle w:val="Contents4"/>
            <w:tabs>
              <w:tab w:val="clear" w:pos="8176"/>
              <w:tab w:val="right" w:pos="9026" w:leader="dot"/>
            </w:tabs>
            <w:rPr/>
          </w:pPr>
          <w:hyperlink w:anchor="__RefHeading___Toc1440350_372815092">
            <w:r>
              <w:rPr>
                <w:webHidden/>
                <w:rStyle w:val="IndexLink"/>
                <w:rtl w:val="true"/>
              </w:rPr>
              <w:t>چکیده مطالب</w:t>
            </w:r>
            <w:r>
              <w:rPr>
                <w:rStyle w:val="IndexLink"/>
                <w:rtl w:val="true"/>
              </w:rPr>
              <w:tab/>
            </w:r>
            <w:r>
              <w:rPr>
                <w:rStyle w:val="IndexLink"/>
              </w:rPr>
              <w:t>98</w:t>
            </w:r>
          </w:hyperlink>
        </w:p>
        <w:p>
          <w:pPr>
            <w:pStyle w:val="Contents4"/>
            <w:tabs>
              <w:tab w:val="clear" w:pos="8176"/>
              <w:tab w:val="right" w:pos="9026" w:leader="dot"/>
            </w:tabs>
            <w:rPr/>
          </w:pPr>
          <w:hyperlink w:anchor="__RefHeading___Toc1440352_372815092">
            <w:r>
              <w:rPr>
                <w:webHidden/>
                <w:rStyle w:val="IndexLink"/>
                <w:rtl w:val="true"/>
              </w:rPr>
              <w:t>نتیجه گیری</w:t>
            </w:r>
            <w:r>
              <w:rPr>
                <w:rStyle w:val="IndexLink"/>
                <w:rtl w:val="true"/>
              </w:rPr>
              <w:tab/>
            </w:r>
            <w:r>
              <w:rPr>
                <w:rStyle w:val="IndexLink"/>
              </w:rPr>
              <w:t>99</w:t>
            </w:r>
          </w:hyperlink>
        </w:p>
        <w:p>
          <w:pPr>
            <w:pStyle w:val="Contents4"/>
            <w:tabs>
              <w:tab w:val="clear" w:pos="8176"/>
              <w:tab w:val="right" w:pos="9026" w:leader="dot"/>
            </w:tabs>
            <w:rPr/>
          </w:pPr>
          <w:hyperlink w:anchor="__RefHeading___Toc1440354_372815092">
            <w:r>
              <w:rPr>
                <w:webHidden/>
                <w:rStyle w:val="IndexLink"/>
                <w:rtl w:val="true"/>
              </w:rPr>
              <w:t>کتاب نامه</w:t>
            </w:r>
            <w:r>
              <w:rPr>
                <w:rStyle w:val="IndexLink"/>
                <w:rtl w:val="true"/>
              </w:rPr>
              <w:tab/>
            </w:r>
            <w:r>
              <w:rPr>
                <w:rStyle w:val="IndexLink"/>
              </w:rPr>
              <w:t>101</w:t>
            </w:r>
          </w:hyperlink>
        </w:p>
        <w:p>
          <w:pPr>
            <w:pStyle w:val="Contents2"/>
            <w:tabs>
              <w:tab w:val="clear" w:pos="8743"/>
              <w:tab w:val="right" w:pos="9026" w:leader="dot"/>
            </w:tabs>
            <w:rPr/>
          </w:pPr>
          <w:hyperlink w:anchor="__RefHeading___Toc1440356_372815092">
            <w:r>
              <w:rPr>
                <w:webHidden/>
                <w:rStyle w:val="IndexLink"/>
                <w:rtl w:val="true"/>
              </w:rPr>
              <w:t>بخش دوم</w:t>
            </w:r>
            <w:r>
              <w:rPr>
                <w:rStyle w:val="IndexLink"/>
                <w:rtl w:val="true"/>
              </w:rPr>
              <w:t xml:space="preserve">: </w:t>
            </w:r>
            <w:r>
              <w:rPr>
                <w:rStyle w:val="IndexLink"/>
                <w:rtl w:val="true"/>
              </w:rPr>
              <w:t>حقوق جزا</w:t>
            </w:r>
            <w:r>
              <w:rPr>
                <w:rStyle w:val="IndexLink"/>
                <w:rtl w:val="true"/>
              </w:rPr>
              <w:tab/>
            </w:r>
            <w:r>
              <w:rPr>
                <w:rStyle w:val="IndexLink"/>
              </w:rPr>
              <w:t>103</w:t>
            </w:r>
          </w:hyperlink>
        </w:p>
        <w:p>
          <w:pPr>
            <w:pStyle w:val="Contents3"/>
            <w:tabs>
              <w:tab w:val="clear" w:pos="8459"/>
              <w:tab w:val="right" w:pos="9026" w:leader="dot"/>
            </w:tabs>
            <w:rPr/>
          </w:pPr>
          <w:hyperlink w:anchor="__RefHeading___Toc1440358_372815092">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440360_372815092">
            <w:r>
              <w:rPr>
                <w:webHidden/>
                <w:rStyle w:val="IndexLink"/>
                <w:rtl w:val="true"/>
              </w:rPr>
              <w:t>محاربه و افساد فی الارض در فقه و قوانین کیفری</w:t>
            </w:r>
            <w:r>
              <w:rPr>
                <w:rStyle w:val="IndexLink"/>
                <w:rtl w:val="true"/>
              </w:rPr>
              <w:tab/>
            </w:r>
            <w:r>
              <w:rPr>
                <w:rStyle w:val="IndexLink"/>
              </w:rPr>
              <w:t>105</w:t>
            </w:r>
          </w:hyperlink>
        </w:p>
        <w:p>
          <w:pPr>
            <w:pStyle w:val="Contents4"/>
            <w:tabs>
              <w:tab w:val="clear" w:pos="8176"/>
              <w:tab w:val="right" w:pos="9026" w:leader="dot"/>
            </w:tabs>
            <w:rPr/>
          </w:pPr>
          <w:hyperlink w:anchor="__RefHeading___Toc1440362_372815092">
            <w:r>
              <w:rPr>
                <w:webHidden/>
                <w:rStyle w:val="IndexLink"/>
                <w:rtl w:val="true"/>
              </w:rPr>
              <w:t>محاربه در فقه</w:t>
            </w:r>
            <w:r>
              <w:rPr>
                <w:rStyle w:val="IndexLink"/>
                <w:rtl w:val="true"/>
              </w:rPr>
              <w:tab/>
            </w:r>
            <w:r>
              <w:rPr>
                <w:rStyle w:val="IndexLink"/>
              </w:rPr>
              <w:t>105</w:t>
            </w:r>
          </w:hyperlink>
        </w:p>
        <w:p>
          <w:pPr>
            <w:pStyle w:val="Contents5"/>
            <w:tabs>
              <w:tab w:val="clear" w:pos="7892"/>
              <w:tab w:val="right" w:pos="9026" w:leader="dot"/>
            </w:tabs>
            <w:rPr/>
          </w:pPr>
          <w:hyperlink w:anchor="__RefHeading___Toc1440364_372815092">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440366_372815092">
            <w:r>
              <w:rPr>
                <w:webHidden/>
                <w:rStyle w:val="IndexLink"/>
                <w:rtl w:val="true"/>
              </w:rPr>
              <w:t>لغت محاربه</w:t>
            </w:r>
            <w:r>
              <w:rPr>
                <w:rStyle w:val="IndexLink"/>
                <w:rtl w:val="true"/>
              </w:rPr>
              <w:tab/>
            </w:r>
            <w:r>
              <w:rPr>
                <w:rStyle w:val="IndexLink"/>
              </w:rPr>
              <w:t>105</w:t>
            </w:r>
          </w:hyperlink>
        </w:p>
        <w:p>
          <w:pPr>
            <w:pStyle w:val="Contents5"/>
            <w:tabs>
              <w:tab w:val="clear" w:pos="7892"/>
              <w:tab w:val="right" w:pos="9026" w:leader="dot"/>
            </w:tabs>
            <w:rPr/>
          </w:pPr>
          <w:hyperlink w:anchor="__RefHeading___Toc1440368_372815092">
            <w:r>
              <w:rPr>
                <w:webHidden/>
                <w:rStyle w:val="IndexLink"/>
                <w:rtl w:val="true"/>
              </w:rPr>
              <w:t>شأن نزول و مفهوم آیه محاربه</w:t>
            </w:r>
            <w:r>
              <w:rPr>
                <w:rStyle w:val="IndexLink"/>
                <w:rtl w:val="true"/>
              </w:rPr>
              <w:tab/>
            </w:r>
            <w:r>
              <w:rPr>
                <w:rStyle w:val="IndexLink"/>
              </w:rPr>
              <w:t>106</w:t>
            </w:r>
          </w:hyperlink>
        </w:p>
        <w:p>
          <w:pPr>
            <w:pStyle w:val="Contents5"/>
            <w:tabs>
              <w:tab w:val="clear" w:pos="7892"/>
              <w:tab w:val="right" w:pos="9026" w:leader="dot"/>
            </w:tabs>
            <w:rPr/>
          </w:pPr>
          <w:hyperlink w:anchor="__RefHeading___Toc1440370_372815092">
            <w:r>
              <w:rPr>
                <w:webHidden/>
                <w:rStyle w:val="IndexLink"/>
                <w:rtl w:val="true"/>
              </w:rPr>
              <w:t>تعریف محاربه از دیدگاه فقهای شیعه</w:t>
            </w:r>
            <w:r>
              <w:rPr>
                <w:rStyle w:val="IndexLink"/>
                <w:rtl w:val="true"/>
              </w:rPr>
              <w:tab/>
            </w:r>
            <w:r>
              <w:rPr>
                <w:rStyle w:val="IndexLink"/>
              </w:rPr>
              <w:t>108</w:t>
            </w:r>
          </w:hyperlink>
        </w:p>
        <w:p>
          <w:pPr>
            <w:pStyle w:val="Contents5"/>
            <w:tabs>
              <w:tab w:val="clear" w:pos="7892"/>
              <w:tab w:val="right" w:pos="9026" w:leader="dot"/>
            </w:tabs>
            <w:rPr/>
          </w:pPr>
          <w:hyperlink w:anchor="__RefHeading___Toc1440372_372815092">
            <w:r>
              <w:rPr>
                <w:webHidden/>
                <w:rStyle w:val="IndexLink"/>
                <w:rtl w:val="true"/>
              </w:rPr>
              <w:t>روایات محاربه</w:t>
            </w:r>
            <w:r>
              <w:rPr>
                <w:rStyle w:val="IndexLink"/>
                <w:rtl w:val="true"/>
              </w:rPr>
              <w:tab/>
            </w:r>
            <w:r>
              <w:rPr>
                <w:rStyle w:val="IndexLink"/>
              </w:rPr>
              <w:t>110</w:t>
            </w:r>
          </w:hyperlink>
        </w:p>
        <w:p>
          <w:pPr>
            <w:pStyle w:val="Contents5"/>
            <w:tabs>
              <w:tab w:val="clear" w:pos="7892"/>
              <w:tab w:val="right" w:pos="9026" w:leader="dot"/>
            </w:tabs>
            <w:rPr/>
          </w:pPr>
          <w:hyperlink w:anchor="__RefHeading___Toc1440374_372815092">
            <w:r>
              <w:rPr>
                <w:webHidden/>
                <w:rStyle w:val="IndexLink"/>
                <w:rtl w:val="true"/>
              </w:rPr>
              <w:t>نتیجه</w:t>
            </w:r>
            <w:r>
              <w:rPr>
                <w:rStyle w:val="IndexLink"/>
                <w:rtl w:val="true"/>
              </w:rPr>
              <w:t>:</w:t>
              <w:tab/>
            </w:r>
            <w:r>
              <w:rPr>
                <w:rStyle w:val="IndexLink"/>
              </w:rPr>
              <w:t>112</w:t>
            </w:r>
          </w:hyperlink>
        </w:p>
        <w:p>
          <w:pPr>
            <w:pStyle w:val="Contents6"/>
            <w:tabs>
              <w:tab w:val="clear" w:pos="7609"/>
              <w:tab w:val="right" w:pos="9026" w:leader="dot"/>
            </w:tabs>
            <w:rPr/>
          </w:pPr>
          <w:hyperlink w:anchor="__RefHeading___Toc1440376_372815092">
            <w:r>
              <w:rPr>
                <w:webHidden/>
                <w:rStyle w:val="IndexLink"/>
              </w:rPr>
              <w:t>1</w:t>
            </w:r>
            <w:r>
              <w:rPr>
                <w:rStyle w:val="IndexLink"/>
                <w:rtl w:val="true"/>
              </w:rPr>
              <w:t xml:space="preserve">. </w:t>
            </w:r>
            <w:r>
              <w:rPr>
                <w:rStyle w:val="IndexLink"/>
                <w:rtl w:val="true"/>
              </w:rPr>
              <w:t>عنصر اصلی محاربه</w:t>
            </w:r>
            <w:r>
              <w:rPr>
                <w:rStyle w:val="IndexLink"/>
                <w:rtl w:val="true"/>
              </w:rPr>
              <w:t>:</w:t>
              <w:tab/>
            </w:r>
            <w:r>
              <w:rPr>
                <w:rStyle w:val="IndexLink"/>
              </w:rPr>
              <w:t>112</w:t>
            </w:r>
          </w:hyperlink>
        </w:p>
        <w:p>
          <w:pPr>
            <w:pStyle w:val="Contents6"/>
            <w:tabs>
              <w:tab w:val="clear" w:pos="7609"/>
              <w:tab w:val="right" w:pos="9026" w:leader="dot"/>
            </w:tabs>
            <w:rPr/>
          </w:pPr>
          <w:hyperlink w:anchor="__RefHeading___Toc1440378_372815092">
            <w:r>
              <w:rPr>
                <w:webHidden/>
                <w:rStyle w:val="IndexLink"/>
              </w:rPr>
              <w:t>2</w:t>
            </w:r>
            <w:r>
              <w:rPr>
                <w:rStyle w:val="IndexLink"/>
                <w:rtl w:val="true"/>
              </w:rPr>
              <w:t xml:space="preserve">. </w:t>
            </w:r>
            <w:r>
              <w:rPr>
                <w:rStyle w:val="IndexLink"/>
                <w:rtl w:val="true"/>
              </w:rPr>
              <w:t>زمان و مکان در محاربه</w:t>
            </w:r>
            <w:r>
              <w:rPr>
                <w:rStyle w:val="IndexLink"/>
                <w:rtl w:val="true"/>
              </w:rPr>
              <w:t>:</w:t>
              <w:tab/>
            </w:r>
            <w:r>
              <w:rPr>
                <w:rStyle w:val="IndexLink"/>
              </w:rPr>
              <w:t>112</w:t>
            </w:r>
          </w:hyperlink>
        </w:p>
        <w:p>
          <w:pPr>
            <w:pStyle w:val="Contents6"/>
            <w:tabs>
              <w:tab w:val="clear" w:pos="7609"/>
              <w:tab w:val="right" w:pos="9026" w:leader="dot"/>
            </w:tabs>
            <w:rPr/>
          </w:pPr>
          <w:hyperlink w:anchor="__RefHeading___Toc1440380_372815092">
            <w:r>
              <w:rPr>
                <w:webHidden/>
                <w:rStyle w:val="IndexLink"/>
              </w:rPr>
              <w:t>3</w:t>
            </w:r>
            <w:r>
              <w:rPr>
                <w:rStyle w:val="IndexLink"/>
                <w:rtl w:val="true"/>
              </w:rPr>
              <w:t xml:space="preserve">. </w:t>
            </w:r>
            <w:r>
              <w:rPr>
                <w:rStyle w:val="IndexLink"/>
                <w:rtl w:val="true"/>
              </w:rPr>
              <w:t>انگیزه محارب</w:t>
            </w:r>
            <w:r>
              <w:rPr>
                <w:rStyle w:val="IndexLink"/>
                <w:rtl w:val="true"/>
              </w:rPr>
              <w:t>:</w:t>
              <w:tab/>
            </w:r>
            <w:r>
              <w:rPr>
                <w:rStyle w:val="IndexLink"/>
              </w:rPr>
              <w:t>112</w:t>
            </w:r>
          </w:hyperlink>
        </w:p>
        <w:p>
          <w:pPr>
            <w:pStyle w:val="Contents6"/>
            <w:tabs>
              <w:tab w:val="clear" w:pos="7609"/>
              <w:tab w:val="right" w:pos="9026" w:leader="dot"/>
            </w:tabs>
            <w:rPr/>
          </w:pPr>
          <w:hyperlink w:anchor="__RefHeading___Toc1440382_372815092">
            <w:r>
              <w:rPr>
                <w:webHidden/>
                <w:rStyle w:val="IndexLink"/>
              </w:rPr>
              <w:t>4</w:t>
            </w:r>
            <w:r>
              <w:rPr>
                <w:rStyle w:val="IndexLink"/>
                <w:rtl w:val="true"/>
              </w:rPr>
              <w:t xml:space="preserve">. </w:t>
            </w:r>
            <w:r>
              <w:rPr>
                <w:rStyle w:val="IndexLink"/>
                <w:rtl w:val="true"/>
              </w:rPr>
              <w:t>تحقق اهداف محارب</w:t>
            </w:r>
            <w:r>
              <w:rPr>
                <w:rStyle w:val="IndexLink"/>
                <w:rtl w:val="true"/>
              </w:rPr>
              <w:t>:</w:t>
              <w:tab/>
            </w:r>
            <w:r>
              <w:rPr>
                <w:rStyle w:val="IndexLink"/>
              </w:rPr>
              <w:t>113</w:t>
            </w:r>
          </w:hyperlink>
        </w:p>
        <w:p>
          <w:pPr>
            <w:pStyle w:val="Contents6"/>
            <w:tabs>
              <w:tab w:val="clear" w:pos="7609"/>
              <w:tab w:val="right" w:pos="9026" w:leader="dot"/>
            </w:tabs>
            <w:rPr/>
          </w:pPr>
          <w:hyperlink w:anchor="__RefHeading___Toc1440384_372815092">
            <w:r>
              <w:rPr>
                <w:webHidden/>
                <w:rStyle w:val="IndexLink"/>
              </w:rPr>
              <w:t>5</w:t>
            </w:r>
            <w:r>
              <w:rPr>
                <w:rStyle w:val="IndexLink"/>
                <w:rtl w:val="true"/>
              </w:rPr>
              <w:t xml:space="preserve">. </w:t>
            </w:r>
            <w:r>
              <w:rPr>
                <w:rStyle w:val="IndexLink"/>
                <w:rtl w:val="true"/>
              </w:rPr>
              <w:t>قصد ترساندن مردم، لازم نیست</w:t>
            </w:r>
            <w:r>
              <w:rPr>
                <w:rStyle w:val="IndexLink"/>
                <w:rtl w:val="true"/>
              </w:rPr>
              <w:t>:</w:t>
              <w:tab/>
            </w:r>
            <w:r>
              <w:rPr>
                <w:rStyle w:val="IndexLink"/>
              </w:rPr>
              <w:t>113</w:t>
            </w:r>
          </w:hyperlink>
        </w:p>
        <w:p>
          <w:pPr>
            <w:pStyle w:val="Contents6"/>
            <w:tabs>
              <w:tab w:val="clear" w:pos="7609"/>
              <w:tab w:val="right" w:pos="9026" w:leader="dot"/>
            </w:tabs>
            <w:rPr/>
          </w:pPr>
          <w:hyperlink w:anchor="__RefHeading___Toc1440386_372815092">
            <w:r>
              <w:rPr>
                <w:webHidden/>
                <w:rStyle w:val="IndexLink"/>
              </w:rPr>
              <w:t>6</w:t>
            </w:r>
            <w:r>
              <w:rPr>
                <w:rStyle w:val="IndexLink"/>
                <w:rtl w:val="true"/>
              </w:rPr>
              <w:t xml:space="preserve">. </w:t>
            </w:r>
            <w:r>
              <w:rPr>
                <w:rStyle w:val="IndexLink"/>
                <w:rtl w:val="true"/>
              </w:rPr>
              <w:t>تعدد محاربان</w:t>
            </w:r>
            <w:r>
              <w:rPr>
                <w:rStyle w:val="IndexLink"/>
                <w:rtl w:val="true"/>
              </w:rPr>
              <w:t>:</w:t>
              <w:tab/>
            </w:r>
            <w:r>
              <w:rPr>
                <w:rStyle w:val="IndexLink"/>
              </w:rPr>
              <w:t>113</w:t>
            </w:r>
          </w:hyperlink>
        </w:p>
        <w:p>
          <w:pPr>
            <w:pStyle w:val="Contents6"/>
            <w:tabs>
              <w:tab w:val="clear" w:pos="7609"/>
              <w:tab w:val="right" w:pos="9026" w:leader="dot"/>
            </w:tabs>
            <w:rPr/>
          </w:pPr>
          <w:hyperlink w:anchor="__RefHeading___Toc1440388_372815092">
            <w:r>
              <w:rPr>
                <w:webHidden/>
                <w:rStyle w:val="IndexLink"/>
              </w:rPr>
              <w:t>7</w:t>
            </w:r>
            <w:r>
              <w:rPr>
                <w:rStyle w:val="IndexLink"/>
                <w:rtl w:val="true"/>
              </w:rPr>
              <w:t xml:space="preserve">. </w:t>
            </w:r>
            <w:r>
              <w:rPr>
                <w:rStyle w:val="IndexLink"/>
                <w:rtl w:val="true"/>
              </w:rPr>
              <w:t>جنسیت محارب</w:t>
            </w:r>
            <w:r>
              <w:rPr>
                <w:rStyle w:val="IndexLink"/>
                <w:rtl w:val="true"/>
              </w:rPr>
              <w:t>:</w:t>
              <w:tab/>
            </w:r>
            <w:r>
              <w:rPr>
                <w:rStyle w:val="IndexLink"/>
              </w:rPr>
              <w:t>113</w:t>
            </w:r>
          </w:hyperlink>
        </w:p>
        <w:p>
          <w:pPr>
            <w:pStyle w:val="Contents6"/>
            <w:tabs>
              <w:tab w:val="clear" w:pos="7609"/>
              <w:tab w:val="right" w:pos="9026" w:leader="dot"/>
            </w:tabs>
            <w:rPr/>
          </w:pPr>
          <w:hyperlink w:anchor="__RefHeading___Toc1440390_372815092">
            <w:r>
              <w:rPr>
                <w:webHidden/>
                <w:rStyle w:val="IndexLink"/>
              </w:rPr>
              <w:t>8</w:t>
            </w:r>
            <w:r>
              <w:rPr>
                <w:rStyle w:val="IndexLink"/>
                <w:rtl w:val="true"/>
              </w:rPr>
              <w:t xml:space="preserve">. </w:t>
            </w:r>
            <w:r>
              <w:rPr>
                <w:rStyle w:val="IndexLink"/>
                <w:rtl w:val="true"/>
              </w:rPr>
              <w:t>دین محارب</w:t>
            </w:r>
            <w:r>
              <w:rPr>
                <w:rStyle w:val="IndexLink"/>
                <w:rtl w:val="true"/>
              </w:rPr>
              <w:t>:</w:t>
              <w:tab/>
            </w:r>
            <w:r>
              <w:rPr>
                <w:rStyle w:val="IndexLink"/>
              </w:rPr>
              <w:t>114</w:t>
            </w:r>
          </w:hyperlink>
        </w:p>
        <w:p>
          <w:pPr>
            <w:pStyle w:val="Contents6"/>
            <w:tabs>
              <w:tab w:val="clear" w:pos="7609"/>
              <w:tab w:val="right" w:pos="9026" w:leader="dot"/>
            </w:tabs>
            <w:rPr/>
          </w:pPr>
          <w:hyperlink w:anchor="__RefHeading___Toc1440392_372815092">
            <w:r>
              <w:rPr>
                <w:webHidden/>
                <w:rStyle w:val="IndexLink"/>
              </w:rPr>
              <w:t>9</w:t>
            </w:r>
            <w:r>
              <w:rPr>
                <w:rStyle w:val="IndexLink"/>
                <w:rtl w:val="true"/>
              </w:rPr>
              <w:t xml:space="preserve">. </w:t>
            </w:r>
            <w:r>
              <w:rPr>
                <w:rStyle w:val="IndexLink"/>
                <w:rtl w:val="true"/>
              </w:rPr>
              <w:t>مكان محاربه از دیدگاه اهل سنت</w:t>
            </w:r>
            <w:r>
              <w:rPr>
                <w:rStyle w:val="IndexLink"/>
                <w:rtl w:val="true"/>
              </w:rPr>
              <w:t>:</w:t>
              <w:tab/>
            </w:r>
            <w:r>
              <w:rPr>
                <w:rStyle w:val="IndexLink"/>
              </w:rPr>
              <w:t>114</w:t>
            </w:r>
          </w:hyperlink>
        </w:p>
        <w:p>
          <w:pPr>
            <w:pStyle w:val="Contents6"/>
            <w:tabs>
              <w:tab w:val="clear" w:pos="7609"/>
              <w:tab w:val="right" w:pos="9026" w:leader="dot"/>
            </w:tabs>
            <w:rPr/>
          </w:pPr>
          <w:hyperlink w:anchor="__RefHeading___Toc1440394_372815092">
            <w:r>
              <w:rPr>
                <w:webHidden/>
                <w:rStyle w:val="IndexLink"/>
              </w:rPr>
              <w:t>10</w:t>
            </w:r>
            <w:r>
              <w:rPr>
                <w:rStyle w:val="IndexLink"/>
                <w:rtl w:val="true"/>
              </w:rPr>
              <w:t xml:space="preserve">. </w:t>
            </w:r>
            <w:r>
              <w:rPr>
                <w:rStyle w:val="IndexLink"/>
                <w:rtl w:val="true"/>
              </w:rPr>
              <w:t>سارق، ممکن است محارب باشد</w:t>
            </w:r>
            <w:r>
              <w:rPr>
                <w:rStyle w:val="IndexLink"/>
                <w:rtl w:val="true"/>
              </w:rPr>
              <w:t>:</w:t>
              <w:tab/>
            </w:r>
            <w:r>
              <w:rPr>
                <w:rStyle w:val="IndexLink"/>
              </w:rPr>
              <w:t>114</w:t>
            </w:r>
          </w:hyperlink>
        </w:p>
        <w:p>
          <w:pPr>
            <w:pStyle w:val="Contents6"/>
            <w:tabs>
              <w:tab w:val="clear" w:pos="7609"/>
              <w:tab w:val="right" w:pos="9026" w:leader="dot"/>
            </w:tabs>
            <w:rPr/>
          </w:pPr>
          <w:hyperlink w:anchor="__RefHeading___Toc1440396_372815092">
            <w:r>
              <w:rPr>
                <w:webHidden/>
                <w:rStyle w:val="IndexLink"/>
              </w:rPr>
              <w:t>11</w:t>
            </w:r>
            <w:r>
              <w:rPr>
                <w:rStyle w:val="IndexLink"/>
                <w:rtl w:val="true"/>
              </w:rPr>
              <w:t xml:space="preserve">. </w:t>
            </w:r>
            <w:r>
              <w:rPr>
                <w:rStyle w:val="IndexLink"/>
                <w:rtl w:val="true"/>
              </w:rPr>
              <w:t>محارب، لازم نیست مورد تهمت باشد</w:t>
            </w:r>
            <w:r>
              <w:rPr>
                <w:rStyle w:val="IndexLink"/>
                <w:rtl w:val="true"/>
              </w:rPr>
              <w:t>:</w:t>
              <w:tab/>
            </w:r>
            <w:r>
              <w:rPr>
                <w:rStyle w:val="IndexLink"/>
              </w:rPr>
              <w:t>116</w:t>
            </w:r>
          </w:hyperlink>
        </w:p>
        <w:p>
          <w:pPr>
            <w:pStyle w:val="Contents6"/>
            <w:tabs>
              <w:tab w:val="clear" w:pos="7609"/>
              <w:tab w:val="right" w:pos="9026" w:leader="dot"/>
            </w:tabs>
            <w:rPr/>
          </w:pPr>
          <w:hyperlink w:anchor="__RefHeading___Toc1440398_372815092">
            <w:r>
              <w:rPr>
                <w:webHidden/>
                <w:rStyle w:val="IndexLink"/>
              </w:rPr>
              <w:t>12</w:t>
            </w:r>
            <w:r>
              <w:rPr>
                <w:rStyle w:val="IndexLink"/>
                <w:rtl w:val="true"/>
              </w:rPr>
              <w:t xml:space="preserve">. </w:t>
            </w:r>
            <w:r>
              <w:rPr>
                <w:rStyle w:val="IndexLink"/>
                <w:rtl w:val="true"/>
              </w:rPr>
              <w:t>سلاح محارب</w:t>
            </w:r>
            <w:r>
              <w:rPr>
                <w:rStyle w:val="IndexLink"/>
                <w:rtl w:val="true"/>
              </w:rPr>
              <w:t>:</w:t>
              <w:tab/>
            </w:r>
            <w:r>
              <w:rPr>
                <w:rStyle w:val="IndexLink"/>
              </w:rPr>
              <w:t>116</w:t>
            </w:r>
          </w:hyperlink>
        </w:p>
        <w:p>
          <w:pPr>
            <w:pStyle w:val="Contents5"/>
            <w:tabs>
              <w:tab w:val="clear" w:pos="7892"/>
              <w:tab w:val="right" w:pos="9026" w:leader="dot"/>
            </w:tabs>
            <w:rPr/>
          </w:pPr>
          <w:hyperlink w:anchor="__RefHeading___Toc1440400_372815092">
            <w:r>
              <w:rPr>
                <w:webHidden/>
                <w:rStyle w:val="IndexLink"/>
                <w:rtl w:val="true"/>
              </w:rPr>
              <w:t>مجازات محارب از دیدگاه فقهای شیعه و سنی</w:t>
            </w:r>
            <w:r>
              <w:rPr>
                <w:rStyle w:val="IndexLink"/>
                <w:rtl w:val="true"/>
              </w:rPr>
              <w:tab/>
            </w:r>
            <w:r>
              <w:rPr>
                <w:rStyle w:val="IndexLink"/>
              </w:rPr>
              <w:t>117</w:t>
            </w:r>
          </w:hyperlink>
        </w:p>
        <w:p>
          <w:pPr>
            <w:pStyle w:val="Contents5"/>
            <w:tabs>
              <w:tab w:val="clear" w:pos="7892"/>
              <w:tab w:val="right" w:pos="9026" w:leader="dot"/>
            </w:tabs>
            <w:rPr/>
          </w:pPr>
          <w:hyperlink w:anchor="__RefHeading___Toc1440402_372815092">
            <w:r>
              <w:rPr>
                <w:webHidden/>
                <w:rStyle w:val="IndexLink"/>
                <w:rtl w:val="true"/>
              </w:rPr>
              <w:t>روایاتی درباره مجازات محارب</w:t>
            </w:r>
            <w:r>
              <w:rPr>
                <w:rStyle w:val="IndexLink"/>
                <w:rtl w:val="true"/>
              </w:rPr>
              <w:tab/>
            </w:r>
            <w:r>
              <w:rPr>
                <w:rStyle w:val="IndexLink"/>
              </w:rPr>
              <w:t>119</w:t>
            </w:r>
          </w:hyperlink>
        </w:p>
        <w:p>
          <w:pPr>
            <w:pStyle w:val="Contents5"/>
            <w:tabs>
              <w:tab w:val="clear" w:pos="7892"/>
              <w:tab w:val="right" w:pos="9026" w:leader="dot"/>
            </w:tabs>
            <w:rPr/>
          </w:pPr>
          <w:hyperlink w:anchor="__RefHeading___Toc1440404_372815092">
            <w:r>
              <w:rPr>
                <w:webHidden/>
                <w:rStyle w:val="IndexLink"/>
                <w:rtl w:val="true"/>
              </w:rPr>
              <w:t>نقد و بررسی نظریه ترتیب و تخییر</w:t>
            </w:r>
            <w:r>
              <w:rPr>
                <w:rStyle w:val="IndexLink"/>
                <w:rtl w:val="true"/>
              </w:rPr>
              <w:tab/>
            </w:r>
            <w:r>
              <w:rPr>
                <w:rStyle w:val="IndexLink"/>
              </w:rPr>
              <w:t>120</w:t>
            </w:r>
          </w:hyperlink>
        </w:p>
        <w:p>
          <w:pPr>
            <w:pStyle w:val="Contents5"/>
            <w:tabs>
              <w:tab w:val="clear" w:pos="7892"/>
              <w:tab w:val="right" w:pos="9026" w:leader="dot"/>
            </w:tabs>
            <w:rPr/>
          </w:pPr>
          <w:hyperlink w:anchor="__RefHeading___Toc1440406_372815092">
            <w:r>
              <w:rPr>
                <w:webHidden/>
                <w:rStyle w:val="IndexLink"/>
                <w:rtl w:val="true"/>
              </w:rPr>
              <w:t>ارائه دو شیوه اعمال مجازات محارب و جمع بین روایات</w:t>
            </w:r>
            <w:r>
              <w:rPr>
                <w:rStyle w:val="IndexLink"/>
                <w:rtl w:val="true"/>
              </w:rPr>
              <w:tab/>
            </w:r>
            <w:r>
              <w:rPr>
                <w:rStyle w:val="IndexLink"/>
              </w:rPr>
              <w:t>123</w:t>
            </w:r>
          </w:hyperlink>
        </w:p>
        <w:p>
          <w:pPr>
            <w:pStyle w:val="Contents6"/>
            <w:tabs>
              <w:tab w:val="clear" w:pos="7609"/>
              <w:tab w:val="right" w:pos="9026" w:leader="dot"/>
            </w:tabs>
            <w:rPr/>
          </w:pPr>
          <w:hyperlink w:anchor="__RefHeading___Toc1440408_372815092">
            <w:r>
              <w:rPr>
                <w:webHidden/>
                <w:rStyle w:val="IndexLink"/>
                <w:rtl w:val="true"/>
              </w:rPr>
              <w:t>الف</w:t>
            </w:r>
            <w:r>
              <w:rPr>
                <w:rStyle w:val="IndexLink"/>
                <w:rtl w:val="true"/>
              </w:rPr>
              <w:t xml:space="preserve">) </w:t>
            </w:r>
            <w:r>
              <w:rPr>
                <w:rStyle w:val="IndexLink"/>
                <w:rtl w:val="true"/>
              </w:rPr>
              <w:t>مجازات به مقدار جنایت</w:t>
            </w:r>
            <w:r>
              <w:rPr>
                <w:rStyle w:val="IndexLink"/>
                <w:rtl w:val="true"/>
              </w:rPr>
              <w:t>:</w:t>
              <w:tab/>
            </w:r>
            <w:r>
              <w:rPr>
                <w:rStyle w:val="IndexLink"/>
              </w:rPr>
              <w:t>123</w:t>
            </w:r>
          </w:hyperlink>
        </w:p>
        <w:p>
          <w:pPr>
            <w:pStyle w:val="Contents6"/>
            <w:tabs>
              <w:tab w:val="clear" w:pos="7609"/>
              <w:tab w:val="right" w:pos="9026" w:leader="dot"/>
            </w:tabs>
            <w:rPr/>
          </w:pPr>
          <w:hyperlink w:anchor="__RefHeading___Toc1440410_372815092">
            <w:r>
              <w:rPr>
                <w:webHidden/>
                <w:rStyle w:val="IndexLink"/>
                <w:rtl w:val="true"/>
              </w:rPr>
              <w:t>ب</w:t>
            </w:r>
            <w:r>
              <w:rPr>
                <w:rStyle w:val="IndexLink"/>
                <w:rtl w:val="true"/>
              </w:rPr>
              <w:t xml:space="preserve">) </w:t>
            </w:r>
            <w:r>
              <w:rPr>
                <w:rStyle w:val="IndexLink"/>
                <w:rtl w:val="true"/>
              </w:rPr>
              <w:t>اعدام محارب</w:t>
            </w:r>
            <w:r>
              <w:rPr>
                <w:rStyle w:val="IndexLink"/>
                <w:rtl w:val="true"/>
              </w:rPr>
              <w:t>:</w:t>
              <w:tab/>
            </w:r>
            <w:r>
              <w:rPr>
                <w:rStyle w:val="IndexLink"/>
              </w:rPr>
              <w:t>126</w:t>
            </w:r>
          </w:hyperlink>
        </w:p>
        <w:p>
          <w:pPr>
            <w:pStyle w:val="Contents5"/>
            <w:tabs>
              <w:tab w:val="clear" w:pos="7892"/>
              <w:tab w:val="right" w:pos="9026" w:leader="dot"/>
            </w:tabs>
            <w:rPr/>
          </w:pPr>
          <w:hyperlink w:anchor="__RefHeading___Toc1440412_372815092">
            <w:r>
              <w:rPr>
                <w:webHidden/>
                <w:rStyle w:val="IndexLink"/>
                <w:rtl w:val="true"/>
              </w:rPr>
              <w:t>افساد فی الارض</w:t>
            </w:r>
            <w:r>
              <w:rPr>
                <w:rStyle w:val="IndexLink"/>
                <w:rtl w:val="true"/>
              </w:rPr>
              <w:tab/>
            </w:r>
            <w:r>
              <w:rPr>
                <w:rStyle w:val="IndexLink"/>
              </w:rPr>
              <w:t>128</w:t>
            </w:r>
          </w:hyperlink>
        </w:p>
        <w:p>
          <w:pPr>
            <w:pStyle w:val="Contents6"/>
            <w:tabs>
              <w:tab w:val="clear" w:pos="7609"/>
              <w:tab w:val="right" w:pos="9026" w:leader="dot"/>
            </w:tabs>
            <w:rPr/>
          </w:pPr>
          <w:hyperlink w:anchor="__RefHeading___Toc1440414_372815092">
            <w:r>
              <w:rPr>
                <w:webHidden/>
                <w:rStyle w:val="IndexLink"/>
                <w:rtl w:val="true"/>
              </w:rPr>
              <w:t>فساد در لغت</w:t>
            </w:r>
            <w:r>
              <w:rPr>
                <w:rStyle w:val="IndexLink"/>
                <w:rtl w:val="true"/>
              </w:rPr>
              <w:tab/>
            </w:r>
            <w:r>
              <w:rPr>
                <w:rStyle w:val="IndexLink"/>
              </w:rPr>
              <w:t>128</w:t>
            </w:r>
          </w:hyperlink>
        </w:p>
        <w:p>
          <w:pPr>
            <w:pStyle w:val="Contents6"/>
            <w:tabs>
              <w:tab w:val="clear" w:pos="7609"/>
              <w:tab w:val="right" w:pos="9026" w:leader="dot"/>
            </w:tabs>
            <w:rPr/>
          </w:pPr>
          <w:hyperlink w:anchor="__RefHeading___Toc1440416_372815092">
            <w:r>
              <w:rPr>
                <w:webHidden/>
                <w:rStyle w:val="IndexLink"/>
                <w:rtl w:val="true"/>
              </w:rPr>
              <w:t>فساد و صلاح در آیات</w:t>
            </w:r>
            <w:r>
              <w:rPr>
                <w:rStyle w:val="IndexLink"/>
                <w:rtl w:val="true"/>
              </w:rPr>
              <w:tab/>
            </w:r>
            <w:r>
              <w:rPr>
                <w:rStyle w:val="IndexLink"/>
              </w:rPr>
              <w:t>128</w:t>
            </w:r>
          </w:hyperlink>
        </w:p>
        <w:p>
          <w:pPr>
            <w:pStyle w:val="Contents6"/>
            <w:tabs>
              <w:tab w:val="clear" w:pos="7609"/>
              <w:tab w:val="right" w:pos="9026" w:leader="dot"/>
            </w:tabs>
            <w:rPr/>
          </w:pPr>
          <w:hyperlink w:anchor="__RefHeading___Toc1440418_372815092">
            <w:r>
              <w:rPr>
                <w:webHidden/>
                <w:rStyle w:val="IndexLink"/>
                <w:rtl w:val="true"/>
              </w:rPr>
              <w:t>فساد در روایات</w:t>
            </w:r>
            <w:r>
              <w:rPr>
                <w:rStyle w:val="IndexLink"/>
                <w:rtl w:val="true"/>
              </w:rPr>
              <w:tab/>
            </w:r>
            <w:r>
              <w:rPr>
                <w:rStyle w:val="IndexLink"/>
              </w:rPr>
              <w:t>129</w:t>
            </w:r>
          </w:hyperlink>
        </w:p>
        <w:p>
          <w:pPr>
            <w:pStyle w:val="Contents6"/>
            <w:tabs>
              <w:tab w:val="clear" w:pos="7609"/>
              <w:tab w:val="right" w:pos="9026" w:leader="dot"/>
            </w:tabs>
            <w:rPr/>
          </w:pPr>
          <w:hyperlink w:anchor="__RefHeading___Toc1440420_372815092">
            <w:r>
              <w:rPr>
                <w:webHidden/>
                <w:rStyle w:val="IndexLink"/>
                <w:rtl w:val="true"/>
              </w:rPr>
              <w:t>نقد و بررسی نظریه افساد فی الارض</w:t>
            </w:r>
            <w:r>
              <w:rPr>
                <w:rStyle w:val="IndexLink"/>
                <w:rtl w:val="true"/>
              </w:rPr>
              <w:tab/>
            </w:r>
            <w:r>
              <w:rPr>
                <w:rStyle w:val="IndexLink"/>
              </w:rPr>
              <w:t>129</w:t>
            </w:r>
          </w:hyperlink>
        </w:p>
        <w:p>
          <w:pPr>
            <w:pStyle w:val="Contents5"/>
            <w:tabs>
              <w:tab w:val="clear" w:pos="7892"/>
              <w:tab w:val="right" w:pos="9026" w:leader="dot"/>
            </w:tabs>
            <w:rPr/>
          </w:pPr>
          <w:hyperlink w:anchor="__RefHeading___Toc1440422_372815092">
            <w:r>
              <w:rPr>
                <w:webHidden/>
                <w:rStyle w:val="IndexLink"/>
                <w:rtl w:val="true"/>
              </w:rPr>
              <w:t>محاربه و افساد در قوانین کیفری جمهوری اسلامی ایران</w:t>
            </w:r>
            <w:r>
              <w:rPr>
                <w:rStyle w:val="IndexLink"/>
                <w:rtl w:val="true"/>
              </w:rPr>
              <w:tab/>
            </w:r>
            <w:r>
              <w:rPr>
                <w:rStyle w:val="IndexLink"/>
              </w:rPr>
              <w:t>134</w:t>
            </w:r>
          </w:hyperlink>
        </w:p>
        <w:p>
          <w:pPr>
            <w:pStyle w:val="Contents6"/>
            <w:tabs>
              <w:tab w:val="clear" w:pos="7609"/>
              <w:tab w:val="right" w:pos="9026" w:leader="dot"/>
            </w:tabs>
            <w:rPr/>
          </w:pPr>
          <w:hyperlink w:anchor="__RefHeading___Toc1440424_372815092">
            <w:r>
              <w:rPr>
                <w:webHidden/>
                <w:rStyle w:val="IndexLink"/>
                <w:rtl w:val="true"/>
              </w:rPr>
              <w:t>کلیات</w:t>
            </w:r>
            <w:r>
              <w:rPr>
                <w:rStyle w:val="IndexLink"/>
                <w:rtl w:val="true"/>
              </w:rPr>
              <w:tab/>
            </w:r>
            <w:r>
              <w:rPr>
                <w:rStyle w:val="IndexLink"/>
              </w:rPr>
              <w:t>134</w:t>
            </w:r>
          </w:hyperlink>
        </w:p>
        <w:p>
          <w:pPr>
            <w:pStyle w:val="Contents6"/>
            <w:tabs>
              <w:tab w:val="clear" w:pos="7609"/>
              <w:tab w:val="right" w:pos="9026" w:leader="dot"/>
            </w:tabs>
            <w:rPr/>
          </w:pPr>
          <w:hyperlink w:anchor="__RefHeading___Toc1440426_372815092">
            <w:r>
              <w:rPr>
                <w:webHidden/>
                <w:rStyle w:val="IndexLink"/>
                <w:rtl w:val="true"/>
              </w:rPr>
              <w:t>محاربه علیه مردم</w:t>
            </w:r>
            <w:r>
              <w:rPr>
                <w:rStyle w:val="IndexLink"/>
                <w:rtl w:val="true"/>
              </w:rPr>
              <w:tab/>
            </w:r>
            <w:r>
              <w:rPr>
                <w:rStyle w:val="IndexLink"/>
              </w:rPr>
              <w:t>135</w:t>
            </w:r>
          </w:hyperlink>
        </w:p>
        <w:p>
          <w:pPr>
            <w:pStyle w:val="Contents6"/>
            <w:tabs>
              <w:tab w:val="clear" w:pos="7609"/>
              <w:tab w:val="right" w:pos="9026" w:leader="dot"/>
            </w:tabs>
            <w:rPr/>
          </w:pPr>
          <w:hyperlink w:anchor="__RefHeading___Toc1440428_372815092">
            <w:r>
              <w:rPr>
                <w:webHidden/>
                <w:rStyle w:val="IndexLink"/>
                <w:rtl w:val="true"/>
              </w:rPr>
              <w:t>محاربه علیه نظام</w:t>
            </w:r>
            <w:r>
              <w:rPr>
                <w:rStyle w:val="IndexLink"/>
                <w:rtl w:val="true"/>
              </w:rPr>
              <w:tab/>
            </w:r>
            <w:r>
              <w:rPr>
                <w:rStyle w:val="IndexLink"/>
              </w:rPr>
              <w:t>139</w:t>
            </w:r>
          </w:hyperlink>
        </w:p>
        <w:p>
          <w:pPr>
            <w:pStyle w:val="Contents6"/>
            <w:tabs>
              <w:tab w:val="clear" w:pos="7609"/>
              <w:tab w:val="right" w:pos="9026" w:leader="dot"/>
            </w:tabs>
            <w:rPr/>
          </w:pPr>
          <w:hyperlink w:anchor="__RefHeading___Toc1440430_372815092">
            <w:r>
              <w:rPr>
                <w:webHidden/>
                <w:rStyle w:val="IndexLink"/>
                <w:rtl w:val="true"/>
              </w:rPr>
              <w:t>نقد و بررسی</w:t>
            </w:r>
            <w:r>
              <w:rPr>
                <w:rStyle w:val="IndexLink"/>
                <w:rtl w:val="true"/>
              </w:rPr>
              <w:tab/>
            </w:r>
            <w:r>
              <w:rPr>
                <w:rStyle w:val="IndexLink"/>
              </w:rPr>
              <w:t>141</w:t>
            </w:r>
          </w:hyperlink>
        </w:p>
        <w:p>
          <w:pPr>
            <w:pStyle w:val="Contents5"/>
            <w:tabs>
              <w:tab w:val="clear" w:pos="7892"/>
              <w:tab w:val="right" w:pos="9026" w:leader="dot"/>
            </w:tabs>
            <w:rPr/>
          </w:pPr>
          <w:hyperlink w:anchor="__RefHeading___Toc1440432_372815092">
            <w:r>
              <w:rPr>
                <w:webHidden/>
                <w:rStyle w:val="IndexLink"/>
                <w:rtl w:val="true"/>
              </w:rPr>
              <w:t>بغی</w:t>
            </w:r>
            <w:r>
              <w:rPr>
                <w:rStyle w:val="IndexLink"/>
                <w:rtl w:val="true"/>
              </w:rPr>
              <w:tab/>
            </w:r>
            <w:r>
              <w:rPr>
                <w:rStyle w:val="IndexLink"/>
              </w:rPr>
              <w:t>142</w:t>
            </w:r>
          </w:hyperlink>
        </w:p>
        <w:p>
          <w:pPr>
            <w:pStyle w:val="Contents6"/>
            <w:tabs>
              <w:tab w:val="clear" w:pos="7609"/>
              <w:tab w:val="right" w:pos="9026" w:leader="dot"/>
            </w:tabs>
            <w:rPr/>
          </w:pPr>
          <w:hyperlink w:anchor="__RefHeading___Toc1440434_372815092">
            <w:r>
              <w:rPr>
                <w:webHidden/>
                <w:rStyle w:val="IndexLink"/>
                <w:rtl w:val="true"/>
              </w:rPr>
              <w:t>بغی در لغت</w:t>
            </w:r>
            <w:r>
              <w:rPr>
                <w:rStyle w:val="IndexLink"/>
                <w:rtl w:val="true"/>
              </w:rPr>
              <w:tab/>
            </w:r>
            <w:r>
              <w:rPr>
                <w:rStyle w:val="IndexLink"/>
              </w:rPr>
              <w:t>142</w:t>
            </w:r>
          </w:hyperlink>
        </w:p>
        <w:p>
          <w:pPr>
            <w:pStyle w:val="Contents6"/>
            <w:tabs>
              <w:tab w:val="clear" w:pos="7609"/>
              <w:tab w:val="right" w:pos="9026" w:leader="dot"/>
            </w:tabs>
            <w:rPr/>
          </w:pPr>
          <w:hyperlink w:anchor="__RefHeading___Toc1440436_372815092">
            <w:r>
              <w:rPr>
                <w:webHidden/>
                <w:rStyle w:val="IndexLink"/>
                <w:rtl w:val="true"/>
              </w:rPr>
              <w:t>واکنش علیه باغی</w:t>
            </w:r>
            <w:r>
              <w:rPr>
                <w:rStyle w:val="IndexLink"/>
                <w:rtl w:val="true"/>
              </w:rPr>
              <w:tab/>
            </w:r>
            <w:r>
              <w:rPr>
                <w:rStyle w:val="IndexLink"/>
              </w:rPr>
              <w:t>145</w:t>
            </w:r>
          </w:hyperlink>
        </w:p>
        <w:p>
          <w:pPr>
            <w:pStyle w:val="Contents6"/>
            <w:tabs>
              <w:tab w:val="clear" w:pos="7609"/>
              <w:tab w:val="right" w:pos="9026" w:leader="dot"/>
            </w:tabs>
            <w:rPr/>
          </w:pPr>
          <w:hyperlink w:anchor="__RefHeading___Toc1440438_372815092">
            <w:r>
              <w:rPr>
                <w:webHidden/>
                <w:rStyle w:val="IndexLink"/>
                <w:rtl w:val="true"/>
              </w:rPr>
              <w:t>الف</w:t>
            </w:r>
            <w:r>
              <w:rPr>
                <w:rStyle w:val="IndexLink"/>
                <w:rtl w:val="true"/>
              </w:rPr>
              <w:t xml:space="preserve">) </w:t>
            </w:r>
            <w:r>
              <w:rPr>
                <w:rStyle w:val="IndexLink"/>
                <w:rtl w:val="true"/>
              </w:rPr>
              <w:t>مقابله با باغی یا دفاع مشروع</w:t>
            </w:r>
            <w:r>
              <w:rPr>
                <w:rStyle w:val="IndexLink"/>
                <w:rtl w:val="true"/>
              </w:rPr>
              <w:t>:</w:t>
              <w:tab/>
            </w:r>
            <w:r>
              <w:rPr>
                <w:rStyle w:val="IndexLink"/>
              </w:rPr>
              <w:t>145</w:t>
            </w:r>
          </w:hyperlink>
        </w:p>
        <w:p>
          <w:pPr>
            <w:pStyle w:val="Contents6"/>
            <w:tabs>
              <w:tab w:val="clear" w:pos="7609"/>
              <w:tab w:val="right" w:pos="9026" w:leader="dot"/>
            </w:tabs>
            <w:rPr/>
          </w:pPr>
          <w:hyperlink w:anchor="__RefHeading___Toc1440440_372815092">
            <w:r>
              <w:rPr>
                <w:webHidden/>
                <w:rStyle w:val="IndexLink"/>
                <w:rtl w:val="true"/>
              </w:rPr>
              <w:t>ب</w:t>
            </w:r>
            <w:r>
              <w:rPr>
                <w:rStyle w:val="IndexLink"/>
                <w:rtl w:val="true"/>
              </w:rPr>
              <w:t xml:space="preserve">) </w:t>
            </w:r>
            <w:r>
              <w:rPr>
                <w:rStyle w:val="IndexLink"/>
                <w:rtl w:val="true"/>
              </w:rPr>
              <w:t>مجازات باغی</w:t>
            </w:r>
            <w:r>
              <w:rPr>
                <w:rStyle w:val="IndexLink"/>
                <w:rtl w:val="true"/>
              </w:rPr>
              <w:t>:</w:t>
              <w:tab/>
            </w:r>
            <w:r>
              <w:rPr>
                <w:rStyle w:val="IndexLink"/>
              </w:rPr>
              <w:t>149</w:t>
            </w:r>
          </w:hyperlink>
        </w:p>
        <w:p>
          <w:pPr>
            <w:pStyle w:val="Contents5"/>
            <w:tabs>
              <w:tab w:val="clear" w:pos="7892"/>
              <w:tab w:val="right" w:pos="9026" w:leader="dot"/>
            </w:tabs>
            <w:rPr/>
          </w:pPr>
          <w:hyperlink w:anchor="__RefHeading___Toc1440442_372815092">
            <w:r>
              <w:rPr>
                <w:webHidden/>
                <w:rStyle w:val="IndexLink"/>
                <w:rtl w:val="true"/>
              </w:rPr>
              <w:t>کتابنامه</w:t>
            </w:r>
            <w:r>
              <w:rPr>
                <w:rStyle w:val="IndexLink"/>
                <w:rtl w:val="true"/>
              </w:rPr>
              <w:tab/>
            </w:r>
            <w:r>
              <w:rPr>
                <w:rStyle w:val="IndexLink"/>
              </w:rPr>
              <w:t>152</w:t>
            </w:r>
          </w:hyperlink>
        </w:p>
        <w:p>
          <w:pPr>
            <w:pStyle w:val="Contents4"/>
            <w:tabs>
              <w:tab w:val="clear" w:pos="8176"/>
              <w:tab w:val="right" w:pos="9026" w:leader="dot"/>
            </w:tabs>
            <w:rPr/>
          </w:pPr>
          <w:hyperlink w:anchor="__RefHeading___Toc1440444_372815092">
            <w:r>
              <w:rPr>
                <w:webHidden/>
                <w:rStyle w:val="IndexLink"/>
                <w:rtl w:val="true"/>
              </w:rPr>
              <w:t>ارتداد</w:t>
            </w:r>
            <w:r>
              <w:rPr>
                <w:rStyle w:val="IndexLink"/>
                <w:rtl w:val="true"/>
              </w:rPr>
              <w:tab/>
            </w:r>
            <w:r>
              <w:rPr>
                <w:rStyle w:val="IndexLink"/>
              </w:rPr>
              <w:t>155</w:t>
            </w:r>
          </w:hyperlink>
        </w:p>
        <w:p>
          <w:pPr>
            <w:pStyle w:val="Contents5"/>
            <w:tabs>
              <w:tab w:val="clear" w:pos="7892"/>
              <w:tab w:val="right" w:pos="9026" w:leader="dot"/>
            </w:tabs>
            <w:rPr/>
          </w:pPr>
          <w:hyperlink w:anchor="__RefHeading___Toc1440446_372815092">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440448_372815092">
            <w:r>
              <w:rPr>
                <w:webHidden/>
                <w:rStyle w:val="IndexLink"/>
                <w:rtl w:val="true"/>
              </w:rPr>
              <w:t>مقدمه</w:t>
            </w:r>
            <w:r>
              <w:rPr>
                <w:rStyle w:val="IndexLink"/>
                <w:rtl w:val="true"/>
              </w:rPr>
              <w:tab/>
            </w:r>
            <w:r>
              <w:rPr>
                <w:rStyle w:val="IndexLink"/>
              </w:rPr>
              <w:t>155</w:t>
            </w:r>
          </w:hyperlink>
        </w:p>
        <w:p>
          <w:pPr>
            <w:pStyle w:val="Contents5"/>
            <w:tabs>
              <w:tab w:val="clear" w:pos="7892"/>
              <w:tab w:val="right" w:pos="9026" w:leader="dot"/>
            </w:tabs>
            <w:rPr/>
          </w:pPr>
          <w:hyperlink w:anchor="__RefHeading___Toc1440450_372815092">
            <w:r>
              <w:rPr>
                <w:webHidden/>
                <w:rStyle w:val="IndexLink"/>
                <w:rtl w:val="true"/>
              </w:rPr>
              <w:t>کلیات</w:t>
            </w:r>
            <w:r>
              <w:rPr>
                <w:rStyle w:val="IndexLink"/>
                <w:rtl w:val="true"/>
              </w:rPr>
              <w:tab/>
            </w:r>
            <w:r>
              <w:rPr>
                <w:rStyle w:val="IndexLink"/>
              </w:rPr>
              <w:t>156</w:t>
            </w:r>
          </w:hyperlink>
        </w:p>
        <w:p>
          <w:pPr>
            <w:pStyle w:val="Contents6"/>
            <w:tabs>
              <w:tab w:val="clear" w:pos="7609"/>
              <w:tab w:val="right" w:pos="9026" w:leader="dot"/>
            </w:tabs>
            <w:rPr/>
          </w:pPr>
          <w:hyperlink w:anchor="__RefHeading___Toc1440452_372815092">
            <w:r>
              <w:rPr>
                <w:webHidden/>
                <w:rStyle w:val="IndexLink"/>
                <w:rtl w:val="true"/>
              </w:rPr>
              <w:t>اسلام چیست، مسلمان کیست؟</w:t>
            </w:r>
            <w:r>
              <w:rPr>
                <w:rStyle w:val="IndexLink"/>
                <w:rtl w:val="true"/>
              </w:rPr>
              <w:tab/>
            </w:r>
            <w:r>
              <w:rPr>
                <w:rStyle w:val="IndexLink"/>
              </w:rPr>
              <w:t>156</w:t>
            </w:r>
          </w:hyperlink>
        </w:p>
        <w:p>
          <w:pPr>
            <w:pStyle w:val="Contents6"/>
            <w:tabs>
              <w:tab w:val="clear" w:pos="7609"/>
              <w:tab w:val="right" w:pos="9026" w:leader="dot"/>
            </w:tabs>
            <w:rPr/>
          </w:pPr>
          <w:hyperlink w:anchor="__RefHeading___Toc1440454_372815092">
            <w:r>
              <w:rPr>
                <w:webHidden/>
                <w:rStyle w:val="IndexLink"/>
                <w:rtl w:val="true"/>
              </w:rPr>
              <w:t>كفر چیست، کافر کیست؟</w:t>
            </w:r>
            <w:r>
              <w:rPr>
                <w:rStyle w:val="IndexLink"/>
                <w:rtl w:val="true"/>
              </w:rPr>
              <w:tab/>
            </w:r>
            <w:r>
              <w:rPr>
                <w:rStyle w:val="IndexLink"/>
              </w:rPr>
              <w:t>158</w:t>
            </w:r>
          </w:hyperlink>
        </w:p>
        <w:p>
          <w:pPr>
            <w:pStyle w:val="Contents6"/>
            <w:tabs>
              <w:tab w:val="clear" w:pos="7609"/>
              <w:tab w:val="right" w:pos="9026" w:leader="dot"/>
            </w:tabs>
            <w:rPr/>
          </w:pPr>
          <w:hyperlink w:anchor="__RefHeading___Toc1440456_372815092">
            <w:r>
              <w:rPr>
                <w:webHidden/>
                <w:rStyle w:val="IndexLink"/>
                <w:rtl w:val="true"/>
              </w:rPr>
              <w:t>شرک و توحید</w:t>
            </w:r>
            <w:r>
              <w:rPr>
                <w:rStyle w:val="IndexLink"/>
                <w:rtl w:val="true"/>
              </w:rPr>
              <w:tab/>
            </w:r>
            <w:r>
              <w:rPr>
                <w:rStyle w:val="IndexLink"/>
              </w:rPr>
              <w:t>159</w:t>
            </w:r>
          </w:hyperlink>
        </w:p>
        <w:p>
          <w:pPr>
            <w:pStyle w:val="Contents6"/>
            <w:tabs>
              <w:tab w:val="clear" w:pos="7609"/>
              <w:tab w:val="right" w:pos="9026" w:leader="dot"/>
            </w:tabs>
            <w:rPr/>
          </w:pPr>
          <w:hyperlink w:anchor="__RefHeading___Toc1440458_372815092">
            <w:r>
              <w:rPr>
                <w:webHidden/>
                <w:rStyle w:val="IndexLink"/>
                <w:rtl w:val="true"/>
              </w:rPr>
              <w:t>لغت و مفهوم ارتداد</w:t>
            </w:r>
            <w:r>
              <w:rPr>
                <w:rStyle w:val="IndexLink"/>
                <w:rtl w:val="true"/>
              </w:rPr>
              <w:tab/>
            </w:r>
            <w:r>
              <w:rPr>
                <w:rStyle w:val="IndexLink"/>
              </w:rPr>
              <w:t>159</w:t>
            </w:r>
          </w:hyperlink>
        </w:p>
        <w:p>
          <w:pPr>
            <w:pStyle w:val="Contents6"/>
            <w:tabs>
              <w:tab w:val="clear" w:pos="7609"/>
              <w:tab w:val="right" w:pos="9026" w:leader="dot"/>
            </w:tabs>
            <w:rPr/>
          </w:pPr>
          <w:hyperlink w:anchor="__RefHeading___Toc1440460_372815092">
            <w:r>
              <w:rPr>
                <w:webHidden/>
                <w:rStyle w:val="IndexLink"/>
                <w:rtl w:val="true"/>
              </w:rPr>
              <w:t>تعریف ارتداد در فقه</w:t>
            </w:r>
            <w:r>
              <w:rPr>
                <w:rStyle w:val="IndexLink"/>
                <w:rtl w:val="true"/>
              </w:rPr>
              <w:tab/>
            </w:r>
            <w:r>
              <w:rPr>
                <w:rStyle w:val="IndexLink"/>
              </w:rPr>
              <w:t>160</w:t>
            </w:r>
          </w:hyperlink>
        </w:p>
        <w:p>
          <w:pPr>
            <w:pStyle w:val="Contents6"/>
            <w:tabs>
              <w:tab w:val="clear" w:pos="7609"/>
              <w:tab w:val="right" w:pos="9026" w:leader="dot"/>
            </w:tabs>
            <w:rPr/>
          </w:pPr>
          <w:hyperlink w:anchor="__RefHeading___Toc1440462_372815092">
            <w:r>
              <w:rPr>
                <w:webHidden/>
                <w:rStyle w:val="IndexLink"/>
                <w:rtl w:val="true"/>
              </w:rPr>
              <w:t>اقسام ارتداد در فقه</w:t>
            </w:r>
            <w:r>
              <w:rPr>
                <w:rStyle w:val="IndexLink"/>
                <w:rtl w:val="true"/>
              </w:rPr>
              <w:tab/>
            </w:r>
            <w:r>
              <w:rPr>
                <w:rStyle w:val="IndexLink"/>
              </w:rPr>
              <w:t>161</w:t>
            </w:r>
          </w:hyperlink>
        </w:p>
        <w:p>
          <w:pPr>
            <w:pStyle w:val="Contents6"/>
            <w:tabs>
              <w:tab w:val="clear" w:pos="7609"/>
              <w:tab w:val="right" w:pos="9026" w:leader="dot"/>
            </w:tabs>
            <w:rPr/>
          </w:pPr>
          <w:hyperlink w:anchor="__RefHeading___Toc1440464_372815092">
            <w:r>
              <w:rPr>
                <w:webHidden/>
                <w:rStyle w:val="IndexLink"/>
                <w:rtl w:val="true"/>
              </w:rPr>
              <w:t>شرایط ارتداد و ارتداد غیربالغ</w:t>
            </w:r>
            <w:r>
              <w:rPr>
                <w:rStyle w:val="IndexLink"/>
                <w:rtl w:val="true"/>
              </w:rPr>
              <w:tab/>
            </w:r>
            <w:r>
              <w:rPr>
                <w:rStyle w:val="IndexLink"/>
              </w:rPr>
              <w:t>162</w:t>
            </w:r>
          </w:hyperlink>
        </w:p>
        <w:p>
          <w:pPr>
            <w:pStyle w:val="Contents6"/>
            <w:tabs>
              <w:tab w:val="clear" w:pos="7609"/>
              <w:tab w:val="right" w:pos="9026" w:leader="dot"/>
            </w:tabs>
            <w:rPr/>
          </w:pPr>
          <w:hyperlink w:anchor="__RefHeading___Toc1440466_372815092">
            <w:r>
              <w:rPr>
                <w:webHidden/>
                <w:rStyle w:val="IndexLink"/>
                <w:rtl w:val="true"/>
              </w:rPr>
              <w:t>حکم ارتداد حين بلوغ</w:t>
            </w:r>
            <w:r>
              <w:rPr>
                <w:rStyle w:val="IndexLink"/>
                <w:rtl w:val="true"/>
              </w:rPr>
              <w:tab/>
            </w:r>
            <w:r>
              <w:rPr>
                <w:rStyle w:val="IndexLink"/>
              </w:rPr>
              <w:t>163</w:t>
            </w:r>
          </w:hyperlink>
        </w:p>
        <w:p>
          <w:pPr>
            <w:pStyle w:val="Contents5"/>
            <w:tabs>
              <w:tab w:val="clear" w:pos="7892"/>
              <w:tab w:val="right" w:pos="9026" w:leader="dot"/>
            </w:tabs>
            <w:rPr/>
          </w:pPr>
          <w:hyperlink w:anchor="__RefHeading___Toc1440468_372815092">
            <w:r>
              <w:rPr>
                <w:webHidden/>
                <w:rStyle w:val="IndexLink"/>
                <w:rtl w:val="true"/>
              </w:rPr>
              <w:t>عوامل ارتداد</w:t>
            </w:r>
            <w:r>
              <w:rPr>
                <w:rStyle w:val="IndexLink"/>
                <w:rtl w:val="true"/>
              </w:rPr>
              <w:tab/>
            </w:r>
            <w:r>
              <w:rPr>
                <w:rStyle w:val="IndexLink"/>
              </w:rPr>
              <w:t>165</w:t>
            </w:r>
          </w:hyperlink>
        </w:p>
        <w:p>
          <w:pPr>
            <w:pStyle w:val="Contents6"/>
            <w:tabs>
              <w:tab w:val="clear" w:pos="7609"/>
              <w:tab w:val="right" w:pos="9026" w:leader="dot"/>
            </w:tabs>
            <w:rPr/>
          </w:pPr>
          <w:hyperlink w:anchor="__RefHeading___Toc1440470_372815092">
            <w:r>
              <w:rPr>
                <w:webHidden/>
                <w:rStyle w:val="IndexLink"/>
              </w:rPr>
              <w:t>1</w:t>
            </w:r>
            <w:r>
              <w:rPr>
                <w:rStyle w:val="IndexLink"/>
                <w:rtl w:val="true"/>
              </w:rPr>
              <w:t xml:space="preserve">. </w:t>
            </w:r>
            <w:r>
              <w:rPr>
                <w:rStyle w:val="IndexLink"/>
                <w:rtl w:val="true"/>
              </w:rPr>
              <w:t>انکار هر یک از اصول سه گانه</w:t>
            </w:r>
            <w:r>
              <w:rPr>
                <w:rStyle w:val="IndexLink"/>
                <w:rtl w:val="true"/>
              </w:rPr>
              <w:tab/>
            </w:r>
            <w:r>
              <w:rPr>
                <w:rStyle w:val="IndexLink"/>
              </w:rPr>
              <w:t>165</w:t>
            </w:r>
          </w:hyperlink>
        </w:p>
        <w:p>
          <w:pPr>
            <w:pStyle w:val="Contents6"/>
            <w:tabs>
              <w:tab w:val="clear" w:pos="7609"/>
              <w:tab w:val="right" w:pos="9026" w:leader="dot"/>
            </w:tabs>
            <w:rPr/>
          </w:pPr>
          <w:hyperlink w:anchor="__RefHeading___Toc1440472_372815092">
            <w:r>
              <w:rPr>
                <w:webHidden/>
                <w:rStyle w:val="IndexLink"/>
              </w:rPr>
              <w:t>2</w:t>
            </w:r>
            <w:r>
              <w:rPr>
                <w:rStyle w:val="IndexLink"/>
                <w:rtl w:val="true"/>
              </w:rPr>
              <w:t xml:space="preserve">. </w:t>
            </w:r>
            <w:r>
              <w:rPr>
                <w:rStyle w:val="IndexLink"/>
                <w:rtl w:val="true"/>
              </w:rPr>
              <w:t>انکار خاتمیت حضرت محمد صلی الله علیه واله</w:t>
            </w:r>
            <w:r>
              <w:rPr>
                <w:rStyle w:val="IndexLink"/>
                <w:rtl w:val="true"/>
              </w:rPr>
              <w:tab/>
            </w:r>
            <w:r>
              <w:rPr>
                <w:rStyle w:val="IndexLink"/>
              </w:rPr>
              <w:t>167</w:t>
            </w:r>
          </w:hyperlink>
        </w:p>
        <w:p>
          <w:pPr>
            <w:pStyle w:val="Contents6"/>
            <w:tabs>
              <w:tab w:val="clear" w:pos="7609"/>
              <w:tab w:val="right" w:pos="9026" w:leader="dot"/>
            </w:tabs>
            <w:rPr/>
          </w:pPr>
          <w:hyperlink w:anchor="__RefHeading___Toc1440474_372815092">
            <w:r>
              <w:rPr>
                <w:webHidden/>
                <w:rStyle w:val="IndexLink"/>
              </w:rPr>
              <w:t>3</w:t>
            </w:r>
            <w:r>
              <w:rPr>
                <w:rStyle w:val="IndexLink"/>
                <w:rtl w:val="true"/>
              </w:rPr>
              <w:t xml:space="preserve">. </w:t>
            </w:r>
            <w:r>
              <w:rPr>
                <w:rStyle w:val="IndexLink"/>
                <w:rtl w:val="true"/>
              </w:rPr>
              <w:t>ادعای نبوت</w:t>
            </w:r>
            <w:r>
              <w:rPr>
                <w:rStyle w:val="IndexLink"/>
                <w:rtl w:val="true"/>
              </w:rPr>
              <w:tab/>
            </w:r>
            <w:r>
              <w:rPr>
                <w:rStyle w:val="IndexLink"/>
              </w:rPr>
              <w:t>168</w:t>
            </w:r>
          </w:hyperlink>
        </w:p>
        <w:p>
          <w:pPr>
            <w:pStyle w:val="Contents6"/>
            <w:tabs>
              <w:tab w:val="clear" w:pos="7609"/>
              <w:tab w:val="right" w:pos="9026" w:leader="dot"/>
            </w:tabs>
            <w:rPr/>
          </w:pPr>
          <w:hyperlink w:anchor="__RefHeading___Toc1440476_372815092">
            <w:r>
              <w:rPr>
                <w:webHidden/>
                <w:rStyle w:val="IndexLink"/>
              </w:rPr>
              <w:t>4</w:t>
            </w:r>
            <w:r>
              <w:rPr>
                <w:rStyle w:val="IndexLink"/>
                <w:rtl w:val="true"/>
              </w:rPr>
              <w:t xml:space="preserve">. </w:t>
            </w:r>
            <w:r>
              <w:rPr>
                <w:rStyle w:val="IndexLink"/>
                <w:rtl w:val="true"/>
              </w:rPr>
              <w:t>اهانت به پیامبر صلی الله علیه واله</w:t>
            </w:r>
            <w:r>
              <w:rPr>
                <w:rStyle w:val="IndexLink"/>
                <w:rtl w:val="true"/>
              </w:rPr>
              <w:tab/>
            </w:r>
            <w:r>
              <w:rPr>
                <w:rStyle w:val="IndexLink"/>
              </w:rPr>
              <w:t>169</w:t>
            </w:r>
          </w:hyperlink>
        </w:p>
        <w:p>
          <w:pPr>
            <w:pStyle w:val="Contents6"/>
            <w:tabs>
              <w:tab w:val="clear" w:pos="7609"/>
              <w:tab w:val="right" w:pos="9026" w:leader="dot"/>
            </w:tabs>
            <w:rPr/>
          </w:pPr>
          <w:hyperlink w:anchor="__RefHeading___Toc1440478_372815092">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1440480_372815092">
            <w:r>
              <w:rPr>
                <w:webHidden/>
                <w:rStyle w:val="IndexLink"/>
                <w:rtl w:val="true"/>
              </w:rPr>
              <w:t>انکار امامت ائمه دوازده گانه</w:t>
            </w:r>
            <w:r>
              <w:rPr>
                <w:rStyle w:val="IndexLink"/>
                <w:rtl w:val="true"/>
              </w:rPr>
              <w:tab/>
            </w:r>
            <w:r>
              <w:rPr>
                <w:rStyle w:val="IndexLink"/>
              </w:rPr>
              <w:t>169</w:t>
            </w:r>
          </w:hyperlink>
        </w:p>
        <w:p>
          <w:pPr>
            <w:pStyle w:val="Contents6"/>
            <w:tabs>
              <w:tab w:val="clear" w:pos="7609"/>
              <w:tab w:val="right" w:pos="9026" w:leader="dot"/>
            </w:tabs>
            <w:rPr/>
          </w:pPr>
          <w:hyperlink w:anchor="__RefHeading___Toc1440482_372815092">
            <w:r>
              <w:rPr>
                <w:webHidden/>
                <w:rStyle w:val="IndexLink"/>
                <w:rtl w:val="true"/>
              </w:rPr>
              <w:t>محارب امام معصوم</w:t>
            </w:r>
            <w:r>
              <w:rPr>
                <w:rStyle w:val="IndexLink"/>
                <w:rtl w:val="true"/>
              </w:rPr>
              <w:tab/>
            </w:r>
            <w:r>
              <w:rPr>
                <w:rStyle w:val="IndexLink"/>
              </w:rPr>
              <w:t>171</w:t>
            </w:r>
          </w:hyperlink>
        </w:p>
        <w:p>
          <w:pPr>
            <w:pStyle w:val="Contents6"/>
            <w:tabs>
              <w:tab w:val="clear" w:pos="7609"/>
              <w:tab w:val="right" w:pos="9026" w:leader="dot"/>
            </w:tabs>
            <w:rPr/>
          </w:pPr>
          <w:hyperlink w:anchor="__RefHeading___Toc1440484_372815092">
            <w:r>
              <w:rPr>
                <w:webHidden/>
                <w:rStyle w:val="IndexLink"/>
              </w:rPr>
              <w:t>5</w:t>
            </w:r>
            <w:r>
              <w:rPr>
                <w:rStyle w:val="IndexLink"/>
                <w:rtl w:val="true"/>
              </w:rPr>
              <w:t xml:space="preserve">. </w:t>
            </w:r>
            <w:r>
              <w:rPr>
                <w:rStyle w:val="IndexLink"/>
                <w:rtl w:val="true"/>
              </w:rPr>
              <w:t>انکار ضروریات دین</w:t>
            </w:r>
            <w:r>
              <w:rPr>
                <w:rStyle w:val="IndexLink"/>
                <w:rtl w:val="true"/>
              </w:rPr>
              <w:tab/>
            </w:r>
            <w:r>
              <w:rPr>
                <w:rStyle w:val="IndexLink"/>
              </w:rPr>
              <w:t>174</w:t>
            </w:r>
          </w:hyperlink>
        </w:p>
        <w:p>
          <w:pPr>
            <w:pStyle w:val="Contents6"/>
            <w:tabs>
              <w:tab w:val="clear" w:pos="7609"/>
              <w:tab w:val="right" w:pos="9026" w:leader="dot"/>
            </w:tabs>
            <w:rPr/>
          </w:pPr>
          <w:hyperlink w:anchor="__RefHeading___Toc1440486_372815092">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1440488_372815092">
            <w:r>
              <w:rPr>
                <w:webHidden/>
                <w:rStyle w:val="IndexLink"/>
                <w:rtl w:val="true"/>
              </w:rPr>
              <w:t>ارتداد به دلیل شبهة واقعيه</w:t>
            </w:r>
            <w:r>
              <w:rPr>
                <w:rStyle w:val="IndexLink"/>
                <w:rtl w:val="true"/>
              </w:rPr>
              <w:tab/>
            </w:r>
            <w:r>
              <w:rPr>
                <w:rStyle w:val="IndexLink"/>
              </w:rPr>
              <w:t>177</w:t>
            </w:r>
          </w:hyperlink>
        </w:p>
        <w:p>
          <w:pPr>
            <w:pStyle w:val="Contents5"/>
            <w:tabs>
              <w:tab w:val="clear" w:pos="7892"/>
              <w:tab w:val="right" w:pos="9026" w:leader="dot"/>
            </w:tabs>
            <w:rPr/>
          </w:pPr>
          <w:hyperlink w:anchor="__RefHeading___Toc1440490_372815092">
            <w:r>
              <w:rPr>
                <w:webHidden/>
                <w:rStyle w:val="IndexLink"/>
                <w:rtl w:val="true"/>
              </w:rPr>
              <w:t>توبه مرتد</w:t>
            </w:r>
            <w:r>
              <w:rPr>
                <w:rStyle w:val="IndexLink"/>
                <w:rtl w:val="true"/>
              </w:rPr>
              <w:tab/>
            </w:r>
            <w:r>
              <w:rPr>
                <w:rStyle w:val="IndexLink"/>
              </w:rPr>
              <w:t>181</w:t>
            </w:r>
          </w:hyperlink>
        </w:p>
        <w:p>
          <w:pPr>
            <w:pStyle w:val="Contents6"/>
            <w:tabs>
              <w:tab w:val="clear" w:pos="7609"/>
              <w:tab w:val="right" w:pos="9026" w:leader="dot"/>
            </w:tabs>
            <w:rPr/>
          </w:pPr>
          <w:hyperlink w:anchor="__RefHeading___Toc1440492_372815092">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1440494_372815092">
            <w:r>
              <w:rPr>
                <w:webHidden/>
                <w:rStyle w:val="IndexLink"/>
                <w:rtl w:val="true"/>
              </w:rPr>
              <w:t>روایات توبه مرتد</w:t>
            </w:r>
            <w:r>
              <w:rPr>
                <w:rStyle w:val="IndexLink"/>
                <w:rtl w:val="true"/>
              </w:rPr>
              <w:tab/>
            </w:r>
            <w:r>
              <w:rPr>
                <w:rStyle w:val="IndexLink"/>
              </w:rPr>
              <w:t>182</w:t>
            </w:r>
          </w:hyperlink>
        </w:p>
        <w:p>
          <w:pPr>
            <w:pStyle w:val="Contents5"/>
            <w:tabs>
              <w:tab w:val="clear" w:pos="7892"/>
              <w:tab w:val="right" w:pos="9026" w:leader="dot"/>
            </w:tabs>
            <w:rPr/>
          </w:pPr>
          <w:hyperlink w:anchor="__RefHeading___Toc1440496_372815092">
            <w:r>
              <w:rPr>
                <w:webHidden/>
                <w:rStyle w:val="IndexLink"/>
                <w:rtl w:val="true"/>
              </w:rPr>
              <w:t>کتابنامه</w:t>
            </w:r>
            <w:r>
              <w:rPr>
                <w:rStyle w:val="IndexLink"/>
                <w:rtl w:val="true"/>
              </w:rPr>
              <w:tab/>
            </w:r>
            <w:r>
              <w:rPr>
                <w:rStyle w:val="IndexLink"/>
              </w:rPr>
              <w:t>184</w:t>
            </w:r>
          </w:hyperlink>
        </w:p>
        <w:p>
          <w:pPr>
            <w:pStyle w:val="Contents2"/>
            <w:tabs>
              <w:tab w:val="clear" w:pos="8743"/>
              <w:tab w:val="right" w:pos="9026" w:leader="dot"/>
            </w:tabs>
            <w:rPr/>
          </w:pPr>
          <w:hyperlink w:anchor="__RefHeading___Toc1440498_372815092">
            <w:r>
              <w:rPr>
                <w:webHidden/>
                <w:rStyle w:val="IndexLink"/>
                <w:rtl w:val="true"/>
              </w:rPr>
              <w:t xml:space="preserve">بخش سوم </w:t>
            </w:r>
            <w:r>
              <w:rPr>
                <w:rStyle w:val="IndexLink"/>
                <w:rtl w:val="true"/>
              </w:rPr>
              <w:t xml:space="preserve">: </w:t>
            </w:r>
            <w:r>
              <w:rPr>
                <w:rStyle w:val="IndexLink"/>
                <w:rtl w:val="true"/>
              </w:rPr>
              <w:t>حقوق بین الملل</w:t>
            </w:r>
            <w:r>
              <w:rPr>
                <w:rStyle w:val="IndexLink"/>
                <w:rtl w:val="true"/>
              </w:rPr>
              <w:tab/>
            </w:r>
            <w:r>
              <w:rPr>
                <w:rStyle w:val="IndexLink"/>
              </w:rPr>
              <w:t>187</w:t>
            </w:r>
          </w:hyperlink>
        </w:p>
        <w:p>
          <w:pPr>
            <w:pStyle w:val="Contents3"/>
            <w:tabs>
              <w:tab w:val="clear" w:pos="8459"/>
              <w:tab w:val="right" w:pos="9026" w:leader="dot"/>
            </w:tabs>
            <w:rPr/>
          </w:pPr>
          <w:hyperlink w:anchor="__RefHeading___Toc1440500_372815092">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440502_372815092">
            <w:r>
              <w:rPr>
                <w:webHidden/>
                <w:rStyle w:val="IndexLink"/>
                <w:rtl w:val="true"/>
              </w:rPr>
              <w:t>آزادی بیان در اسلام و اعلامیه جهانی حقوق بشر</w:t>
            </w:r>
            <w:r>
              <w:rPr>
                <w:rStyle w:val="IndexLink"/>
                <w:rtl w:val="true"/>
              </w:rPr>
              <w:tab/>
            </w:r>
            <w:r>
              <w:rPr>
                <w:rStyle w:val="IndexLink"/>
              </w:rPr>
              <w:t>189</w:t>
            </w:r>
          </w:hyperlink>
        </w:p>
        <w:p>
          <w:pPr>
            <w:pStyle w:val="Contents4"/>
            <w:tabs>
              <w:tab w:val="clear" w:pos="8176"/>
              <w:tab w:val="right" w:pos="9026" w:leader="dot"/>
            </w:tabs>
            <w:rPr/>
          </w:pPr>
          <w:hyperlink w:anchor="__RefHeading___Toc1440504_372815092">
            <w:r>
              <w:rPr>
                <w:webHidden/>
                <w:rStyle w:val="IndexLink"/>
                <w:rtl w:val="true"/>
              </w:rPr>
              <w:t>مقدمه</w:t>
            </w:r>
            <w:r>
              <w:rPr>
                <w:rStyle w:val="IndexLink"/>
                <w:rtl w:val="true"/>
              </w:rPr>
              <w:tab/>
            </w:r>
            <w:r>
              <w:rPr>
                <w:rStyle w:val="IndexLink"/>
              </w:rPr>
              <w:t>189</w:t>
            </w:r>
          </w:hyperlink>
        </w:p>
        <w:p>
          <w:pPr>
            <w:pStyle w:val="Contents4"/>
            <w:tabs>
              <w:tab w:val="clear" w:pos="8176"/>
              <w:tab w:val="right" w:pos="9026" w:leader="dot"/>
            </w:tabs>
            <w:rPr/>
          </w:pPr>
          <w:hyperlink w:anchor="__RefHeading___Toc1440506_372815092">
            <w:r>
              <w:rPr>
                <w:webHidden/>
                <w:rStyle w:val="IndexLink"/>
                <w:rtl w:val="true"/>
              </w:rPr>
              <w:t>تعریف آزادی بیان</w:t>
            </w:r>
            <w:r>
              <w:rPr>
                <w:rStyle w:val="IndexLink"/>
                <w:rtl w:val="true"/>
              </w:rPr>
              <w:tab/>
            </w:r>
            <w:r>
              <w:rPr>
                <w:rStyle w:val="IndexLink"/>
              </w:rPr>
              <w:t>190</w:t>
            </w:r>
          </w:hyperlink>
        </w:p>
        <w:p>
          <w:pPr>
            <w:pStyle w:val="Contents4"/>
            <w:tabs>
              <w:tab w:val="clear" w:pos="8176"/>
              <w:tab w:val="right" w:pos="9026" w:leader="dot"/>
            </w:tabs>
            <w:rPr/>
          </w:pPr>
          <w:hyperlink w:anchor="__RefHeading___Toc1440508_372815092">
            <w:r>
              <w:rPr>
                <w:webHidden/>
                <w:rStyle w:val="IndexLink"/>
                <w:rtl w:val="true"/>
              </w:rPr>
              <w:t>تاریخچه آزادی بیان</w:t>
            </w:r>
            <w:r>
              <w:rPr>
                <w:rStyle w:val="IndexLink"/>
                <w:rtl w:val="true"/>
              </w:rPr>
              <w:tab/>
            </w:r>
            <w:r>
              <w:rPr>
                <w:rStyle w:val="IndexLink"/>
              </w:rPr>
              <w:t>194</w:t>
            </w:r>
          </w:hyperlink>
        </w:p>
        <w:p>
          <w:pPr>
            <w:pStyle w:val="Contents4"/>
            <w:tabs>
              <w:tab w:val="clear" w:pos="8176"/>
              <w:tab w:val="right" w:pos="9026" w:leader="dot"/>
            </w:tabs>
            <w:rPr/>
          </w:pPr>
          <w:hyperlink w:anchor="__RefHeading___Toc1440510_372815092">
            <w:r>
              <w:rPr>
                <w:webHidden/>
                <w:rStyle w:val="IndexLink"/>
                <w:rtl w:val="true"/>
              </w:rPr>
              <w:t>آزادی بیان از دیدگاه غرب</w:t>
            </w:r>
            <w:r>
              <w:rPr>
                <w:rStyle w:val="IndexLink"/>
                <w:rtl w:val="true"/>
              </w:rPr>
              <w:tab/>
            </w:r>
            <w:r>
              <w:rPr>
                <w:rStyle w:val="IndexLink"/>
              </w:rPr>
              <w:t>197</w:t>
            </w:r>
          </w:hyperlink>
        </w:p>
        <w:p>
          <w:pPr>
            <w:pStyle w:val="Contents5"/>
            <w:tabs>
              <w:tab w:val="clear" w:pos="7892"/>
              <w:tab w:val="right" w:pos="9026" w:leader="dot"/>
            </w:tabs>
            <w:rPr/>
          </w:pPr>
          <w:hyperlink w:anchor="__RefHeading___Toc1440512_372815092">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1440514_372815092">
            <w:r>
              <w:rPr>
                <w:webHidden/>
                <w:rStyle w:val="IndexLink"/>
                <w:rtl w:val="true"/>
              </w:rPr>
              <w:t>مخالفان آزادی بیان</w:t>
            </w:r>
            <w:r>
              <w:rPr>
                <w:rStyle w:val="IndexLink"/>
                <w:rtl w:val="true"/>
              </w:rPr>
              <w:tab/>
            </w:r>
            <w:r>
              <w:rPr>
                <w:rStyle w:val="IndexLink"/>
              </w:rPr>
              <w:t>198</w:t>
            </w:r>
          </w:hyperlink>
        </w:p>
        <w:p>
          <w:pPr>
            <w:pStyle w:val="Contents5"/>
            <w:tabs>
              <w:tab w:val="clear" w:pos="7892"/>
              <w:tab w:val="right" w:pos="9026" w:leader="dot"/>
            </w:tabs>
            <w:rPr/>
          </w:pPr>
          <w:hyperlink w:anchor="__RefHeading___Toc1440516_372815092">
            <w:r>
              <w:rPr>
                <w:webHidden/>
                <w:rStyle w:val="IndexLink"/>
                <w:rtl w:val="true"/>
              </w:rPr>
              <w:t>موافقان افراط گرای آزادی بیان</w:t>
            </w:r>
            <w:r>
              <w:rPr>
                <w:rStyle w:val="IndexLink"/>
                <w:rtl w:val="true"/>
              </w:rPr>
              <w:tab/>
            </w:r>
            <w:r>
              <w:rPr>
                <w:rStyle w:val="IndexLink"/>
              </w:rPr>
              <w:t>200</w:t>
            </w:r>
          </w:hyperlink>
        </w:p>
        <w:p>
          <w:pPr>
            <w:pStyle w:val="Contents5"/>
            <w:tabs>
              <w:tab w:val="clear" w:pos="7892"/>
              <w:tab w:val="right" w:pos="9026" w:leader="dot"/>
            </w:tabs>
            <w:rPr/>
          </w:pPr>
          <w:hyperlink w:anchor="__RefHeading___Toc1440518_372815092">
            <w:r>
              <w:rPr>
                <w:webHidden/>
                <w:rStyle w:val="IndexLink"/>
                <w:rtl w:val="true"/>
              </w:rPr>
              <w:t>نظریات تعدیل شده</w:t>
            </w:r>
            <w:r>
              <w:rPr>
                <w:rStyle w:val="IndexLink"/>
                <w:rtl w:val="true"/>
              </w:rPr>
              <w:tab/>
            </w:r>
            <w:r>
              <w:rPr>
                <w:rStyle w:val="IndexLink"/>
              </w:rPr>
              <w:t>204</w:t>
            </w:r>
          </w:hyperlink>
        </w:p>
        <w:p>
          <w:pPr>
            <w:pStyle w:val="Contents5"/>
            <w:tabs>
              <w:tab w:val="clear" w:pos="7892"/>
              <w:tab w:val="right" w:pos="9026" w:leader="dot"/>
            </w:tabs>
            <w:rPr/>
          </w:pPr>
          <w:hyperlink w:anchor="__RefHeading___Toc1440520_372815092">
            <w:r>
              <w:rPr>
                <w:webHidden/>
                <w:rStyle w:val="IndexLink"/>
                <w:rtl w:val="true"/>
              </w:rPr>
              <w:t>تجلی اندیشه آزادی بیان در اعلامیه جهانی حقوق بشر</w:t>
            </w:r>
            <w:r>
              <w:rPr>
                <w:rStyle w:val="IndexLink"/>
                <w:rtl w:val="true"/>
              </w:rPr>
              <w:tab/>
            </w:r>
            <w:r>
              <w:rPr>
                <w:rStyle w:val="IndexLink"/>
              </w:rPr>
              <w:t>205</w:t>
            </w:r>
          </w:hyperlink>
        </w:p>
        <w:p>
          <w:pPr>
            <w:pStyle w:val="Contents4"/>
            <w:tabs>
              <w:tab w:val="clear" w:pos="8176"/>
              <w:tab w:val="right" w:pos="9026" w:leader="dot"/>
            </w:tabs>
            <w:rPr/>
          </w:pPr>
          <w:hyperlink w:anchor="__RefHeading___Toc1440522_372815092">
            <w:r>
              <w:rPr>
                <w:webHidden/>
                <w:rStyle w:val="IndexLink"/>
                <w:rtl w:val="true"/>
              </w:rPr>
              <w:t>آزادی بیان از دیدگاه اسلام</w:t>
            </w:r>
            <w:r>
              <w:rPr>
                <w:rStyle w:val="IndexLink"/>
                <w:rtl w:val="true"/>
              </w:rPr>
              <w:tab/>
            </w:r>
            <w:r>
              <w:rPr>
                <w:rStyle w:val="IndexLink"/>
              </w:rPr>
              <w:t>207</w:t>
            </w:r>
          </w:hyperlink>
        </w:p>
        <w:p>
          <w:pPr>
            <w:pStyle w:val="Contents5"/>
            <w:tabs>
              <w:tab w:val="clear" w:pos="7892"/>
              <w:tab w:val="right" w:pos="9026" w:leader="dot"/>
            </w:tabs>
            <w:rPr/>
          </w:pPr>
          <w:hyperlink w:anchor="__RefHeading___Toc1440524_372815092">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440526_372815092">
            <w:r>
              <w:rPr>
                <w:webHidden/>
                <w:rStyle w:val="IndexLink"/>
                <w:rtl w:val="true"/>
              </w:rPr>
              <w:t>آزادی بیان در قرآن و حدیث</w:t>
            </w:r>
            <w:r>
              <w:rPr>
                <w:rStyle w:val="IndexLink"/>
                <w:rtl w:val="true"/>
              </w:rPr>
              <w:tab/>
            </w:r>
            <w:r>
              <w:rPr>
                <w:rStyle w:val="IndexLink"/>
              </w:rPr>
              <w:t>208</w:t>
            </w:r>
          </w:hyperlink>
        </w:p>
        <w:p>
          <w:pPr>
            <w:pStyle w:val="Contents6"/>
            <w:tabs>
              <w:tab w:val="clear" w:pos="7609"/>
              <w:tab w:val="right" w:pos="9026" w:leader="dot"/>
            </w:tabs>
            <w:rPr/>
          </w:pPr>
          <w:hyperlink w:anchor="__RefHeading___Toc1440528_372815092">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1440530_372815092">
            <w:r>
              <w:rPr>
                <w:webHidden/>
                <w:rStyle w:val="IndexLink"/>
              </w:rPr>
              <w:t>1</w:t>
            </w:r>
            <w:r>
              <w:rPr>
                <w:rStyle w:val="IndexLink"/>
                <w:rtl w:val="true"/>
              </w:rPr>
              <w:t xml:space="preserve">. </w:t>
            </w:r>
            <w:r>
              <w:rPr>
                <w:rStyle w:val="IndexLink"/>
                <w:rtl w:val="true"/>
              </w:rPr>
              <w:t>ضرورت بیان حق</w:t>
            </w:r>
            <w:r>
              <w:rPr>
                <w:rStyle w:val="IndexLink"/>
                <w:rtl w:val="true"/>
              </w:rPr>
              <w:t>:</w:t>
              <w:tab/>
            </w:r>
            <w:r>
              <w:rPr>
                <w:rStyle w:val="IndexLink"/>
              </w:rPr>
              <w:t>208</w:t>
            </w:r>
          </w:hyperlink>
        </w:p>
        <w:p>
          <w:pPr>
            <w:pStyle w:val="Contents6"/>
            <w:tabs>
              <w:tab w:val="clear" w:pos="7609"/>
              <w:tab w:val="right" w:pos="9026" w:leader="dot"/>
            </w:tabs>
            <w:rPr/>
          </w:pPr>
          <w:hyperlink w:anchor="__RefHeading___Toc1440532_372815092">
            <w:r>
              <w:rPr>
                <w:webHidden/>
                <w:rStyle w:val="IndexLink"/>
              </w:rPr>
              <w:t>2</w:t>
            </w:r>
            <w:r>
              <w:rPr>
                <w:rStyle w:val="IndexLink"/>
                <w:rtl w:val="true"/>
              </w:rPr>
              <w:t xml:space="preserve">. </w:t>
            </w:r>
            <w:r>
              <w:rPr>
                <w:rStyle w:val="IndexLink"/>
                <w:rtl w:val="true"/>
              </w:rPr>
              <w:t>اهمیت بیان حق</w:t>
            </w:r>
            <w:r>
              <w:rPr>
                <w:rStyle w:val="IndexLink"/>
                <w:rtl w:val="true"/>
              </w:rPr>
              <w:t>:</w:t>
              <w:tab/>
            </w:r>
            <w:r>
              <w:rPr>
                <w:rStyle w:val="IndexLink"/>
              </w:rPr>
              <w:t>209</w:t>
            </w:r>
          </w:hyperlink>
        </w:p>
        <w:p>
          <w:pPr>
            <w:pStyle w:val="Contents6"/>
            <w:tabs>
              <w:tab w:val="clear" w:pos="7609"/>
              <w:tab w:val="right" w:pos="9026" w:leader="dot"/>
            </w:tabs>
            <w:rPr/>
          </w:pPr>
          <w:hyperlink w:anchor="__RefHeading___Toc1440534_372815092">
            <w:r>
              <w:rPr>
                <w:webHidden/>
                <w:rStyle w:val="IndexLink"/>
              </w:rPr>
              <w:t>3</w:t>
            </w:r>
            <w:r>
              <w:rPr>
                <w:rStyle w:val="IndexLink"/>
                <w:rtl w:val="true"/>
              </w:rPr>
              <w:t xml:space="preserve">. </w:t>
            </w:r>
            <w:r>
              <w:rPr>
                <w:rStyle w:val="IndexLink"/>
                <w:rtl w:val="true"/>
              </w:rPr>
              <w:t>جرم بودن کتمان حق</w:t>
            </w:r>
            <w:r>
              <w:rPr>
                <w:rStyle w:val="IndexLink"/>
                <w:rtl w:val="true"/>
              </w:rPr>
              <w:t>:</w:t>
              <w:tab/>
            </w:r>
            <w:r>
              <w:rPr>
                <w:rStyle w:val="IndexLink"/>
              </w:rPr>
              <w:t>209</w:t>
            </w:r>
          </w:hyperlink>
        </w:p>
        <w:p>
          <w:pPr>
            <w:pStyle w:val="Contents6"/>
            <w:tabs>
              <w:tab w:val="clear" w:pos="7609"/>
              <w:tab w:val="right" w:pos="9026" w:leader="dot"/>
            </w:tabs>
            <w:rPr/>
          </w:pPr>
          <w:hyperlink w:anchor="__RefHeading___Toc1440536_372815092">
            <w:r>
              <w:rPr>
                <w:webHidden/>
                <w:rStyle w:val="IndexLink"/>
              </w:rPr>
              <w:t>4</w:t>
            </w:r>
            <w:r>
              <w:rPr>
                <w:rStyle w:val="IndexLink"/>
                <w:rtl w:val="true"/>
              </w:rPr>
              <w:t xml:space="preserve">. </w:t>
            </w:r>
            <w:r>
              <w:rPr>
                <w:rStyle w:val="IndexLink"/>
                <w:rtl w:val="true"/>
              </w:rPr>
              <w:t>نقل آرا و نظرات مخالفان</w:t>
            </w:r>
            <w:r>
              <w:rPr>
                <w:rStyle w:val="IndexLink"/>
                <w:rtl w:val="true"/>
              </w:rPr>
              <w:t>:</w:t>
              <w:tab/>
            </w:r>
            <w:r>
              <w:rPr>
                <w:rStyle w:val="IndexLink"/>
              </w:rPr>
              <w:t>209</w:t>
            </w:r>
          </w:hyperlink>
        </w:p>
        <w:p>
          <w:pPr>
            <w:pStyle w:val="Contents6"/>
            <w:tabs>
              <w:tab w:val="clear" w:pos="7609"/>
              <w:tab w:val="right" w:pos="9026" w:leader="dot"/>
            </w:tabs>
            <w:rPr/>
          </w:pPr>
          <w:hyperlink w:anchor="__RefHeading___Toc1440538_372815092">
            <w:r>
              <w:rPr>
                <w:webHidden/>
                <w:rStyle w:val="IndexLink"/>
              </w:rPr>
              <w:t>5</w:t>
            </w:r>
            <w:r>
              <w:rPr>
                <w:rStyle w:val="IndexLink"/>
                <w:rtl w:val="true"/>
              </w:rPr>
              <w:t xml:space="preserve">. </w:t>
            </w:r>
            <w:r>
              <w:rPr>
                <w:rStyle w:val="IndexLink"/>
                <w:rtl w:val="true"/>
              </w:rPr>
              <w:t>فرمان به مناظره علمی و جدال احسن</w:t>
            </w:r>
            <w:r>
              <w:rPr>
                <w:rStyle w:val="IndexLink"/>
                <w:rtl w:val="true"/>
              </w:rPr>
              <w:t>:</w:t>
              <w:tab/>
            </w:r>
            <w:r>
              <w:rPr>
                <w:rStyle w:val="IndexLink"/>
              </w:rPr>
              <w:t>209</w:t>
            </w:r>
          </w:hyperlink>
        </w:p>
        <w:p>
          <w:pPr>
            <w:pStyle w:val="Contents6"/>
            <w:tabs>
              <w:tab w:val="clear" w:pos="7609"/>
              <w:tab w:val="right" w:pos="9026" w:leader="dot"/>
            </w:tabs>
            <w:rPr/>
          </w:pPr>
          <w:hyperlink w:anchor="__RefHeading___Toc1440540_372815092">
            <w:r>
              <w:rPr>
                <w:webHidden/>
                <w:rStyle w:val="IndexLink"/>
              </w:rPr>
              <w:t>6</w:t>
            </w:r>
            <w:r>
              <w:rPr>
                <w:rStyle w:val="IndexLink"/>
                <w:rtl w:val="true"/>
              </w:rPr>
              <w:t xml:space="preserve">. </w:t>
            </w:r>
            <w:r>
              <w:rPr>
                <w:rStyle w:val="IndexLink"/>
                <w:rtl w:val="true"/>
              </w:rPr>
              <w:t>دستور به برهان طلبی</w:t>
            </w:r>
            <w:r>
              <w:rPr>
                <w:rStyle w:val="IndexLink"/>
                <w:rtl w:val="true"/>
              </w:rPr>
              <w:t>:</w:t>
              <w:tab/>
            </w:r>
            <w:r>
              <w:rPr>
                <w:rStyle w:val="IndexLink"/>
              </w:rPr>
              <w:t>210</w:t>
            </w:r>
          </w:hyperlink>
        </w:p>
        <w:p>
          <w:pPr>
            <w:pStyle w:val="Contents6"/>
            <w:tabs>
              <w:tab w:val="clear" w:pos="7609"/>
              <w:tab w:val="right" w:pos="9026" w:leader="dot"/>
            </w:tabs>
            <w:rPr/>
          </w:pPr>
          <w:hyperlink w:anchor="__RefHeading___Toc1440542_372815092">
            <w:r>
              <w:rPr>
                <w:webHidden/>
                <w:rStyle w:val="IndexLink"/>
              </w:rPr>
              <w:t>7</w:t>
            </w:r>
            <w:r>
              <w:rPr>
                <w:rStyle w:val="IndexLink"/>
                <w:rtl w:val="true"/>
              </w:rPr>
              <w:t xml:space="preserve">. </w:t>
            </w:r>
            <w:r>
              <w:rPr>
                <w:rStyle w:val="IndexLink"/>
                <w:rtl w:val="true"/>
              </w:rPr>
              <w:t>تشویق به گزینش بهترین</w:t>
            </w:r>
            <w:r>
              <w:rPr>
                <w:rStyle w:val="IndexLink"/>
                <w:rtl w:val="true"/>
              </w:rPr>
              <w:tab/>
            </w:r>
            <w:r>
              <w:rPr>
                <w:rStyle w:val="IndexLink"/>
              </w:rPr>
              <w:t>210</w:t>
            </w:r>
          </w:hyperlink>
        </w:p>
        <w:p>
          <w:pPr>
            <w:pStyle w:val="Contents6"/>
            <w:tabs>
              <w:tab w:val="clear" w:pos="7609"/>
              <w:tab w:val="right" w:pos="9026" w:leader="dot"/>
            </w:tabs>
            <w:rPr/>
          </w:pPr>
          <w:hyperlink w:anchor="__RefHeading___Toc1440544_372815092">
            <w:r>
              <w:rPr>
                <w:webHidden/>
                <w:rStyle w:val="IndexLink"/>
              </w:rPr>
              <w:t>8</w:t>
            </w:r>
            <w:r>
              <w:rPr>
                <w:rStyle w:val="IndexLink"/>
                <w:rtl w:val="true"/>
              </w:rPr>
              <w:t xml:space="preserve">. </w:t>
            </w:r>
            <w:r>
              <w:rPr>
                <w:rStyle w:val="IndexLink"/>
                <w:rtl w:val="true"/>
              </w:rPr>
              <w:t>آزادی تفکر و اندیشه</w:t>
            </w:r>
            <w:r>
              <w:rPr>
                <w:rStyle w:val="IndexLink"/>
                <w:rtl w:val="true"/>
              </w:rPr>
              <w:t>:</w:t>
              <w:tab/>
            </w:r>
            <w:r>
              <w:rPr>
                <w:rStyle w:val="IndexLink"/>
              </w:rPr>
              <w:t>210</w:t>
            </w:r>
          </w:hyperlink>
        </w:p>
        <w:p>
          <w:pPr>
            <w:pStyle w:val="Contents5"/>
            <w:tabs>
              <w:tab w:val="clear" w:pos="7892"/>
              <w:tab w:val="right" w:pos="9026" w:leader="dot"/>
            </w:tabs>
            <w:rPr/>
          </w:pPr>
          <w:hyperlink w:anchor="__RefHeading___Toc1440546_372815092">
            <w:r>
              <w:rPr>
                <w:webHidden/>
                <w:rStyle w:val="IndexLink"/>
                <w:rtl w:val="true"/>
              </w:rPr>
              <w:t>نمونه هایی از آیات و روایات</w:t>
            </w:r>
            <w:r>
              <w:rPr>
                <w:rStyle w:val="IndexLink"/>
                <w:rtl w:val="true"/>
              </w:rPr>
              <w:t>:</w:t>
              <w:tab/>
            </w:r>
            <w:r>
              <w:rPr>
                <w:rStyle w:val="IndexLink"/>
              </w:rPr>
              <w:t>211</w:t>
            </w:r>
          </w:hyperlink>
        </w:p>
        <w:p>
          <w:pPr>
            <w:pStyle w:val="Contents5"/>
            <w:tabs>
              <w:tab w:val="clear" w:pos="7892"/>
              <w:tab w:val="right" w:pos="9026" w:leader="dot"/>
            </w:tabs>
            <w:rPr/>
          </w:pPr>
          <w:hyperlink w:anchor="__RefHeading___Toc1440548_372815092">
            <w:r>
              <w:rPr>
                <w:webHidden/>
                <w:rStyle w:val="IndexLink"/>
                <w:rtl w:val="true"/>
              </w:rPr>
              <w:t>آزادی بیان در آرای اندیشمندان اسلامی</w:t>
            </w:r>
            <w:r>
              <w:rPr>
                <w:rStyle w:val="IndexLink"/>
                <w:rtl w:val="true"/>
              </w:rPr>
              <w:tab/>
            </w:r>
            <w:r>
              <w:rPr>
                <w:rStyle w:val="IndexLink"/>
              </w:rPr>
              <w:t>212</w:t>
            </w:r>
          </w:hyperlink>
        </w:p>
        <w:p>
          <w:pPr>
            <w:pStyle w:val="Contents5"/>
            <w:tabs>
              <w:tab w:val="clear" w:pos="7892"/>
              <w:tab w:val="right" w:pos="9026" w:leader="dot"/>
            </w:tabs>
            <w:rPr/>
          </w:pPr>
          <w:hyperlink w:anchor="__RefHeading___Toc1440550_372815092">
            <w:r>
              <w:rPr>
                <w:webHidden/>
                <w:rStyle w:val="IndexLink"/>
                <w:rtl w:val="true"/>
              </w:rPr>
              <w:t>آزادی بیان در قانون اساسی ج</w:t>
            </w:r>
            <w:r>
              <w:rPr>
                <w:rStyle w:val="IndexLink"/>
                <w:rtl w:val="true"/>
              </w:rPr>
              <w:t>.</w:t>
            </w:r>
            <w:r>
              <w:rPr>
                <w:rStyle w:val="IndexLink"/>
                <w:rtl w:val="true"/>
              </w:rPr>
              <w:t>ا</w:t>
            </w:r>
            <w:r>
              <w:rPr>
                <w:rStyle w:val="IndexLink"/>
                <w:rtl w:val="true"/>
              </w:rPr>
              <w:t>.</w:t>
            </w:r>
            <w:r>
              <w:rPr>
                <w:rStyle w:val="IndexLink"/>
                <w:rtl w:val="true"/>
              </w:rPr>
              <w:t>ا و اعلامیه اسلامی حقوق بشر</w:t>
            </w:r>
            <w:r>
              <w:rPr>
                <w:rStyle w:val="IndexLink"/>
                <w:rtl w:val="true"/>
              </w:rPr>
              <w:tab/>
            </w:r>
            <w:r>
              <w:rPr>
                <w:rStyle w:val="IndexLink"/>
              </w:rPr>
              <w:t>214</w:t>
            </w:r>
          </w:hyperlink>
        </w:p>
        <w:p>
          <w:pPr>
            <w:pStyle w:val="Contents4"/>
            <w:tabs>
              <w:tab w:val="clear" w:pos="8176"/>
              <w:tab w:val="right" w:pos="9026" w:leader="dot"/>
            </w:tabs>
            <w:rPr/>
          </w:pPr>
          <w:hyperlink w:anchor="__RefHeading___Toc1440552_372815092">
            <w:r>
              <w:rPr>
                <w:webHidden/>
                <w:rStyle w:val="IndexLink"/>
                <w:rtl w:val="true"/>
              </w:rPr>
              <w:t>هم سنجی دو دیدگاه</w:t>
            </w:r>
            <w:r>
              <w:rPr>
                <w:rStyle w:val="IndexLink"/>
                <w:rtl w:val="true"/>
              </w:rPr>
              <w:tab/>
            </w:r>
            <w:r>
              <w:rPr>
                <w:rStyle w:val="IndexLink"/>
              </w:rPr>
              <w:t>216</w:t>
            </w:r>
          </w:hyperlink>
        </w:p>
        <w:p>
          <w:pPr>
            <w:pStyle w:val="Contents4"/>
            <w:tabs>
              <w:tab w:val="clear" w:pos="8176"/>
              <w:tab w:val="right" w:pos="9026" w:leader="dot"/>
            </w:tabs>
            <w:rPr/>
          </w:pPr>
          <w:hyperlink w:anchor="__RefHeading___Toc1440554_372815092">
            <w:r>
              <w:rPr>
                <w:webHidden/>
                <w:rStyle w:val="IndexLink"/>
                <w:rtl w:val="true"/>
              </w:rPr>
              <w:t>کتابنامه</w:t>
            </w:r>
            <w:r>
              <w:rPr>
                <w:rStyle w:val="IndexLink"/>
                <w:rtl w:val="true"/>
              </w:rPr>
              <w:tab/>
            </w:r>
            <w:r>
              <w:rPr>
                <w:rStyle w:val="IndexLink"/>
              </w:rPr>
              <w:t>220</w:t>
            </w:r>
          </w:hyperlink>
        </w:p>
        <w:p>
          <w:pPr>
            <w:pStyle w:val="Contents3"/>
            <w:tabs>
              <w:tab w:val="clear" w:pos="8459"/>
              <w:tab w:val="right" w:pos="9026" w:leader="dot"/>
            </w:tabs>
            <w:rPr/>
          </w:pPr>
          <w:hyperlink w:anchor="__RefHeading___Toc1440556_372815092">
            <w:r>
              <w:rPr>
                <w:webHidden/>
                <w:rStyle w:val="IndexLink"/>
                <w:rtl w:val="true"/>
              </w:rPr>
              <w:t>حقوق اقلیتها در اسلام و اعلامیه های حقوق بشر</w:t>
            </w:r>
            <w:r>
              <w:rPr>
                <w:rStyle w:val="IndexLink"/>
                <w:rtl w:val="true"/>
              </w:rPr>
              <w:tab/>
            </w:r>
            <w:r>
              <w:rPr>
                <w:rStyle w:val="IndexLink"/>
              </w:rPr>
              <w:t>221</w:t>
            </w:r>
          </w:hyperlink>
        </w:p>
        <w:p>
          <w:pPr>
            <w:pStyle w:val="Contents4"/>
            <w:tabs>
              <w:tab w:val="clear" w:pos="8176"/>
              <w:tab w:val="right" w:pos="9026" w:leader="dot"/>
            </w:tabs>
            <w:rPr/>
          </w:pPr>
          <w:hyperlink w:anchor="__RefHeading___Toc1440558_372815092">
            <w:r>
              <w:rPr>
                <w:webHidden/>
                <w:rStyle w:val="IndexLink"/>
                <w:rtl w:val="true"/>
              </w:rPr>
              <w:t>پیشگفتار</w:t>
            </w:r>
            <w:r>
              <w:rPr>
                <w:rStyle w:val="IndexLink"/>
                <w:rtl w:val="true"/>
              </w:rPr>
              <w:tab/>
            </w:r>
            <w:r>
              <w:rPr>
                <w:rStyle w:val="IndexLink"/>
              </w:rPr>
              <w:t>221</w:t>
            </w:r>
          </w:hyperlink>
        </w:p>
        <w:p>
          <w:pPr>
            <w:pStyle w:val="Contents4"/>
            <w:tabs>
              <w:tab w:val="clear" w:pos="8176"/>
              <w:tab w:val="right" w:pos="9026" w:leader="dot"/>
            </w:tabs>
            <w:rPr/>
          </w:pPr>
          <w:hyperlink w:anchor="__RefHeading___Toc1440560_372815092">
            <w:r>
              <w:rPr>
                <w:webHidden/>
                <w:rStyle w:val="IndexLink"/>
                <w:rtl w:val="true"/>
              </w:rPr>
              <w:t>کلیات</w:t>
            </w:r>
            <w:r>
              <w:rPr>
                <w:rStyle w:val="IndexLink"/>
                <w:rtl w:val="true"/>
              </w:rPr>
              <w:tab/>
            </w:r>
            <w:r>
              <w:rPr>
                <w:rStyle w:val="IndexLink"/>
              </w:rPr>
              <w:t>222</w:t>
            </w:r>
          </w:hyperlink>
        </w:p>
        <w:p>
          <w:pPr>
            <w:pStyle w:val="Contents5"/>
            <w:tabs>
              <w:tab w:val="clear" w:pos="7892"/>
              <w:tab w:val="right" w:pos="9026" w:leader="dot"/>
            </w:tabs>
            <w:rPr/>
          </w:pPr>
          <w:hyperlink w:anchor="__RefHeading___Toc1440562_372815092">
            <w:r>
              <w:rPr>
                <w:webHidden/>
                <w:rStyle w:val="IndexLink"/>
                <w:rtl w:val="true"/>
              </w:rPr>
              <w:t>تعریف لغوی و اصطلاحی اقلیت</w:t>
            </w:r>
            <w:r>
              <w:rPr>
                <w:rStyle w:val="IndexLink"/>
                <w:rtl w:val="true"/>
              </w:rPr>
              <w:tab/>
            </w:r>
            <w:r>
              <w:rPr>
                <w:rStyle w:val="IndexLink"/>
              </w:rPr>
              <w:t>222</w:t>
            </w:r>
          </w:hyperlink>
        </w:p>
        <w:p>
          <w:pPr>
            <w:pStyle w:val="Contents5"/>
            <w:tabs>
              <w:tab w:val="clear" w:pos="7892"/>
              <w:tab w:val="right" w:pos="9026" w:leader="dot"/>
            </w:tabs>
            <w:rPr/>
          </w:pPr>
          <w:hyperlink w:anchor="__RefHeading___Toc1440564_372815092">
            <w:r>
              <w:rPr>
                <w:webHidden/>
                <w:rStyle w:val="IndexLink"/>
                <w:rtl w:val="true"/>
              </w:rPr>
              <w:t>اقلیت در حقوق بین الملل</w:t>
            </w:r>
            <w:r>
              <w:rPr>
                <w:rStyle w:val="IndexLink"/>
                <w:rtl w:val="true"/>
              </w:rPr>
              <w:tab/>
            </w:r>
            <w:r>
              <w:rPr>
                <w:rStyle w:val="IndexLink"/>
              </w:rPr>
              <w:t>223</w:t>
            </w:r>
          </w:hyperlink>
        </w:p>
        <w:p>
          <w:pPr>
            <w:pStyle w:val="Contents5"/>
            <w:tabs>
              <w:tab w:val="clear" w:pos="7892"/>
              <w:tab w:val="right" w:pos="9026" w:leader="dot"/>
            </w:tabs>
            <w:rPr/>
          </w:pPr>
          <w:hyperlink w:anchor="__RefHeading___Toc1440566_372815092">
            <w:r>
              <w:rPr>
                <w:webHidden/>
                <w:rStyle w:val="IndexLink"/>
                <w:rtl w:val="true"/>
              </w:rPr>
              <w:t>معیارهای تشخیص اقلیت</w:t>
            </w:r>
            <w:r>
              <w:rPr>
                <w:rStyle w:val="IndexLink"/>
                <w:rtl w:val="true"/>
              </w:rPr>
              <w:tab/>
            </w:r>
            <w:r>
              <w:rPr>
                <w:rStyle w:val="IndexLink"/>
              </w:rPr>
              <w:t>223</w:t>
            </w:r>
          </w:hyperlink>
        </w:p>
        <w:p>
          <w:pPr>
            <w:pStyle w:val="Contents5"/>
            <w:tabs>
              <w:tab w:val="clear" w:pos="7892"/>
              <w:tab w:val="right" w:pos="9026" w:leader="dot"/>
            </w:tabs>
            <w:rPr/>
          </w:pPr>
          <w:hyperlink w:anchor="__RefHeading___Toc1440568_372815092">
            <w:r>
              <w:rPr>
                <w:webHidden/>
                <w:rStyle w:val="IndexLink"/>
                <w:rtl w:val="true"/>
              </w:rPr>
              <w:t>سابقه تاریخی وضعیت اقلیتها</w:t>
            </w:r>
            <w:r>
              <w:rPr>
                <w:rStyle w:val="IndexLink"/>
                <w:rtl w:val="true"/>
              </w:rPr>
              <w:tab/>
            </w:r>
            <w:r>
              <w:rPr>
                <w:rStyle w:val="IndexLink"/>
              </w:rPr>
              <w:t>224</w:t>
            </w:r>
          </w:hyperlink>
        </w:p>
        <w:p>
          <w:pPr>
            <w:pStyle w:val="Contents6"/>
            <w:tabs>
              <w:tab w:val="clear" w:pos="7609"/>
              <w:tab w:val="right" w:pos="9026" w:leader="dot"/>
            </w:tabs>
            <w:rPr/>
          </w:pPr>
          <w:hyperlink w:anchor="__RefHeading___Toc1440570_372815092">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1440572_372815092">
            <w:r>
              <w:rPr>
                <w:webHidden/>
                <w:rStyle w:val="IndexLink"/>
                <w:rtl w:val="true"/>
              </w:rPr>
              <w:t>الف</w:t>
            </w:r>
            <w:r>
              <w:rPr>
                <w:rStyle w:val="IndexLink"/>
                <w:rtl w:val="true"/>
              </w:rPr>
              <w:t xml:space="preserve">) </w:t>
            </w:r>
            <w:r>
              <w:rPr>
                <w:rStyle w:val="IndexLink"/>
                <w:rtl w:val="true"/>
              </w:rPr>
              <w:t>وضعیت اقلیتها در قرون اولیه میلادی</w:t>
            </w:r>
            <w:r>
              <w:rPr>
                <w:rStyle w:val="IndexLink"/>
                <w:rtl w:val="true"/>
              </w:rPr>
              <w:t>:</w:t>
              <w:tab/>
            </w:r>
            <w:r>
              <w:rPr>
                <w:rStyle w:val="IndexLink"/>
              </w:rPr>
              <w:t>225</w:t>
            </w:r>
          </w:hyperlink>
        </w:p>
        <w:p>
          <w:pPr>
            <w:pStyle w:val="Contents6"/>
            <w:tabs>
              <w:tab w:val="clear" w:pos="7609"/>
              <w:tab w:val="right" w:pos="9026" w:leader="dot"/>
            </w:tabs>
            <w:rPr/>
          </w:pPr>
          <w:hyperlink w:anchor="__RefHeading___Toc1440574_372815092">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1440576_372815092">
            <w:r>
              <w:rPr>
                <w:webHidden/>
                <w:rStyle w:val="IndexLink"/>
              </w:rPr>
              <w:t>1</w:t>
            </w:r>
            <w:r>
              <w:rPr>
                <w:rStyle w:val="IndexLink"/>
                <w:rtl w:val="true"/>
              </w:rPr>
              <w:t xml:space="preserve">. </w:t>
            </w:r>
            <w:r>
              <w:rPr>
                <w:rStyle w:val="IndexLink"/>
                <w:rtl w:val="true"/>
              </w:rPr>
              <w:t>اقلیتها در جامعه ساسانی</w:t>
            </w:r>
            <w:r>
              <w:rPr>
                <w:rStyle w:val="IndexLink"/>
                <w:rtl w:val="true"/>
              </w:rPr>
              <w:tab/>
            </w:r>
            <w:r>
              <w:rPr>
                <w:rStyle w:val="IndexLink"/>
              </w:rPr>
              <w:t>225</w:t>
            </w:r>
          </w:hyperlink>
        </w:p>
        <w:p>
          <w:pPr>
            <w:pStyle w:val="Contents6"/>
            <w:tabs>
              <w:tab w:val="clear" w:pos="7609"/>
              <w:tab w:val="right" w:pos="9026" w:leader="dot"/>
            </w:tabs>
            <w:rPr/>
          </w:pPr>
          <w:hyperlink w:anchor="__RefHeading___Toc1440578_372815092">
            <w:r>
              <w:rPr>
                <w:webHidden/>
                <w:rStyle w:val="IndexLink"/>
              </w:rPr>
              <w:t>2</w:t>
            </w:r>
            <w:r>
              <w:rPr>
                <w:rStyle w:val="IndexLink"/>
                <w:rtl w:val="true"/>
              </w:rPr>
              <w:t xml:space="preserve">. </w:t>
            </w:r>
            <w:r>
              <w:rPr>
                <w:rStyle w:val="IndexLink"/>
                <w:rtl w:val="true"/>
              </w:rPr>
              <w:t>اقلیتها در امپراتوری روم</w:t>
            </w:r>
            <w:r>
              <w:rPr>
                <w:rStyle w:val="IndexLink"/>
                <w:rtl w:val="true"/>
              </w:rPr>
              <w:tab/>
            </w:r>
            <w:r>
              <w:rPr>
                <w:rStyle w:val="IndexLink"/>
              </w:rPr>
              <w:t>226</w:t>
            </w:r>
          </w:hyperlink>
        </w:p>
        <w:p>
          <w:pPr>
            <w:pStyle w:val="Contents6"/>
            <w:tabs>
              <w:tab w:val="clear" w:pos="7609"/>
              <w:tab w:val="right" w:pos="9026" w:leader="dot"/>
            </w:tabs>
            <w:rPr/>
          </w:pPr>
          <w:hyperlink w:anchor="__RefHeading___Toc1440580_372815092">
            <w:r>
              <w:rPr>
                <w:webHidden/>
                <w:rStyle w:val="IndexLink"/>
                <w:rtl w:val="true"/>
              </w:rPr>
              <w:t>ب</w:t>
            </w:r>
            <w:r>
              <w:rPr>
                <w:rStyle w:val="IndexLink"/>
                <w:rtl w:val="true"/>
              </w:rPr>
              <w:t xml:space="preserve">) </w:t>
            </w:r>
            <w:r>
              <w:rPr>
                <w:rStyle w:val="IndexLink"/>
                <w:rtl w:val="true"/>
              </w:rPr>
              <w:t>وضعیت اقلیتها در قرون وسطی</w:t>
            </w:r>
            <w:r>
              <w:rPr>
                <w:rStyle w:val="IndexLink"/>
                <w:rtl w:val="true"/>
              </w:rPr>
              <w:tab/>
            </w:r>
            <w:r>
              <w:rPr>
                <w:rStyle w:val="IndexLink"/>
              </w:rPr>
              <w:t>226</w:t>
            </w:r>
          </w:hyperlink>
        </w:p>
        <w:p>
          <w:pPr>
            <w:pStyle w:val="Contents6"/>
            <w:tabs>
              <w:tab w:val="clear" w:pos="7609"/>
              <w:tab w:val="right" w:pos="9026" w:leader="dot"/>
            </w:tabs>
            <w:rPr/>
          </w:pPr>
          <w:hyperlink w:anchor="__RefHeading___Toc1440582_372815092">
            <w:r>
              <w:rPr>
                <w:webHidden/>
                <w:rStyle w:val="IndexLink"/>
                <w:rtl w:val="true"/>
              </w:rPr>
              <w:t>ج</w:t>
            </w:r>
            <w:r>
              <w:rPr>
                <w:rStyle w:val="IndexLink"/>
                <w:rtl w:val="true"/>
              </w:rPr>
              <w:t xml:space="preserve">) </w:t>
            </w:r>
            <w:r>
              <w:rPr>
                <w:rStyle w:val="IndexLink"/>
                <w:rtl w:val="true"/>
              </w:rPr>
              <w:t>وضعیت اقلیتها در قرون اخیر</w:t>
            </w:r>
            <w:r>
              <w:rPr>
                <w:rStyle w:val="IndexLink"/>
                <w:rtl w:val="true"/>
              </w:rPr>
              <w:t>:</w:t>
              <w:tab/>
            </w:r>
            <w:r>
              <w:rPr>
                <w:rStyle w:val="IndexLink"/>
              </w:rPr>
              <w:t>228</w:t>
            </w:r>
          </w:hyperlink>
        </w:p>
        <w:p>
          <w:pPr>
            <w:pStyle w:val="Contents6"/>
            <w:tabs>
              <w:tab w:val="clear" w:pos="7609"/>
              <w:tab w:val="right" w:pos="9026" w:leader="dot"/>
            </w:tabs>
            <w:rPr/>
          </w:pPr>
          <w:hyperlink w:anchor="__RefHeading___Toc1440584_372815092">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1440586_372815092">
            <w:r>
              <w:rPr>
                <w:webHidden/>
                <w:rStyle w:val="IndexLink"/>
                <w:rtl w:val="true"/>
              </w:rPr>
              <w:t>آزادی مذهب</w:t>
            </w:r>
            <w:r>
              <w:rPr>
                <w:rStyle w:val="IndexLink"/>
                <w:rtl w:val="true"/>
              </w:rPr>
              <w:t>:</w:t>
              <w:tab/>
            </w:r>
            <w:r>
              <w:rPr>
                <w:rStyle w:val="IndexLink"/>
              </w:rPr>
              <w:t>229</w:t>
            </w:r>
          </w:hyperlink>
        </w:p>
        <w:p>
          <w:pPr>
            <w:pStyle w:val="Contents6"/>
            <w:tabs>
              <w:tab w:val="clear" w:pos="7609"/>
              <w:tab w:val="right" w:pos="9026" w:leader="dot"/>
            </w:tabs>
            <w:rPr/>
          </w:pPr>
          <w:hyperlink w:anchor="__RefHeading___Toc1440588_372815092">
            <w:r>
              <w:rPr>
                <w:webHidden/>
                <w:rStyle w:val="IndexLink"/>
                <w:rtl w:val="true"/>
              </w:rPr>
              <w:t>رابطه دولتهای اروپایی و مذهب در دوره معاصر</w:t>
            </w:r>
            <w:r>
              <w:rPr>
                <w:rStyle w:val="IndexLink"/>
                <w:rtl w:val="true"/>
              </w:rPr>
              <w:t>:</w:t>
              <w:tab/>
            </w:r>
            <w:r>
              <w:rPr>
                <w:rStyle w:val="IndexLink"/>
              </w:rPr>
              <w:t>230</w:t>
            </w:r>
          </w:hyperlink>
        </w:p>
        <w:p>
          <w:pPr>
            <w:pStyle w:val="Contents5"/>
            <w:tabs>
              <w:tab w:val="clear" w:pos="7892"/>
              <w:tab w:val="right" w:pos="9026" w:leader="dot"/>
            </w:tabs>
            <w:rPr/>
          </w:pPr>
          <w:hyperlink w:anchor="__RefHeading___Toc1440590_372815092">
            <w:r>
              <w:rPr>
                <w:webHidden/>
                <w:rStyle w:val="IndexLink"/>
                <w:rtl w:val="true"/>
              </w:rPr>
              <w:t>حقوق اقلیتها در اسناد بین المللی</w:t>
            </w:r>
            <w:r>
              <w:rPr>
                <w:rStyle w:val="IndexLink"/>
                <w:rtl w:val="true"/>
              </w:rPr>
              <w:tab/>
            </w:r>
            <w:r>
              <w:rPr>
                <w:rStyle w:val="IndexLink"/>
              </w:rPr>
              <w:t>231</w:t>
            </w:r>
          </w:hyperlink>
        </w:p>
        <w:p>
          <w:pPr>
            <w:pStyle w:val="Contents6"/>
            <w:tabs>
              <w:tab w:val="clear" w:pos="7609"/>
              <w:tab w:val="right" w:pos="9026" w:leader="dot"/>
            </w:tabs>
            <w:rPr/>
          </w:pPr>
          <w:hyperlink w:anchor="__RefHeading___Toc1440592_372815092">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1440594_372815092">
            <w:r>
              <w:rPr>
                <w:webHidden/>
                <w:rStyle w:val="IndexLink"/>
                <w:rtl w:val="true"/>
              </w:rPr>
              <w:t xml:space="preserve">از اولین تلاشها تا اعلامیه دسامبر </w:t>
            </w:r>
            <w:r>
              <w:rPr>
                <w:rStyle w:val="IndexLink"/>
              </w:rPr>
              <w:t>1992</w:t>
            </w:r>
            <w:r>
              <w:rPr>
                <w:rStyle w:val="IndexLink"/>
                <w:rtl w:val="true"/>
              </w:rPr>
              <w:tab/>
            </w:r>
            <w:r>
              <w:rPr>
                <w:rStyle w:val="IndexLink"/>
              </w:rPr>
              <w:t>231</w:t>
            </w:r>
          </w:hyperlink>
        </w:p>
        <w:p>
          <w:pPr>
            <w:pStyle w:val="Contents6"/>
            <w:tabs>
              <w:tab w:val="clear" w:pos="7609"/>
              <w:tab w:val="right" w:pos="9026" w:leader="dot"/>
            </w:tabs>
            <w:rPr/>
          </w:pPr>
          <w:hyperlink w:anchor="__RefHeading___Toc1440596_372815092">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1440598_372815092">
            <w:r>
              <w:rPr>
                <w:webHidden/>
                <w:rStyle w:val="IndexLink"/>
                <w:rtl w:val="true"/>
              </w:rPr>
              <w:t>جامعه ملل و اقليتها</w:t>
            </w:r>
            <w:r>
              <w:rPr>
                <w:rStyle w:val="IndexLink"/>
                <w:rtl w:val="true"/>
              </w:rPr>
              <w:tab/>
            </w:r>
            <w:r>
              <w:rPr>
                <w:rStyle w:val="IndexLink"/>
              </w:rPr>
              <w:t>232</w:t>
            </w:r>
          </w:hyperlink>
        </w:p>
        <w:p>
          <w:pPr>
            <w:pStyle w:val="Contents6"/>
            <w:tabs>
              <w:tab w:val="clear" w:pos="7609"/>
              <w:tab w:val="right" w:pos="9026" w:leader="dot"/>
            </w:tabs>
            <w:rPr/>
          </w:pPr>
          <w:hyperlink w:anchor="__RefHeading___Toc1440600_372815092">
            <w:r>
              <w:rPr>
                <w:webHidden/>
                <w:rStyle w:val="IndexLink"/>
                <w:rtl w:val="true"/>
              </w:rPr>
              <w:t>سازمان ملل و اقليتها</w:t>
            </w:r>
            <w:r>
              <w:rPr>
                <w:rStyle w:val="IndexLink"/>
                <w:rtl w:val="true"/>
              </w:rPr>
              <w:tab/>
            </w:r>
            <w:r>
              <w:rPr>
                <w:rStyle w:val="IndexLink"/>
              </w:rPr>
              <w:t>233</w:t>
            </w:r>
          </w:hyperlink>
        </w:p>
        <w:p>
          <w:pPr>
            <w:pStyle w:val="Contents6"/>
            <w:tabs>
              <w:tab w:val="clear" w:pos="7609"/>
              <w:tab w:val="right" w:pos="9026" w:leader="dot"/>
            </w:tabs>
            <w:rPr/>
          </w:pPr>
          <w:hyperlink w:anchor="__RefHeading___Toc1440602_372815092">
            <w:r>
              <w:rPr>
                <w:webHidden/>
                <w:rStyle w:val="IndexLink"/>
                <w:rtl w:val="true"/>
              </w:rPr>
              <w:t>میثاق رفع تبعیضات نژادی</w:t>
            </w:r>
            <w:r>
              <w:rPr>
                <w:rStyle w:val="IndexLink"/>
                <w:rtl w:val="true"/>
              </w:rPr>
              <w:tab/>
            </w:r>
            <w:r>
              <w:rPr>
                <w:rStyle w:val="IndexLink"/>
              </w:rPr>
              <w:t>234</w:t>
            </w:r>
          </w:hyperlink>
        </w:p>
        <w:p>
          <w:pPr>
            <w:pStyle w:val="Contents6"/>
            <w:tabs>
              <w:tab w:val="clear" w:pos="7609"/>
              <w:tab w:val="right" w:pos="9026" w:leader="dot"/>
            </w:tabs>
            <w:rPr/>
          </w:pPr>
          <w:hyperlink w:anchor="__RefHeading___Toc1440604_372815092">
            <w:r>
              <w:rPr>
                <w:webHidden/>
                <w:rStyle w:val="IndexLink"/>
                <w:rtl w:val="true"/>
              </w:rPr>
              <w:t>حقوق اقلیتها در اعلامیه های حقوق بشر</w:t>
            </w:r>
            <w:r>
              <w:rPr>
                <w:rStyle w:val="IndexLink"/>
                <w:rtl w:val="true"/>
              </w:rPr>
              <w:tab/>
            </w:r>
            <w:r>
              <w:rPr>
                <w:rStyle w:val="IndexLink"/>
              </w:rPr>
              <w:t>236</w:t>
            </w:r>
          </w:hyperlink>
        </w:p>
        <w:p>
          <w:pPr>
            <w:pStyle w:val="Contents6"/>
            <w:tabs>
              <w:tab w:val="clear" w:pos="7609"/>
              <w:tab w:val="right" w:pos="9026" w:leader="dot"/>
            </w:tabs>
            <w:rPr/>
          </w:pPr>
          <w:hyperlink w:anchor="__RefHeading___Toc1440606_372815092">
            <w:r>
              <w:rPr>
                <w:webHidden/>
                <w:rStyle w:val="IndexLink"/>
                <w:rtl w:val="true"/>
              </w:rPr>
              <w:t>اعلامیه جهانی حقوق بشر</w:t>
            </w:r>
            <w:r>
              <w:rPr>
                <w:rStyle w:val="IndexLink"/>
                <w:rtl w:val="true"/>
              </w:rPr>
              <w:tab/>
            </w:r>
            <w:r>
              <w:rPr>
                <w:rStyle w:val="IndexLink"/>
              </w:rPr>
              <w:t>237</w:t>
            </w:r>
          </w:hyperlink>
        </w:p>
        <w:p>
          <w:pPr>
            <w:pStyle w:val="Contents6"/>
            <w:tabs>
              <w:tab w:val="clear" w:pos="7609"/>
              <w:tab w:val="right" w:pos="9026" w:leader="dot"/>
            </w:tabs>
            <w:rPr/>
          </w:pPr>
          <w:hyperlink w:anchor="__RefHeading___Toc1440608_372815092">
            <w:r>
              <w:rPr>
                <w:webHidden/>
                <w:rStyle w:val="IndexLink"/>
                <w:rtl w:val="true"/>
              </w:rPr>
              <w:t>میثاق بین المللی حقوق مدنی و سیاسی</w:t>
            </w:r>
            <w:r>
              <w:rPr>
                <w:rStyle w:val="IndexLink"/>
                <w:rtl w:val="true"/>
              </w:rPr>
              <w:tab/>
            </w:r>
            <w:r>
              <w:rPr>
                <w:rStyle w:val="IndexLink"/>
              </w:rPr>
              <w:t>238</w:t>
            </w:r>
          </w:hyperlink>
        </w:p>
        <w:p>
          <w:pPr>
            <w:pStyle w:val="Contents6"/>
            <w:tabs>
              <w:tab w:val="clear" w:pos="7609"/>
              <w:tab w:val="right" w:pos="9026" w:leader="dot"/>
            </w:tabs>
            <w:rPr/>
          </w:pPr>
          <w:hyperlink w:anchor="__RefHeading___Toc1440610_372815092">
            <w:r>
              <w:rPr>
                <w:webHidden/>
                <w:rStyle w:val="IndexLink"/>
                <w:rtl w:val="true"/>
              </w:rPr>
              <w:t xml:space="preserve">میثاق بین المللی حقوق اقتصادی </w:t>
            </w:r>
            <w:r>
              <w:rPr>
                <w:rStyle w:val="IndexLink"/>
                <w:rtl w:val="true"/>
              </w:rPr>
              <w:t xml:space="preserve">- </w:t>
            </w:r>
            <w:r>
              <w:rPr>
                <w:rStyle w:val="IndexLink"/>
                <w:rtl w:val="true"/>
              </w:rPr>
              <w:t>اجتماعی و فرهنگی</w:t>
            </w:r>
            <w:r>
              <w:rPr>
                <w:rStyle w:val="IndexLink"/>
                <w:rtl w:val="true"/>
              </w:rPr>
              <w:tab/>
            </w:r>
            <w:r>
              <w:rPr>
                <w:rStyle w:val="IndexLink"/>
              </w:rPr>
              <w:t>239</w:t>
            </w:r>
          </w:hyperlink>
        </w:p>
        <w:p>
          <w:pPr>
            <w:pStyle w:val="Contents6"/>
            <w:tabs>
              <w:tab w:val="clear" w:pos="7609"/>
              <w:tab w:val="right" w:pos="9026" w:leader="dot"/>
            </w:tabs>
            <w:rPr/>
          </w:pPr>
          <w:hyperlink w:anchor="__RefHeading___Toc1440612_372815092">
            <w:r>
              <w:rPr>
                <w:webHidden/>
                <w:rStyle w:val="IndexLink"/>
                <w:rtl w:val="true"/>
              </w:rPr>
              <w:t xml:space="preserve">حقوق اقلیتها در اعلامیه دسامبر </w:t>
            </w:r>
            <w:r>
              <w:rPr>
                <w:rStyle w:val="IndexLink"/>
              </w:rPr>
              <w:t>1992</w:t>
            </w:r>
            <w:r>
              <w:rPr>
                <w:rStyle w:val="IndexLink"/>
                <w:rtl w:val="true"/>
              </w:rPr>
              <w:tab/>
            </w:r>
            <w:r>
              <w:rPr>
                <w:rStyle w:val="IndexLink"/>
              </w:rPr>
              <w:t>239</w:t>
            </w:r>
          </w:hyperlink>
        </w:p>
        <w:p>
          <w:pPr>
            <w:pStyle w:val="Contents5"/>
            <w:tabs>
              <w:tab w:val="clear" w:pos="7892"/>
              <w:tab w:val="right" w:pos="9026" w:leader="dot"/>
            </w:tabs>
            <w:rPr/>
          </w:pPr>
          <w:hyperlink w:anchor="__RefHeading___Toc1440614_372815092">
            <w:r>
              <w:rPr>
                <w:webHidden/>
                <w:rStyle w:val="IndexLink"/>
                <w:rtl w:val="true"/>
              </w:rPr>
              <w:t>اسلام و حقوق اقلیتها</w:t>
            </w:r>
            <w:r>
              <w:rPr>
                <w:rStyle w:val="IndexLink"/>
                <w:rtl w:val="true"/>
              </w:rPr>
              <w:tab/>
            </w:r>
            <w:r>
              <w:rPr>
                <w:rStyle w:val="IndexLink"/>
              </w:rPr>
              <w:t>243</w:t>
            </w:r>
          </w:hyperlink>
        </w:p>
        <w:p>
          <w:pPr>
            <w:pStyle w:val="Contents6"/>
            <w:tabs>
              <w:tab w:val="clear" w:pos="7609"/>
              <w:tab w:val="right" w:pos="9026" w:leader="dot"/>
            </w:tabs>
            <w:rPr/>
          </w:pPr>
          <w:hyperlink w:anchor="__RefHeading___Toc1440616_372815092">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1440618_372815092">
            <w:r>
              <w:rPr>
                <w:webHidden/>
                <w:rStyle w:val="IndexLink"/>
                <w:rtl w:val="true"/>
              </w:rPr>
              <w:t xml:space="preserve">اسلام و اقلیتهای نژادی </w:t>
            </w:r>
            <w:r>
              <w:rPr>
                <w:rStyle w:val="IndexLink"/>
                <w:rtl w:val="true"/>
              </w:rPr>
              <w:t xml:space="preserve">- </w:t>
            </w:r>
            <w:r>
              <w:rPr>
                <w:rStyle w:val="IndexLink"/>
                <w:rtl w:val="true"/>
              </w:rPr>
              <w:t>قومی، قبیله ای و زبانی</w:t>
            </w:r>
            <w:r>
              <w:rPr>
                <w:rStyle w:val="IndexLink"/>
                <w:rtl w:val="true"/>
              </w:rPr>
              <w:tab/>
            </w:r>
            <w:r>
              <w:rPr>
                <w:rStyle w:val="IndexLink"/>
              </w:rPr>
              <w:t>244</w:t>
            </w:r>
          </w:hyperlink>
        </w:p>
        <w:p>
          <w:pPr>
            <w:pStyle w:val="Contents6"/>
            <w:tabs>
              <w:tab w:val="clear" w:pos="7609"/>
              <w:tab w:val="right" w:pos="9026" w:leader="dot"/>
            </w:tabs>
            <w:rPr/>
          </w:pPr>
          <w:hyperlink w:anchor="__RefHeading___Toc1440620_372815092">
            <w:r>
              <w:rPr>
                <w:webHidden/>
                <w:rStyle w:val="IndexLink"/>
                <w:rtl w:val="true"/>
              </w:rPr>
              <w:t>اسلام و منع تبعیض نژادی</w:t>
            </w:r>
            <w:r>
              <w:rPr>
                <w:rStyle w:val="IndexLink"/>
                <w:rtl w:val="true"/>
              </w:rPr>
              <w:tab/>
            </w:r>
            <w:r>
              <w:rPr>
                <w:rStyle w:val="IndexLink"/>
              </w:rPr>
              <w:t>244</w:t>
            </w:r>
          </w:hyperlink>
        </w:p>
        <w:p>
          <w:pPr>
            <w:pStyle w:val="Contents6"/>
            <w:tabs>
              <w:tab w:val="clear" w:pos="7609"/>
              <w:tab w:val="right" w:pos="9026" w:leader="dot"/>
            </w:tabs>
            <w:rPr/>
          </w:pPr>
          <w:hyperlink w:anchor="__RefHeading___Toc1440622_372815092">
            <w:r>
              <w:rPr>
                <w:webHidden/>
                <w:rStyle w:val="IndexLink"/>
                <w:rtl w:val="true"/>
              </w:rPr>
              <w:t>اسلام و اقلیتهای مذهبی</w:t>
            </w:r>
            <w:r>
              <w:rPr>
                <w:rStyle w:val="IndexLink"/>
                <w:rtl w:val="true"/>
              </w:rPr>
              <w:tab/>
            </w:r>
            <w:r>
              <w:rPr>
                <w:rStyle w:val="IndexLink"/>
              </w:rPr>
              <w:t>246</w:t>
            </w:r>
          </w:hyperlink>
        </w:p>
        <w:p>
          <w:pPr>
            <w:pStyle w:val="Contents6"/>
            <w:tabs>
              <w:tab w:val="clear" w:pos="7609"/>
              <w:tab w:val="right" w:pos="9026" w:leader="dot"/>
            </w:tabs>
            <w:rPr/>
          </w:pPr>
          <w:hyperlink w:anchor="__RefHeading___Toc1440624_372815092">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1440626_372815092">
            <w:r>
              <w:rPr>
                <w:webHidden/>
                <w:rStyle w:val="IndexLink"/>
                <w:rtl w:val="true"/>
              </w:rPr>
              <w:t>اسلام و آزادی عقیده</w:t>
            </w:r>
            <w:r>
              <w:rPr>
                <w:rStyle w:val="IndexLink"/>
                <w:rtl w:val="true"/>
              </w:rPr>
              <w:tab/>
            </w:r>
            <w:r>
              <w:rPr>
                <w:rStyle w:val="IndexLink"/>
              </w:rPr>
              <w:t>246</w:t>
            </w:r>
          </w:hyperlink>
        </w:p>
        <w:p>
          <w:pPr>
            <w:pStyle w:val="Contents6"/>
            <w:tabs>
              <w:tab w:val="clear" w:pos="7609"/>
              <w:tab w:val="right" w:pos="9026" w:leader="dot"/>
            </w:tabs>
            <w:rPr/>
          </w:pPr>
          <w:hyperlink w:anchor="__RefHeading___Toc1440628_372815092">
            <w:r>
              <w:rPr>
                <w:webHidden/>
                <w:rStyle w:val="IndexLink"/>
                <w:rtl w:val="true"/>
              </w:rPr>
              <w:t>اقلیتهای مذهبی اهل کتاب</w:t>
            </w:r>
            <w:r>
              <w:rPr>
                <w:rStyle w:val="IndexLink"/>
                <w:rtl w:val="true"/>
              </w:rPr>
              <w:tab/>
            </w:r>
            <w:r>
              <w:rPr>
                <w:rStyle w:val="IndexLink"/>
              </w:rPr>
              <w:t>247</w:t>
            </w:r>
          </w:hyperlink>
        </w:p>
        <w:p>
          <w:pPr>
            <w:pStyle w:val="Contents6"/>
            <w:tabs>
              <w:tab w:val="clear" w:pos="7609"/>
              <w:tab w:val="right" w:pos="9026" w:leader="dot"/>
            </w:tabs>
            <w:rPr/>
          </w:pPr>
          <w:hyperlink w:anchor="__RefHeading___Toc1440630_372815092">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1440632_372815092">
            <w:r>
              <w:rPr>
                <w:webHidden/>
                <w:rStyle w:val="IndexLink"/>
                <w:rtl w:val="true"/>
              </w:rPr>
              <w:t>قرارداد ذمه</w:t>
            </w:r>
            <w:r>
              <w:rPr>
                <w:rStyle w:val="IndexLink"/>
                <w:rtl w:val="true"/>
              </w:rPr>
              <w:t>:</w:t>
              <w:tab/>
            </w:r>
            <w:r>
              <w:rPr>
                <w:rStyle w:val="IndexLink"/>
              </w:rPr>
              <w:t>248</w:t>
            </w:r>
          </w:hyperlink>
        </w:p>
        <w:p>
          <w:pPr>
            <w:pStyle w:val="Contents6"/>
            <w:tabs>
              <w:tab w:val="clear" w:pos="7609"/>
              <w:tab w:val="right" w:pos="9026" w:leader="dot"/>
            </w:tabs>
            <w:rPr/>
          </w:pPr>
          <w:hyperlink w:anchor="__RefHeading___Toc1440634_372815092">
            <w:r>
              <w:rPr>
                <w:webHidden/>
                <w:rStyle w:val="IndexLink"/>
                <w:rtl w:val="true"/>
              </w:rPr>
              <w:t>مفهوم جزیه و خراج</w:t>
            </w:r>
            <w:r>
              <w:rPr>
                <w:rStyle w:val="IndexLink"/>
                <w:rtl w:val="true"/>
              </w:rPr>
              <w:t>:</w:t>
              <w:tab/>
            </w:r>
            <w:r>
              <w:rPr>
                <w:rStyle w:val="IndexLink"/>
              </w:rPr>
              <w:t>248</w:t>
            </w:r>
          </w:hyperlink>
        </w:p>
        <w:p>
          <w:pPr>
            <w:pStyle w:val="Contents6"/>
            <w:tabs>
              <w:tab w:val="clear" w:pos="7609"/>
              <w:tab w:val="right" w:pos="9026" w:leader="dot"/>
            </w:tabs>
            <w:rPr/>
          </w:pPr>
          <w:hyperlink w:anchor="__RefHeading___Toc1440636_372815092">
            <w:r>
              <w:rPr>
                <w:webHidden/>
                <w:rStyle w:val="IndexLink"/>
                <w:rtl w:val="true"/>
              </w:rPr>
              <w:t>تفاوت جزیه و خراج</w:t>
            </w:r>
            <w:r>
              <w:rPr>
                <w:rStyle w:val="IndexLink"/>
                <w:rtl w:val="true"/>
              </w:rPr>
              <w:t>:</w:t>
              <w:tab/>
            </w:r>
            <w:r>
              <w:rPr>
                <w:rStyle w:val="IndexLink"/>
              </w:rPr>
              <w:t>249</w:t>
            </w:r>
          </w:hyperlink>
        </w:p>
        <w:p>
          <w:pPr>
            <w:pStyle w:val="Contents6"/>
            <w:tabs>
              <w:tab w:val="clear" w:pos="7609"/>
              <w:tab w:val="right" w:pos="9026" w:leader="dot"/>
            </w:tabs>
            <w:rPr/>
          </w:pPr>
          <w:hyperlink w:anchor="__RefHeading___Toc1440638_372815092">
            <w:r>
              <w:rPr>
                <w:webHidden/>
                <w:rStyle w:val="IndexLink"/>
                <w:rtl w:val="true"/>
              </w:rPr>
              <w:t>سابقه جزیه و خراج</w:t>
            </w:r>
            <w:r>
              <w:rPr>
                <w:rStyle w:val="IndexLink"/>
                <w:rtl w:val="true"/>
              </w:rPr>
              <w:t>:</w:t>
              <w:tab/>
            </w:r>
            <w:r>
              <w:rPr>
                <w:rStyle w:val="IndexLink"/>
              </w:rPr>
              <w:t>250</w:t>
            </w:r>
          </w:hyperlink>
        </w:p>
        <w:p>
          <w:pPr>
            <w:pStyle w:val="Contents6"/>
            <w:tabs>
              <w:tab w:val="clear" w:pos="7609"/>
              <w:tab w:val="right" w:pos="9026" w:leader="dot"/>
            </w:tabs>
            <w:rPr/>
          </w:pPr>
          <w:hyperlink w:anchor="__RefHeading___Toc1440640_372815092">
            <w:r>
              <w:rPr>
                <w:webHidden/>
                <w:rStyle w:val="IndexLink"/>
                <w:rtl w:val="true"/>
              </w:rPr>
              <w:t>مقدار جزیه و خراج</w:t>
            </w:r>
            <w:r>
              <w:rPr>
                <w:rStyle w:val="IndexLink"/>
                <w:rtl w:val="true"/>
              </w:rPr>
              <w:t>:</w:t>
              <w:tab/>
            </w:r>
            <w:r>
              <w:rPr>
                <w:rStyle w:val="IndexLink"/>
              </w:rPr>
              <w:t>250</w:t>
            </w:r>
          </w:hyperlink>
        </w:p>
        <w:p>
          <w:pPr>
            <w:pStyle w:val="Contents6"/>
            <w:tabs>
              <w:tab w:val="clear" w:pos="7609"/>
              <w:tab w:val="right" w:pos="9026" w:leader="dot"/>
            </w:tabs>
            <w:rPr/>
          </w:pPr>
          <w:hyperlink w:anchor="__RefHeading___Toc1440642_372815092">
            <w:r>
              <w:rPr>
                <w:webHidden/>
                <w:rStyle w:val="IndexLink"/>
                <w:rtl w:val="true"/>
              </w:rPr>
              <w:t>آیا خراج و جزیه هر دو بر ذمی واجب است؟</w:t>
            </w:r>
            <w:r>
              <w:rPr>
                <w:rStyle w:val="IndexLink"/>
                <w:rtl w:val="true"/>
              </w:rPr>
              <w:tab/>
            </w:r>
            <w:r>
              <w:rPr>
                <w:rStyle w:val="IndexLink"/>
              </w:rPr>
              <w:t>252</w:t>
            </w:r>
          </w:hyperlink>
        </w:p>
        <w:p>
          <w:pPr>
            <w:pStyle w:val="Contents6"/>
            <w:tabs>
              <w:tab w:val="clear" w:pos="7609"/>
              <w:tab w:val="right" w:pos="9026" w:leader="dot"/>
            </w:tabs>
            <w:rPr/>
          </w:pPr>
          <w:hyperlink w:anchor="__RefHeading___Toc1440644_372815092">
            <w:r>
              <w:rPr>
                <w:webHidden/>
                <w:rStyle w:val="IndexLink"/>
                <w:rtl w:val="true"/>
              </w:rPr>
              <w:t>فلسفه تشریع جزيه</w:t>
            </w:r>
            <w:r>
              <w:rPr>
                <w:rStyle w:val="IndexLink"/>
                <w:rtl w:val="true"/>
              </w:rPr>
              <w:t>:</w:t>
              <w:tab/>
            </w:r>
            <w:r>
              <w:rPr>
                <w:rStyle w:val="IndexLink"/>
              </w:rPr>
              <w:t>252</w:t>
            </w:r>
          </w:hyperlink>
        </w:p>
        <w:p>
          <w:pPr>
            <w:pStyle w:val="Contents6"/>
            <w:tabs>
              <w:tab w:val="clear" w:pos="7609"/>
              <w:tab w:val="right" w:pos="9026" w:leader="dot"/>
            </w:tabs>
            <w:rPr/>
          </w:pPr>
          <w:hyperlink w:anchor="__RefHeading___Toc1440646_372815092">
            <w:r>
              <w:rPr>
                <w:webHidden/>
                <w:rStyle w:val="IndexLink"/>
                <w:rtl w:val="true"/>
              </w:rPr>
              <w:t>بررسی آیه جزیه</w:t>
            </w:r>
            <w:r>
              <w:rPr>
                <w:rStyle w:val="IndexLink"/>
                <w:rtl w:val="true"/>
              </w:rPr>
              <w:tab/>
            </w:r>
            <w:r>
              <w:rPr>
                <w:rStyle w:val="IndexLink"/>
              </w:rPr>
              <w:t>255</w:t>
            </w:r>
          </w:hyperlink>
        </w:p>
        <w:p>
          <w:pPr>
            <w:pStyle w:val="Contents6"/>
            <w:tabs>
              <w:tab w:val="clear" w:pos="7609"/>
              <w:tab w:val="right" w:pos="9026" w:leader="dot"/>
            </w:tabs>
            <w:rPr/>
          </w:pPr>
          <w:hyperlink w:anchor="__RefHeading___Toc1440648_372815092">
            <w:r>
              <w:rPr>
                <w:webHidden/>
                <w:rStyle w:val="IndexLink"/>
                <w:rtl w:val="true"/>
              </w:rPr>
              <w:t>معافیت از پرداخت جزیه</w:t>
            </w:r>
            <w:r>
              <w:rPr>
                <w:rStyle w:val="IndexLink"/>
                <w:rtl w:val="true"/>
              </w:rPr>
              <w:t>:</w:t>
              <w:tab/>
            </w:r>
            <w:r>
              <w:rPr>
                <w:rStyle w:val="IndexLink"/>
              </w:rPr>
              <w:t>259</w:t>
            </w:r>
          </w:hyperlink>
        </w:p>
        <w:p>
          <w:pPr>
            <w:pStyle w:val="Contents6"/>
            <w:tabs>
              <w:tab w:val="clear" w:pos="7609"/>
              <w:tab w:val="right" w:pos="9026" w:leader="dot"/>
            </w:tabs>
            <w:rPr/>
          </w:pPr>
          <w:hyperlink w:anchor="__RefHeading___Toc1440650_372815092">
            <w:r>
              <w:rPr>
                <w:webHidden/>
                <w:rStyle w:val="IndexLink"/>
                <w:rtl w:val="true"/>
              </w:rPr>
              <w:t>دلایل اختصاص قرارداد ذمه به اهل کتاب</w:t>
            </w:r>
            <w:r>
              <w:rPr>
                <w:rStyle w:val="IndexLink"/>
                <w:rtl w:val="true"/>
              </w:rPr>
              <w:t>:</w:t>
              <w:tab/>
            </w:r>
            <w:r>
              <w:rPr>
                <w:rStyle w:val="IndexLink"/>
              </w:rPr>
              <w:t>262</w:t>
            </w:r>
          </w:hyperlink>
        </w:p>
        <w:p>
          <w:pPr>
            <w:pStyle w:val="Contents6"/>
            <w:tabs>
              <w:tab w:val="clear" w:pos="7609"/>
              <w:tab w:val="right" w:pos="9026" w:leader="dot"/>
            </w:tabs>
            <w:rPr/>
          </w:pPr>
          <w:hyperlink w:anchor="__RefHeading___Toc1440652_372815092">
            <w:r>
              <w:rPr>
                <w:webHidden/>
                <w:rStyle w:val="IndexLink"/>
                <w:rtl w:val="true"/>
              </w:rPr>
              <w:t xml:space="preserve">حقوق اقلیتهای مذهبی </w:t>
            </w:r>
            <w:r>
              <w:rPr>
                <w:rStyle w:val="IndexLink"/>
                <w:rtl w:val="true"/>
              </w:rPr>
              <w:t>(</w:t>
            </w:r>
            <w:r>
              <w:rPr>
                <w:rStyle w:val="IndexLink"/>
                <w:rtl w:val="true"/>
              </w:rPr>
              <w:t>اهل کتاب</w:t>
            </w:r>
            <w:r>
              <w:rPr>
                <w:rStyle w:val="IndexLink"/>
                <w:rtl w:val="true"/>
              </w:rPr>
              <w:t xml:space="preserve">) </w:t>
            </w:r>
            <w:r>
              <w:rPr>
                <w:rStyle w:val="IndexLink"/>
                <w:rtl w:val="true"/>
              </w:rPr>
              <w:t xml:space="preserve">در چارچوب قرارداد ذمه </w:t>
            </w:r>
            <w:r>
              <w:rPr>
                <w:rStyle w:val="IndexLink"/>
                <w:rtl w:val="true"/>
              </w:rPr>
              <w:t>:</w:t>
              <w:tab/>
            </w:r>
            <w:r>
              <w:rPr>
                <w:rStyle w:val="IndexLink"/>
              </w:rPr>
              <w:t>263</w:t>
            </w:r>
          </w:hyperlink>
        </w:p>
        <w:p>
          <w:pPr>
            <w:pStyle w:val="Contents6"/>
            <w:tabs>
              <w:tab w:val="clear" w:pos="7609"/>
              <w:tab w:val="right" w:pos="9026" w:leader="dot"/>
            </w:tabs>
            <w:rPr/>
          </w:pPr>
          <w:hyperlink w:anchor="__RefHeading___Toc1440654_372815092">
            <w:r>
              <w:rPr>
                <w:webHidden/>
                <w:rStyle w:val="IndexLink"/>
                <w:rtl w:val="true"/>
              </w:rPr>
              <w:t>اقلیتهای مذهبی غیر اهل کتاب</w:t>
            </w:r>
            <w:r>
              <w:rPr>
                <w:rStyle w:val="IndexLink"/>
                <w:rtl w:val="true"/>
              </w:rPr>
              <w:tab/>
            </w:r>
            <w:r>
              <w:rPr>
                <w:rStyle w:val="IndexLink"/>
              </w:rPr>
              <w:t>268</w:t>
            </w:r>
          </w:hyperlink>
        </w:p>
        <w:p>
          <w:pPr>
            <w:pStyle w:val="Contents6"/>
            <w:tabs>
              <w:tab w:val="clear" w:pos="7609"/>
              <w:tab w:val="right" w:pos="9026" w:leader="dot"/>
            </w:tabs>
            <w:rPr/>
          </w:pPr>
          <w:hyperlink w:anchor="__RefHeading___Toc1440656_372815092">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1440658_372815092">
            <w:r>
              <w:rPr>
                <w:webHidden/>
                <w:rStyle w:val="IndexLink"/>
                <w:rtl w:val="true"/>
              </w:rPr>
              <w:t>طهارت كفار</w:t>
            </w:r>
            <w:r>
              <w:rPr>
                <w:rStyle w:val="IndexLink"/>
                <w:rtl w:val="true"/>
              </w:rPr>
              <w:t>:</w:t>
              <w:tab/>
            </w:r>
            <w:r>
              <w:rPr>
                <w:rStyle w:val="IndexLink"/>
              </w:rPr>
              <w:t>271</w:t>
            </w:r>
          </w:hyperlink>
        </w:p>
        <w:p>
          <w:pPr>
            <w:pStyle w:val="Contents6"/>
            <w:tabs>
              <w:tab w:val="clear" w:pos="7609"/>
              <w:tab w:val="right" w:pos="9026" w:leader="dot"/>
            </w:tabs>
            <w:rPr/>
          </w:pPr>
          <w:hyperlink w:anchor="__RefHeading___Toc1440660_372815092">
            <w:r>
              <w:rPr>
                <w:webHidden/>
                <w:rStyle w:val="IndexLink"/>
                <w:rtl w:val="true"/>
              </w:rPr>
              <w:t>دیه کفار</w:t>
            </w:r>
            <w:r>
              <w:rPr>
                <w:rStyle w:val="IndexLink"/>
                <w:rtl w:val="true"/>
              </w:rPr>
              <w:t>:</w:t>
              <w:tab/>
            </w:r>
            <w:r>
              <w:rPr>
                <w:rStyle w:val="IndexLink"/>
              </w:rPr>
              <w:t>272</w:t>
            </w:r>
          </w:hyperlink>
        </w:p>
        <w:p>
          <w:pPr>
            <w:pStyle w:val="Contents6"/>
            <w:tabs>
              <w:tab w:val="clear" w:pos="7609"/>
              <w:tab w:val="right" w:pos="9026" w:leader="dot"/>
            </w:tabs>
            <w:rPr/>
          </w:pPr>
          <w:hyperlink w:anchor="__RefHeading___Toc1440662_372815092">
            <w:r>
              <w:rPr>
                <w:webHidden/>
                <w:rStyle w:val="IndexLink"/>
                <w:rtl w:val="true"/>
              </w:rPr>
              <w:t>نتیجه گیری</w:t>
            </w:r>
            <w:r>
              <w:rPr>
                <w:rStyle w:val="IndexLink"/>
                <w:rtl w:val="true"/>
              </w:rPr>
              <w:tab/>
            </w:r>
            <w:r>
              <w:rPr>
                <w:rStyle w:val="IndexLink"/>
              </w:rPr>
              <w:t>275</w:t>
            </w:r>
          </w:hyperlink>
        </w:p>
        <w:p>
          <w:pPr>
            <w:pStyle w:val="Contents6"/>
            <w:tabs>
              <w:tab w:val="clear" w:pos="7609"/>
              <w:tab w:val="right" w:pos="9026" w:leader="dot"/>
            </w:tabs>
            <w:rPr/>
          </w:pPr>
          <w:hyperlink w:anchor="__RefHeading___Toc1440664_372815092">
            <w:r>
              <w:rPr>
                <w:webHidden/>
                <w:rStyle w:val="IndexLink"/>
                <w:rtl w:val="true"/>
              </w:rPr>
              <w:t>استفتاء از حضرت آية الله العظمی مکارم شیرازی دامت افاضاته</w:t>
            </w:r>
            <w:r>
              <w:rPr>
                <w:rStyle w:val="IndexLink"/>
                <w:rtl w:val="true"/>
              </w:rPr>
              <w:tab/>
            </w:r>
            <w:r>
              <w:rPr>
                <w:rStyle w:val="IndexLink"/>
              </w:rPr>
              <w:t>279</w:t>
            </w:r>
          </w:hyperlink>
        </w:p>
        <w:p>
          <w:pPr>
            <w:pStyle w:val="Contents6"/>
            <w:tabs>
              <w:tab w:val="clear" w:pos="7609"/>
              <w:tab w:val="right" w:pos="9026" w:leader="dot"/>
            </w:tabs>
            <w:rPr/>
          </w:pPr>
          <w:hyperlink w:anchor="__RefHeading___Toc1440666_372815092">
            <w:r>
              <w:rPr>
                <w:webHidden/>
                <w:rStyle w:val="IndexLink"/>
                <w:rtl w:val="true"/>
              </w:rPr>
              <w:t>کتابنامه</w:t>
            </w:r>
            <w:r>
              <w:rPr>
                <w:rStyle w:val="IndexLink"/>
                <w:rtl w:val="true"/>
              </w:rPr>
              <w:tab/>
            </w:r>
            <w:r>
              <w:rPr>
                <w:rStyle w:val="IndexLink"/>
              </w:rPr>
              <w:t>280</w:t>
            </w:r>
          </w:hyperlink>
        </w:p>
        <w:p>
          <w:pPr>
            <w:pStyle w:val="Contents3"/>
            <w:tabs>
              <w:tab w:val="clear" w:pos="8459"/>
              <w:tab w:val="right" w:pos="9026" w:leader="dot"/>
            </w:tabs>
            <w:rPr/>
          </w:pPr>
          <w:hyperlink w:anchor="__RefHeading___Toc1440668_372815092">
            <w:r>
              <w:rPr>
                <w:webHidden/>
                <w:rStyle w:val="IndexLink"/>
                <w:rtl w:val="true"/>
              </w:rPr>
              <w:t>حمایت از اموال فرهنگی به هنگام نزاع مسلحانه</w:t>
            </w:r>
            <w:r>
              <w:rPr>
                <w:rStyle w:val="IndexLink"/>
                <w:rtl w:val="true"/>
              </w:rPr>
              <w:tab/>
            </w:r>
            <w:r>
              <w:rPr>
                <w:rStyle w:val="IndexLink"/>
              </w:rPr>
              <w:t>284</w:t>
            </w:r>
          </w:hyperlink>
        </w:p>
        <w:p>
          <w:pPr>
            <w:pStyle w:val="Contents4"/>
            <w:tabs>
              <w:tab w:val="clear" w:pos="8176"/>
              <w:tab w:val="right" w:pos="9026" w:leader="dot"/>
            </w:tabs>
            <w:rPr/>
          </w:pPr>
          <w:hyperlink w:anchor="__RefHeading___Toc1440670_372815092">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440672_372815092">
            <w:r>
              <w:rPr>
                <w:webHidden/>
                <w:rStyle w:val="IndexLink"/>
                <w:rtl w:val="true"/>
              </w:rPr>
              <w:t>مقدمه</w:t>
            </w:r>
            <w:r>
              <w:rPr>
                <w:rStyle w:val="IndexLink"/>
                <w:rtl w:val="true"/>
              </w:rPr>
              <w:tab/>
            </w:r>
            <w:r>
              <w:rPr>
                <w:rStyle w:val="IndexLink"/>
              </w:rPr>
              <w:t>285</w:t>
            </w:r>
          </w:hyperlink>
        </w:p>
        <w:p>
          <w:pPr>
            <w:pStyle w:val="Contents4"/>
            <w:tabs>
              <w:tab w:val="clear" w:pos="8176"/>
              <w:tab w:val="right" w:pos="9026" w:leader="dot"/>
            </w:tabs>
            <w:rPr/>
          </w:pPr>
          <w:hyperlink w:anchor="__RefHeading___Toc1440674_372815092">
            <w:r>
              <w:rPr>
                <w:webHidden/>
                <w:rStyle w:val="IndexLink"/>
                <w:rtl w:val="true"/>
              </w:rPr>
              <w:t>سیر تکامل تاریخی قواعد قانونی</w:t>
            </w:r>
            <w:r>
              <w:rPr>
                <w:rStyle w:val="IndexLink"/>
                <w:rtl w:val="true"/>
              </w:rPr>
              <w:tab/>
            </w:r>
            <w:r>
              <w:rPr>
                <w:rStyle w:val="IndexLink"/>
              </w:rPr>
              <w:t>286</w:t>
            </w:r>
          </w:hyperlink>
        </w:p>
        <w:p>
          <w:pPr>
            <w:pStyle w:val="Contents4"/>
            <w:tabs>
              <w:tab w:val="clear" w:pos="8176"/>
              <w:tab w:val="right" w:pos="9026" w:leader="dot"/>
            </w:tabs>
            <w:rPr/>
          </w:pPr>
          <w:hyperlink w:anchor="__RefHeading___Toc1440676_372815092">
            <w:r>
              <w:rPr>
                <w:webHidden/>
                <w:rStyle w:val="IndexLink"/>
                <w:rtl w:val="true"/>
              </w:rPr>
              <w:t xml:space="preserve">روش کنوانسیون </w:t>
            </w:r>
            <w:r>
              <w:rPr>
                <w:rStyle w:val="IndexLink"/>
              </w:rPr>
              <w:t>1954</w:t>
            </w:r>
            <w:r>
              <w:rPr>
                <w:rStyle w:val="IndexLink"/>
                <w:rtl w:val="true"/>
              </w:rPr>
              <w:t xml:space="preserve"> </w:t>
            </w:r>
            <w:r>
              <w:rPr>
                <w:rStyle w:val="IndexLink"/>
                <w:rtl w:val="true"/>
              </w:rPr>
              <w:t>و پروتکل آن</w:t>
            </w:r>
            <w:r>
              <w:rPr>
                <w:rStyle w:val="IndexLink"/>
                <w:rtl w:val="true"/>
              </w:rPr>
              <w:tab/>
            </w:r>
            <w:r>
              <w:rPr>
                <w:rStyle w:val="IndexLink"/>
              </w:rPr>
              <w:t>289</w:t>
            </w:r>
          </w:hyperlink>
        </w:p>
        <w:p>
          <w:pPr>
            <w:pStyle w:val="Contents5"/>
            <w:tabs>
              <w:tab w:val="clear" w:pos="7892"/>
              <w:tab w:val="right" w:pos="9026" w:leader="dot"/>
            </w:tabs>
            <w:rPr/>
          </w:pPr>
          <w:hyperlink w:anchor="__RefHeading___Toc1440678_372815092">
            <w:r>
              <w:rPr>
                <w:webHidden/>
                <w:rStyle w:val="IndexLink"/>
                <w:rtl w:val="true"/>
              </w:rPr>
              <w:t xml:space="preserve">کنوانسیون </w:t>
            </w:r>
            <w:r>
              <w:rPr>
                <w:rStyle w:val="IndexLink"/>
              </w:rPr>
              <w:t>1954</w:t>
            </w:r>
            <w:r>
              <w:rPr>
                <w:rStyle w:val="IndexLink"/>
                <w:rtl w:val="true"/>
              </w:rPr>
              <w:t xml:space="preserve"> </w:t>
            </w:r>
            <w:r>
              <w:rPr>
                <w:rStyle w:val="IndexLink"/>
                <w:rtl w:val="true"/>
              </w:rPr>
              <w:t>لاهه درباره حفظ اموال فرهنگی در زمان جنگ</w:t>
            </w:r>
            <w:r>
              <w:rPr>
                <w:rStyle w:val="IndexLink"/>
                <w:rtl w:val="true"/>
              </w:rPr>
              <w:tab/>
            </w:r>
            <w:r>
              <w:rPr>
                <w:rStyle w:val="IndexLink"/>
              </w:rPr>
              <w:t>289</w:t>
            </w:r>
          </w:hyperlink>
        </w:p>
        <w:p>
          <w:pPr>
            <w:pStyle w:val="Contents6"/>
            <w:tabs>
              <w:tab w:val="clear" w:pos="7609"/>
              <w:tab w:val="right" w:pos="9026" w:leader="dot"/>
            </w:tabs>
            <w:rPr/>
          </w:pPr>
          <w:hyperlink w:anchor="__RefHeading___Toc1440680_372815092">
            <w:r>
              <w:rPr>
                <w:webHidden/>
                <w:rStyle w:val="IndexLink"/>
                <w:rtl w:val="true"/>
              </w:rPr>
              <w:t xml:space="preserve">تعریف </w:t>
            </w:r>
            <w:r>
              <w:rPr>
                <w:rStyle w:val="IndexLink"/>
                <w:rtl w:val="true"/>
              </w:rPr>
              <w:t>«</w:t>
            </w:r>
            <w:r>
              <w:rPr>
                <w:rStyle w:val="IndexLink"/>
                <w:rtl w:val="true"/>
              </w:rPr>
              <w:t>اموال فرهنگی</w:t>
            </w:r>
            <w:r>
              <w:rPr>
                <w:rStyle w:val="IndexLink"/>
                <w:rtl w:val="true"/>
              </w:rPr>
              <w:t>»</w:t>
              <w:tab/>
            </w:r>
            <w:r>
              <w:rPr>
                <w:rStyle w:val="IndexLink"/>
              </w:rPr>
              <w:t>289</w:t>
            </w:r>
          </w:hyperlink>
        </w:p>
        <w:p>
          <w:pPr>
            <w:pStyle w:val="Contents6"/>
            <w:tabs>
              <w:tab w:val="clear" w:pos="7609"/>
              <w:tab w:val="right" w:pos="9026" w:leader="dot"/>
            </w:tabs>
            <w:rPr/>
          </w:pPr>
          <w:hyperlink w:anchor="__RefHeading___Toc1440682_372815092">
            <w:r>
              <w:rPr>
                <w:webHidden/>
                <w:rStyle w:val="IndexLink"/>
                <w:rtl w:val="true"/>
              </w:rPr>
              <w:t>دو نوع حمایت</w:t>
            </w:r>
            <w:r>
              <w:rPr>
                <w:rStyle w:val="IndexLink"/>
                <w:rtl w:val="true"/>
              </w:rPr>
              <w:tab/>
            </w:r>
            <w:r>
              <w:rPr>
                <w:rStyle w:val="IndexLink"/>
              </w:rPr>
              <w:t>290</w:t>
            </w:r>
          </w:hyperlink>
        </w:p>
        <w:p>
          <w:pPr>
            <w:pStyle w:val="Contents6"/>
            <w:tabs>
              <w:tab w:val="clear" w:pos="7609"/>
              <w:tab w:val="right" w:pos="9026" w:leader="dot"/>
            </w:tabs>
            <w:rPr/>
          </w:pPr>
          <w:hyperlink w:anchor="__RefHeading___Toc1440684_372815092">
            <w:r>
              <w:rPr>
                <w:webHidden/>
                <w:rStyle w:val="IndexLink"/>
                <w:rtl w:val="true"/>
              </w:rPr>
              <w:t>لغو یا فقدان حمایت</w:t>
            </w:r>
            <w:r>
              <w:rPr>
                <w:rStyle w:val="IndexLink"/>
                <w:rtl w:val="true"/>
              </w:rPr>
              <w:tab/>
            </w:r>
            <w:r>
              <w:rPr>
                <w:rStyle w:val="IndexLink"/>
              </w:rPr>
              <w:t>293</w:t>
            </w:r>
          </w:hyperlink>
        </w:p>
        <w:p>
          <w:pPr>
            <w:pStyle w:val="Contents6"/>
            <w:tabs>
              <w:tab w:val="clear" w:pos="7609"/>
              <w:tab w:val="right" w:pos="9026" w:leader="dot"/>
            </w:tabs>
            <w:rPr/>
          </w:pPr>
          <w:hyperlink w:anchor="__RefHeading___Toc1440686_372815092">
            <w:r>
              <w:rPr>
                <w:webHidden/>
                <w:rStyle w:val="IndexLink"/>
                <w:rtl w:val="true"/>
              </w:rPr>
              <w:t>قلمرو اعمال و اجرای کنوانسیون</w:t>
            </w:r>
            <w:r>
              <w:rPr>
                <w:rStyle w:val="IndexLink"/>
                <w:rtl w:val="true"/>
              </w:rPr>
              <w:tab/>
            </w:r>
            <w:r>
              <w:rPr>
                <w:rStyle w:val="IndexLink"/>
              </w:rPr>
              <w:t>298</w:t>
            </w:r>
          </w:hyperlink>
        </w:p>
        <w:p>
          <w:pPr>
            <w:pStyle w:val="Contents6"/>
            <w:tabs>
              <w:tab w:val="clear" w:pos="7609"/>
              <w:tab w:val="right" w:pos="9026" w:leader="dot"/>
            </w:tabs>
            <w:rPr/>
          </w:pPr>
          <w:hyperlink w:anchor="__RefHeading___Toc1440688_372815092">
            <w:r>
              <w:rPr>
                <w:webHidden/>
                <w:rStyle w:val="IndexLink"/>
                <w:rtl w:val="true"/>
              </w:rPr>
              <w:t>جلوگیری از نقض کنوانسیون</w:t>
            </w:r>
            <w:r>
              <w:rPr>
                <w:rStyle w:val="IndexLink"/>
                <w:rtl w:val="true"/>
              </w:rPr>
              <w:tab/>
            </w:r>
            <w:r>
              <w:rPr>
                <w:rStyle w:val="IndexLink"/>
              </w:rPr>
              <w:t>299</w:t>
            </w:r>
          </w:hyperlink>
        </w:p>
        <w:p>
          <w:pPr>
            <w:pStyle w:val="Contents5"/>
            <w:tabs>
              <w:tab w:val="clear" w:pos="7892"/>
              <w:tab w:val="right" w:pos="9026" w:leader="dot"/>
            </w:tabs>
            <w:rPr/>
          </w:pPr>
          <w:hyperlink w:anchor="__RefHeading___Toc1440690_372815092">
            <w:r>
              <w:rPr>
                <w:webHidden/>
                <w:rStyle w:val="IndexLink"/>
                <w:rtl w:val="true"/>
              </w:rPr>
              <w:t xml:space="preserve">پروتکل </w:t>
            </w:r>
            <w:r>
              <w:rPr>
                <w:rStyle w:val="IndexLink"/>
              </w:rPr>
              <w:t>1954</w:t>
            </w:r>
            <w:r>
              <w:rPr>
                <w:rStyle w:val="IndexLink"/>
                <w:rtl w:val="true"/>
              </w:rPr>
              <w:t xml:space="preserve"> </w:t>
            </w:r>
            <w:r>
              <w:rPr>
                <w:rStyle w:val="IndexLink"/>
                <w:rtl w:val="true"/>
              </w:rPr>
              <w:t>جهت حمایت از اموال فرهنگی به هنگام نزاع مسلحانه</w:t>
            </w:r>
            <w:r>
              <w:rPr>
                <w:rStyle w:val="IndexLink"/>
                <w:rtl w:val="true"/>
              </w:rPr>
              <w:tab/>
            </w:r>
            <w:r>
              <w:rPr>
                <w:rStyle w:val="IndexLink"/>
              </w:rPr>
              <w:t>299</w:t>
            </w:r>
          </w:hyperlink>
        </w:p>
        <w:p>
          <w:pPr>
            <w:pStyle w:val="Contents4"/>
            <w:tabs>
              <w:tab w:val="clear" w:pos="8176"/>
              <w:tab w:val="right" w:pos="9026" w:leader="dot"/>
            </w:tabs>
            <w:rPr/>
          </w:pPr>
          <w:hyperlink w:anchor="__RefHeading___Toc1440692_372815092">
            <w:r>
              <w:rPr>
                <w:webHidden/>
                <w:rStyle w:val="IndexLink"/>
                <w:rtl w:val="true"/>
              </w:rPr>
              <w:t>پروتکل الحاقی به کنوانسیونهای ژنو</w:t>
            </w:r>
            <w:r>
              <w:rPr>
                <w:rStyle w:val="IndexLink"/>
                <w:rtl w:val="true"/>
              </w:rPr>
              <w:tab/>
            </w:r>
            <w:r>
              <w:rPr>
                <w:rStyle w:val="IndexLink"/>
              </w:rPr>
              <w:t>300</w:t>
            </w:r>
          </w:hyperlink>
        </w:p>
        <w:p>
          <w:pPr>
            <w:pStyle w:val="Contents5"/>
            <w:tabs>
              <w:tab w:val="clear" w:pos="7892"/>
              <w:tab w:val="right" w:pos="9026" w:leader="dot"/>
            </w:tabs>
            <w:rPr/>
          </w:pPr>
          <w:hyperlink w:anchor="__RefHeading___Toc1440694_372815092">
            <w:r>
              <w:rPr>
                <w:webHidden/>
                <w:rStyle w:val="IndexLink"/>
                <w:rtl w:val="true"/>
              </w:rPr>
              <w:t>قلمرو اعمال این پروتکل</w:t>
            </w:r>
            <w:r>
              <w:rPr>
                <w:rStyle w:val="IndexLink"/>
                <w:rtl w:val="true"/>
              </w:rPr>
              <w:tab/>
            </w:r>
            <w:r>
              <w:rPr>
                <w:rStyle w:val="IndexLink"/>
              </w:rPr>
              <w:t>300</w:t>
            </w:r>
          </w:hyperlink>
        </w:p>
        <w:p>
          <w:pPr>
            <w:pStyle w:val="Contents5"/>
            <w:tabs>
              <w:tab w:val="clear" w:pos="7892"/>
              <w:tab w:val="right" w:pos="9026" w:leader="dot"/>
            </w:tabs>
            <w:rPr/>
          </w:pPr>
          <w:hyperlink w:anchor="__RefHeading___Toc1440696_372815092">
            <w:r>
              <w:rPr>
                <w:webHidden/>
                <w:rStyle w:val="IndexLink"/>
                <w:rtl w:val="true"/>
              </w:rPr>
              <w:t xml:space="preserve">ارتباط این پروتکل با کنوانسیون </w:t>
            </w:r>
            <w:r>
              <w:rPr>
                <w:rStyle w:val="IndexLink"/>
              </w:rPr>
              <w:t>1954</w:t>
            </w:r>
            <w:r>
              <w:rPr>
                <w:rStyle w:val="IndexLink"/>
                <w:rtl w:val="true"/>
              </w:rPr>
              <w:tab/>
            </w:r>
            <w:r>
              <w:rPr>
                <w:rStyle w:val="IndexLink"/>
              </w:rPr>
              <w:t>301</w:t>
            </w:r>
          </w:hyperlink>
        </w:p>
        <w:p>
          <w:pPr>
            <w:pStyle w:val="Contents5"/>
            <w:tabs>
              <w:tab w:val="clear" w:pos="7892"/>
              <w:tab w:val="right" w:pos="9026" w:leader="dot"/>
            </w:tabs>
            <w:rPr/>
          </w:pPr>
          <w:hyperlink w:anchor="__RefHeading___Toc1440698_372815092">
            <w:r>
              <w:rPr>
                <w:webHidden/>
                <w:rStyle w:val="IndexLink"/>
                <w:rtl w:val="true"/>
              </w:rPr>
              <w:t>حمایت از اموال فرهنگی و اماکن مذهبی</w:t>
            </w:r>
            <w:r>
              <w:rPr>
                <w:rStyle w:val="IndexLink"/>
                <w:rtl w:val="true"/>
              </w:rPr>
              <w:tab/>
            </w:r>
            <w:r>
              <w:rPr>
                <w:rStyle w:val="IndexLink"/>
              </w:rPr>
              <w:t>301</w:t>
            </w:r>
          </w:hyperlink>
        </w:p>
        <w:p>
          <w:pPr>
            <w:pStyle w:val="Contents5"/>
            <w:tabs>
              <w:tab w:val="clear" w:pos="7892"/>
              <w:tab w:val="right" w:pos="9026" w:leader="dot"/>
            </w:tabs>
            <w:rPr/>
          </w:pPr>
          <w:hyperlink w:anchor="__RefHeading___Toc1440700_372815092">
            <w:r>
              <w:rPr>
                <w:webHidden/>
                <w:rStyle w:val="IndexLink"/>
                <w:rtl w:val="true"/>
              </w:rPr>
              <w:t>منع تخلفات</w:t>
            </w:r>
            <w:r>
              <w:rPr>
                <w:rStyle w:val="IndexLink"/>
                <w:rtl w:val="true"/>
              </w:rPr>
              <w:tab/>
            </w:r>
            <w:r>
              <w:rPr>
                <w:rStyle w:val="IndexLink"/>
              </w:rPr>
              <w:t>305</w:t>
            </w:r>
          </w:hyperlink>
        </w:p>
        <w:p>
          <w:pPr>
            <w:pStyle w:val="Contents4"/>
            <w:tabs>
              <w:tab w:val="clear" w:pos="8176"/>
              <w:tab w:val="right" w:pos="9026" w:leader="dot"/>
            </w:tabs>
            <w:rPr/>
          </w:pPr>
          <w:hyperlink w:anchor="__RefHeading___Toc1440702_372815092">
            <w:r>
              <w:rPr>
                <w:webHidden/>
                <w:rStyle w:val="IndexLink"/>
                <w:rtl w:val="true"/>
              </w:rPr>
              <w:t>دیگر توافق نامه های بین المللی مربوط به بحث</w:t>
            </w:r>
            <w:r>
              <w:rPr>
                <w:rStyle w:val="IndexLink"/>
                <w:rtl w:val="true"/>
              </w:rPr>
              <w:tab/>
            </w:r>
            <w:r>
              <w:rPr>
                <w:rStyle w:val="IndexLink"/>
              </w:rPr>
              <w:t>312</w:t>
            </w:r>
          </w:hyperlink>
        </w:p>
        <w:p>
          <w:pPr>
            <w:pStyle w:val="Contents4"/>
            <w:tabs>
              <w:tab w:val="clear" w:pos="8176"/>
              <w:tab w:val="right" w:pos="9026" w:leader="dot"/>
            </w:tabs>
            <w:rPr/>
          </w:pPr>
          <w:hyperlink w:anchor="__RefHeading___Toc1440704_372815092">
            <w:r>
              <w:rPr>
                <w:webHidden/>
                <w:rStyle w:val="IndexLink"/>
                <w:rtl w:val="true"/>
              </w:rPr>
              <w:t xml:space="preserve">اصلاح کنوانسیون </w:t>
            </w:r>
            <w:r>
              <w:rPr>
                <w:rStyle w:val="IndexLink"/>
              </w:rPr>
              <w:t>1954</w:t>
            </w:r>
            <w:r>
              <w:rPr>
                <w:rStyle w:val="IndexLink"/>
                <w:rtl w:val="true"/>
              </w:rPr>
              <w:t xml:space="preserve"> </w:t>
            </w:r>
            <w:r>
              <w:rPr>
                <w:rStyle w:val="IndexLink"/>
                <w:rtl w:val="true"/>
              </w:rPr>
              <w:t>لاهه</w:t>
            </w:r>
            <w:r>
              <w:rPr>
                <w:rStyle w:val="IndexLink"/>
                <w:rtl w:val="true"/>
              </w:rPr>
              <w:tab/>
            </w:r>
            <w:r>
              <w:rPr>
                <w:rStyle w:val="IndexLink"/>
              </w:rPr>
              <w:t>314</w:t>
            </w:r>
          </w:hyperlink>
        </w:p>
        <w:p>
          <w:pPr>
            <w:pStyle w:val="Contents4"/>
            <w:tabs>
              <w:tab w:val="clear" w:pos="8176"/>
              <w:tab w:val="right" w:pos="9026" w:leader="dot"/>
            </w:tabs>
            <w:rPr/>
          </w:pPr>
          <w:hyperlink w:anchor="__RefHeading___Toc1440706_372815092">
            <w:r>
              <w:rPr>
                <w:webHidden/>
                <w:rStyle w:val="IndexLink"/>
                <w:rtl w:val="true"/>
              </w:rPr>
              <w:t>دادگاه کیفری بین المللی درباره یوگسلاوی سابق</w:t>
            </w:r>
            <w:r>
              <w:rPr>
                <w:rStyle w:val="IndexLink"/>
                <w:rtl w:val="true"/>
              </w:rPr>
              <w:tab/>
            </w:r>
            <w:r>
              <w:rPr>
                <w:rStyle w:val="IndexLink"/>
              </w:rPr>
              <w:t>316</w:t>
            </w:r>
          </w:hyperlink>
        </w:p>
        <w:p>
          <w:pPr>
            <w:pStyle w:val="Contents4"/>
            <w:tabs>
              <w:tab w:val="clear" w:pos="8176"/>
              <w:tab w:val="right" w:pos="9026" w:leader="dot"/>
            </w:tabs>
            <w:rPr/>
          </w:pPr>
          <w:hyperlink w:anchor="__RefHeading___Toc1440708_372815092">
            <w:r>
              <w:rPr>
                <w:webHidden/>
                <w:rStyle w:val="IndexLink"/>
                <w:rtl w:val="true"/>
              </w:rPr>
              <w:t>نتیجه گیری</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94_74445"/>
      <w:bookmarkStart w:id="1" w:name="pg6894_74445"/>
      <w:bookmarkEnd w:id="1"/>
    </w:p>
    <w:p>
      <w:pPr>
        <w:pStyle w:val="Heading2"/>
        <w:numPr>
          <w:ilvl w:val="1"/>
          <w:numId w:val="1"/>
        </w:numPr>
        <w:rPr/>
      </w:pPr>
      <w:bookmarkStart w:id="2" w:name="pg6894_74445"/>
      <w:bookmarkStart w:id="3" w:name="__RefHeading___Toc1440230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در آینه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پاره‌ای از مسائل حقوق خصوصی، جزا و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91990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914000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Low in the mirror of Islamic Jurisprudence a brief observation on some issues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حقوق</w:t>
      </w:r>
    </w:p>
    <w:p>
      <w:pPr>
        <w:pStyle w:val="BookText"/>
        <w:rPr/>
      </w:pPr>
      <w:r>
        <w:rPr>
          <w:rFonts w:ascii="IRNazanin" w:hAnsi="IRNazanin" w:eastAsia="IRNazanin"/>
          <w:color w:val="111111"/>
          <w:sz w:val="28"/>
          <w:sz w:val="28"/>
          <w:szCs w:val="28"/>
          <w:rtl w:val="true"/>
          <w:lang w:bidi="fa-IR"/>
        </w:rPr>
        <w:t>حقوق بین‌الملل خصوصی</w:t>
      </w:r>
    </w:p>
    <w:p>
      <w:pPr>
        <w:pStyle w:val="BookText"/>
        <w:rPr/>
      </w:pPr>
      <w:r>
        <w:rPr>
          <w:rFonts w:ascii="IRNazanin" w:hAnsi="IRNazanin" w:eastAsia="IRNazanin"/>
          <w:color w:val="111111"/>
          <w:sz w:val="28"/>
          <w:sz w:val="28"/>
          <w:szCs w:val="28"/>
          <w:rtl w:val="true"/>
          <w:lang w:bidi="fa-IR"/>
        </w:rPr>
        <w:t xml:space="preserve">حقوق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بین‌الملل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BP169/8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21294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0232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در آینه فقه، نگاهی به پاره ای از مسائل حقوق خصوصی، جزا و بین الملل</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محمدربیع میرزایی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حروفچینی و صفحه آرایی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 گرافیک دانشگاه علوم اسلامی رضوی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894_74449"/>
      <w:bookmarkStart w:id="8" w:name="pg6894_74449"/>
      <w:bookmarkEnd w:id="8"/>
    </w:p>
    <w:p>
      <w:pPr>
        <w:pStyle w:val="Heading2"/>
        <w:numPr>
          <w:ilvl w:val="1"/>
          <w:numId w:val="1"/>
        </w:numPr>
        <w:rPr/>
      </w:pPr>
      <w:bookmarkStart w:id="9" w:name="pg6894_74449"/>
      <w:bookmarkStart w:id="10" w:name="__RefHeading___Toc1440234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فقه، منبع گرانبهای حقوق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تعریف فقه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مقالات کتاب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از قانون اصلاح مقررات طلاق و مبانی فقهی آن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حاکم از دیدگاه فقیهان متأخر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محاربه و افساد فی الارض در فقه و قوانین کیفری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بیان در اسلام و اعلامیه جهانی حقوق بشر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اقلیتها در اسلام و اعلامیه های حقوق بشر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اموال فرهنگی به هنگام نزاع مسلحانه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خصوصی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قانون اصلاح مقررات طلاق و مبانی فقهی آن</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موجبات طرح و تصویب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مقررات طلاق</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قانونی و تأثیر آن در فرآیند نظم اجتماعی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ناخوشایندي مطالبه مهر و تأثیر آن بر سکوت زن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اهتمام اسلام به مسأله طلاق و احکام آن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و وضع قوانین حکومتی برای کمک بیشتر به زن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تعريف شرط و بهره گیری از آن در امر طلاق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معنای لغوی و اصطلاحی شرط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بهره گیری از اراده مشروع به صورت شرط ضمن عقد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تحلیل و بررسی مبانی فقهی قانون اصلاح مقررات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وجه الزام زوجین به تسلیم دادخواست طلاق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بررسی اقدامات اولیه دادگاه برای متقاضیان طلاق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ارجاع زوجین به داوری و تشکیل محکمه صلح خانوادگی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صدور گواهی عدم امکان سازش و ارجاع و اعلان به محضر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بررسی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طلاق</w:t>
      </w:r>
      <w:r>
        <w:rPr>
          <w:rFonts w:eastAsia="IRNazanin" w:cs="IRNazanin"/>
          <w:color w:val="111111"/>
          <w:sz w:val="28"/>
          <w:szCs w:val="28"/>
          <w:rtl w:val="true"/>
          <w:lang w:bidi="fa-IR"/>
        </w:rPr>
        <w:t>)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اشکالات وارد بر تبصره فوق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کارهایی که زن در مقابل آنها می تواند از شوهر، مطالبه اجرت کند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بررسی تفسیری و فقهی مفهوم و ماهیت نحله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ذکر نحله در قرآن و مفهوم آن از نظر مفسران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ماهیت نحله از دیدگاه فقهی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اسلام و توصیه به دادن هدیه به زن، حتی پس از طلاق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قرآن و سفارش به برخوردار شدن زنان مطلقه از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هدیه دادن به زن پس از طلاق از دید روایات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طلاق حاکم از دیدگاه فقیهان متأخر</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تعریف طلاق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ضرورت طلاق، به رغم ناخوشایندی آن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امر طلاق به دست مرد است </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طلاق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امتناع یا عجز شوهر از تهیه نفقه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وظیفه حاکم شرع در مقابل زوج ممتنع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وظیفه حاکم شرع در مقابل زوج عاجز از نفقه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فقها و مواجه شدن زن با عسر و حرج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فقدان یا حبس شوهر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نظر امام خمینی قدس سره و مشهور فقها درباره شوهران مفقود شده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چکیده مطالب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محاربه و افساد في الارض در فقه و قوانین کیفری</w:t>
      </w:r>
    </w:p>
    <w:p>
      <w:pPr>
        <w:pStyle w:val="BookText"/>
        <w:rPr/>
      </w:pPr>
      <w:r>
        <w:rPr>
          <w:rFonts w:ascii="IRNazanin" w:hAnsi="IRNazanin" w:eastAsia="IRNazanin"/>
          <w:color w:val="111111"/>
          <w:sz w:val="28"/>
          <w:sz w:val="28"/>
          <w:szCs w:val="28"/>
          <w:rtl w:val="true"/>
          <w:lang w:bidi="fa-IR"/>
        </w:rPr>
        <w:t xml:space="preserve">محاربه در فقه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لغت محاربه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شأن نزول و مفهوم آیه محاربه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تعریف محاربه از دیدگاه فقهای شیعه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روایات محاربه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اصلی محاربه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و مکان در محاربه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 محارب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اهداف محارب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ترساندن مردم، لازم نیست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تعدد محاربان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جنسیت محارب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محارب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مكان محاربه از دیدگاه اهل سنت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سارق، ممکن است محارب باشد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محارب، لازم نیست مورد تهمت باشد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سلاح محارب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مجازات محارب از دیدگاه فقهای شیعه و سنی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روایاتی درباره مجازات محارب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نقد و بررسی نظریه ترتیب و تخییر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ارائه دو شیوه اعمال مجازات محارب و جمع بین روایات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به مقدار جنایت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محارب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افساد فی الارض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فساد در لغت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فساد و صلاح در آیات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فساد در روایات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نقد و بررسی نظریه افساد فی الارض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محاربه و افساد در قوانین کیفری جمهوری اسلامی ایران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محاربه علیه مردم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محاربه علیه نظام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بغی در لغت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واکنش علیه باغی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باغی یا دفاع مشروع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باغی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ارتداد</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اسلام چیست، مسلمان کیست؟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کفر چیست، کافر کیست؟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شرک و توحید </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و مفهوم ارتداد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تعریف ارتداد در فقه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اقسام ارتداد در فقه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شرایط ارتداد و ارتداد غیربالغ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حکم ارتداد حين بلوغ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عوامل ارتداد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هر یک از اصول سه گانه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خاتمیت حضرت محمد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نبوت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اهانت به پیامبر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انکار امامت ائمه دوازده گانه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محارب امام معصوم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ضروریات دین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ارتداد به دلیل شبهه واقعیه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توبه مرتد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روایات توبه مرتد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 الملل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در اسلام و اعلامیه جهانی حقوق بشر</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تعریف ازادی بیان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تاریخچه آزادی بیان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آزادی بیان از دیدگاه غرب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مخالفان آزادی بیان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موافقان افراط گرای آزادی بیان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نظريات تعدیل شده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تجلی اندیشه آزادی بیان در اعلامیه جهانی حقوق بشر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آزادی بیان از دیدگاه اسلام </w:t>
      </w:r>
      <w:r>
        <w:rPr>
          <w:rFonts w:eastAsia="IRNazanin" w:cs="IRNazanin"/>
          <w:color w:val="111111"/>
          <w:sz w:val="28"/>
          <w:szCs w:val="28"/>
          <w:rtl w:val="true"/>
          <w:lang w:bidi="fa-IR"/>
        </w:rPr>
        <w:t>...</w:t>
      </w:r>
      <w:r>
        <w:rPr>
          <w:rFonts w:eastAsia="IRNazanin" w:cs="IRNazanin"/>
          <w:color w:val="111111"/>
          <w:sz w:val="28"/>
          <w:szCs w:val="28"/>
          <w:lang w:bidi="fa-IR"/>
        </w:rPr>
        <w:t>197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بیان در قرآن و حدیث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بیان حق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بیان حق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جرم بودن کتمان حق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آرا و نظرات مخالفان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به مناظره علمی و جدال احسن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به برهان طلبی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به گزینش بهترین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تفکر و اندیشه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نمونه هایی از آیات و روایات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آزادی بیان در آرای اندیشمندان اسلامی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آزادی بیان در قانون اساسی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 اعلامیه اسلامی حقوق بشر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هم سنجی دو دیدگاه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حقوق اقلیتها در اسلام و اعلامیه های حقوق بشر</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تعریف لغوی و اصطلاحی اقلیت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اقلیت در حقوق بین الملل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معیارهای تشخیص اقلیت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سابقه تاریخی وضعیت اقلیتها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اقلیتها در قرون اولیه میلادی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اقلیتها در جامعه ساسانی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اقلیتها در امپراتوری روم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اقلیتها در قرون وسطی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اقلیتها در قرون اخیر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آزادی مذهب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رابطه دولتهای اروپایی و مذهب در دوره معاصر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حقوق اقلیتها در اسناد بین المللی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از اولین تلاشها تا اعلامیه دسامبر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ملل و اقلیتها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سازمان ملل و اقلیتها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میثاق رفع تبعیضات نژادی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حقوق اقلیتها در اعلامیه های حقوق بشر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اعلامیه جهانی حقوق بشر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میثاق بین المللی حقوق مدنی و سیاسی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میثاق بین المللی حقوق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حقوق اقلیتها در اعلامیه دسامبر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اسلام و حقوق اقلیتها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اسلام و اقلیتهای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قبیله ای و زبانی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اسلام و منع تبعیض نژادی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اسلام و اقلیتهای مذهبی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اسلام و آزادی عقیده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اقلیتهای مذهبی اهل کتاب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قرارداد ذمه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مفهوم جزیه و خراج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تفاوت جزیه و خراج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سابقه جزیه و خراج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مقدار جزیه و خراج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آیا خراج و جزیه هر دو بر ذمی واجب است؟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فلسفه تشریع جزيه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بررسی آیه جزیه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معافیت از پرداخت جزیه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دلایل اختصاص قرارداد ذمه به اهل کتاب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حقوق اقلیتهای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قرارداد ذمه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اقلیتهای مذهبی غیر اهل کتاب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طهارت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دیه کفار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استفتاء از حضرت آية الله العظمی مکارم شیرازی دامت افاضاته </w:t>
      </w:r>
      <w:r>
        <w:rPr>
          <w:rFonts w:eastAsia="IRNazanin" w:cs="IRNazanin"/>
          <w:color w:val="111111"/>
          <w:sz w:val="28"/>
          <w:szCs w:val="28"/>
          <w:rtl w:val="true"/>
          <w:lang w:bidi="fa-IR"/>
        </w:rPr>
        <w:t>...</w:t>
      </w:r>
      <w:r>
        <w:rPr>
          <w:rFonts w:eastAsia="IRNazanin" w:cs="IRNazanin"/>
          <w:color w:val="111111"/>
          <w:sz w:val="28"/>
          <w:szCs w:val="28"/>
          <w:lang w:bidi="fa-IR"/>
        </w:rPr>
        <w:t>269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حمایت از اموال فرهنگی به هنگام نزاع مسلحانه</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سیر تکامل تاریخی قواعد قانونی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روش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پروتکل آن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لاهه درباره حفظ اموال فرهنگی در زمان جنگ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فرهنگی</w:t>
      </w:r>
      <w:r>
        <w:rPr>
          <w:rFonts w:eastAsia="IRNazanin" w:cs="IRNazanin"/>
          <w:color w:val="111111"/>
          <w:sz w:val="28"/>
          <w:szCs w:val="28"/>
          <w:rtl w:val="true"/>
          <w:lang w:bidi="fa-IR"/>
        </w:rPr>
        <w:t>»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دو نوع حمایت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لغو یا فقدان حمایت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قلمرو اعمال و اجرای کنوانسیون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جلوگیری از نقض کنوانسیون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حمایت از اموال فرهنگی به هنگام نزاع مسلحانه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پروتکل الحاقی به کنوانسیونهای ژنو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قلمرو اعمال این پروتکل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ارتباط این پروتکل با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حمایت از اموال فرهنگی و اماکن مذهبی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منع تخلفات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دیگر توافق نامه های بین المللی مربوط به بحث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اصلاح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لاهه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دادگاه کیفری بین المللی درباره یوگسلاوی سابق </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12" w:name="pg6894_74457"/>
    </w:p>
    <w:p>
      <w:pPr>
        <w:pStyle w:val="Heading2"/>
        <w:numPr>
          <w:ilvl w:val="1"/>
          <w:numId w:val="1"/>
        </w:numPr>
        <w:rPr/>
      </w:pPr>
      <w:bookmarkStart w:id="13" w:name="__RefHeading___Toc1440236_372815092"/>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زندگی اجتماعی، پیوند میان آدمیان در زمینه های گوناگون است که انسان را گزیر و</w:t>
      </w:r>
    </w:p>
    <w:p>
      <w:pPr>
        <w:pStyle w:val="BookText"/>
        <w:rPr/>
      </w:pPr>
      <w:r>
        <w:rPr>
          <w:rFonts w:ascii="IRNazanin" w:hAnsi="IRNazanin" w:eastAsia="IRNazanin"/>
          <w:color w:val="111111"/>
          <w:sz w:val="28"/>
          <w:sz w:val="28"/>
          <w:szCs w:val="28"/>
          <w:rtl w:val="true"/>
          <w:lang w:bidi="fa-IR"/>
        </w:rPr>
        <w:t>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ستدهای اشخاص، درگیریها و قتل و غارتها، روابط میان دولتها و اختلاف هایشان، همه از پیامدهای اجتماعی زیستن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رفتار اعضای هر جامعه با هم و روابط بین دولتها و نمایاندن حق و</w:t>
      </w:r>
    </w:p>
    <w:p>
      <w:pPr>
        <w:pStyle w:val="BookText"/>
        <w:rPr/>
      </w:pPr>
      <w:r>
        <w:rPr>
          <w:rFonts w:ascii="IRNazanin" w:hAnsi="IRNazanin" w:eastAsia="IRNazanin"/>
          <w:color w:val="111111"/>
          <w:sz w:val="28"/>
          <w:sz w:val="28"/>
          <w:szCs w:val="28"/>
          <w:rtl w:val="true"/>
          <w:lang w:bidi="fa-IR"/>
        </w:rPr>
        <w:t>تکلیفشان، بر عهده علم حقوق و حقوق 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گوناگون حقوقی، هر یک به</w:t>
      </w:r>
    </w:p>
    <w:p>
      <w:pPr>
        <w:pStyle w:val="BookText"/>
        <w:rPr/>
      </w:pPr>
      <w:r>
        <w:rPr>
          <w:rFonts w:ascii="IRNazanin" w:hAnsi="IRNazanin" w:eastAsia="IRNazanin"/>
          <w:color w:val="111111"/>
          <w:sz w:val="28"/>
          <w:sz w:val="28"/>
          <w:szCs w:val="28"/>
          <w:rtl w:val="true"/>
          <w:lang w:bidi="fa-IR"/>
        </w:rPr>
        <w:t>فراخور فرهنگ حاکم بر آن، به بیان قوانین بهتر زیستن در زندگی اجتماعی پرداخته و در این جهت، تلاشها نموده و مرارتها چشیده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به عنوان آخرین دین آسمانی که به دو بعد معنوی و مادی بشر پرداخته،</w:t>
      </w:r>
    </w:p>
    <w:p>
      <w:pPr>
        <w:pStyle w:val="BookText"/>
        <w:rPr/>
      </w:pPr>
      <w:r>
        <w:rPr>
          <w:rFonts w:ascii="IRNazanin" w:hAnsi="IRNazanin" w:eastAsia="IRNazanin"/>
          <w:color w:val="111111"/>
          <w:sz w:val="28"/>
          <w:sz w:val="28"/>
          <w:szCs w:val="28"/>
          <w:rtl w:val="true"/>
          <w:lang w:bidi="fa-IR"/>
        </w:rPr>
        <w:t>کاملترین قواعد و مقررات اجتماعی را وضع کرده است که استخراج و استنباط آنها بر عهده دانشمندان اسلامی است و آنها نیز در این مسیر، تلاشهای ماندگاری را صورت داده اند، لیكن پس از تشکیل نظام اسلامی در ایران و بر حسب طبیعت، موضوعات نو، طرح مسائل جدیدی را به دنبال داشته است که حل آنها به عنوان یک ضرورت،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در آینه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بخشی از مسائل بحث برانگیز حقوق</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 جزا و بین الملل پرداخته، نتیجه بخشی از تلاشهای جمعی از پژوهشگران </w:t>
      </w:r>
    </w:p>
    <w:p>
      <w:pPr>
        <w:pStyle w:val="BookText"/>
        <w:rPr/>
      </w:pPr>
      <w:r>
        <w:rPr>
          <w:rFonts w:ascii="IRNazanin" w:hAnsi="IRNazanin" w:eastAsia="IRNazanin"/>
          <w:color w:val="111111"/>
          <w:sz w:val="28"/>
          <w:sz w:val="28"/>
          <w:szCs w:val="28"/>
          <w:rtl w:val="true"/>
          <w:lang w:bidi="fa-IR"/>
        </w:rPr>
        <w:t xml:space="preserve">گروه پژوهشی حقوق مرکز پژوهش دانشگاه علوم اسلامی رضوی است که بدین وسیله، زحمات آن عزیزان و اساتید محترم، به ویژه حجة الاسلام و المسلمین سیدحسین سادات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شعبه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عالی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نقش مشاوره، زحمت تدوین مقدمه این کتاب را کشیده اند و نیز ویراستار محترم، آقای محمدربیع میرزایی و سایر دست اندرکاران را ارج می نهیم و برای همه آن عزیزان از درگاه ایزد منان، توفیق و عزت روزافزون طلب می نماییم و دیدگاه های اصلاحی خوانندگان گرامی را که با نقد سازنده خود، ما را مورد لطف و محبت قرار دهند، با دیده منت پذیراییم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این مجموعه به ترتیب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قانون اصلاح مقررات طلاق و مبانی فقهی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صائمی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حاکم از دیدگاه فقیهان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صائمی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و افساد في الارض در فقه و قوانین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سیداحمد سجادی 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سجادی 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بیان در اسلام و اعلامیه جهانی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باقری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اقلیتها در اسلام و اعلامیه های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غلامحیدر علامه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اموال فرهنگی به هنگام نزاع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مترجمان</w:t>
      </w:r>
      <w:r>
        <w:rPr>
          <w:rFonts w:eastAsia="IRNazanin" w:cs="IRNazanin"/>
          <w:color w:val="111111"/>
          <w:sz w:val="28"/>
          <w:szCs w:val="28"/>
          <w:rtl w:val="true"/>
          <w:lang w:bidi="fa-IR"/>
        </w:rPr>
        <w:t xml:space="preserve">) </w:t>
      </w:r>
      <w:bookmarkStart w:id="15" w:name="pg6894_74459"/>
    </w:p>
    <w:p>
      <w:pPr>
        <w:pStyle w:val="Heading2"/>
        <w:numPr>
          <w:ilvl w:val="1"/>
          <w:numId w:val="1"/>
        </w:numPr>
        <w:rPr/>
      </w:pPr>
      <w:bookmarkStart w:id="16" w:name="__RefHeading___Toc1440238_372815092"/>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انسان، موجودی است با نیازهای گوناگون که آب، غذا، لباس، خانه، علم، مهارت،</w:t>
      </w:r>
    </w:p>
    <w:p>
      <w:pPr>
        <w:pStyle w:val="BookText"/>
        <w:rPr/>
      </w:pPr>
      <w:r>
        <w:rPr>
          <w:rFonts w:ascii="IRNazanin" w:hAnsi="IRNazanin" w:eastAsia="IRNazanin"/>
          <w:color w:val="111111"/>
          <w:sz w:val="28"/>
          <w:sz w:val="28"/>
          <w:szCs w:val="28"/>
          <w:rtl w:val="true"/>
          <w:lang w:bidi="fa-IR"/>
        </w:rPr>
        <w:t xml:space="preserve">شغل، رقابت، ترقی، شهرت، محبوبیت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احتياجات او به اندازه ای است که خود به تنهایی نمی تواند از عهده تأمین و تحصیل آنها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ناچار شده است برای این که از نیرو، استعداد و خلاقیتهای دیگران برای فراهم آوردن نیازهای متعدد خود استفاده کند، از آزادی فراوانی که در زندگی فردی برخوردار است، چشم بپوشد و به زندگی اجتماعی ای که خواه ناخواه، عرصه آزادیهای او را محدود می کند،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اجتماعی، هر چند که استعدادهای انسان شکوفا می شود، بسیاری مطالب را از دیگران فرا می گیرد، مهارت و ورزیدگی پیدا می کند، خلاقیت و نو آوری به</w:t>
      </w:r>
    </w:p>
    <w:p>
      <w:pPr>
        <w:pStyle w:val="BookText"/>
        <w:rPr/>
      </w:pPr>
      <w:r>
        <w:rPr>
          <w:rFonts w:ascii="IRNazanin" w:hAnsi="IRNazanin" w:eastAsia="IRNazanin"/>
          <w:color w:val="111111"/>
          <w:sz w:val="28"/>
          <w:sz w:val="28"/>
          <w:szCs w:val="28"/>
          <w:rtl w:val="true"/>
          <w:lang w:bidi="fa-IR"/>
        </w:rPr>
        <w:t>دست می آورد و از تخصصها و فنون دیگران برخوردار می شود، ولی از طرفی به علت این که موجودی خودخواه، انحصارطلب و افزونخواه است، نمی تواند این محدودیتی را که به خاطر بودن در کنار دیگران به وی تحمیل می شود، به راحتی بپذیرد؛ بلکه با دیگران برخورد و اصطکاک پیدا می کند و هر کسی می خواهد بیشترین مزایای زندگی اجتماعی را به خود اختصاص دهد و دیگران را محروم 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شهد زندگی در کام او تلخ می شود و آن آرامش روحی که در زندگی </w:t>
      </w:r>
    </w:p>
    <w:p>
      <w:pPr>
        <w:pStyle w:val="BookText"/>
        <w:rPr/>
      </w:pPr>
      <w:r>
        <w:rPr>
          <w:rFonts w:ascii="IRNazanin" w:hAnsi="IRNazanin" w:eastAsia="IRNazanin"/>
          <w:color w:val="111111"/>
          <w:sz w:val="28"/>
          <w:sz w:val="28"/>
          <w:szCs w:val="28"/>
          <w:rtl w:val="true"/>
          <w:lang w:bidi="fa-IR"/>
        </w:rPr>
        <w:t>اجتماعی می جست، از زندگی او سلب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برای بازگردانیدن شهد در جام زندگی و آرامش و امنیت در روح او و ایجاد فضایی سالم و خالی از تنش در جامعه، ضرورت دارد در میان افراد جامعه، ضوابط و معیارهایی پدید آید که با حاکم شدن آنها و گردن نهادن مردم به آن ضوابط، برادری و محبت در میانشان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قواعدی که با حاکمیت آن، این کرامتها در زندگی اجتماعی پیدا می شود، نمی تواند</w:t>
      </w:r>
    </w:p>
    <w:p>
      <w:pPr>
        <w:pStyle w:val="BookText"/>
        <w:rPr/>
      </w:pPr>
      <w:r>
        <w:rPr>
          <w:rFonts w:ascii="IRNazanin" w:hAnsi="IRNazanin" w:eastAsia="IRNazanin"/>
          <w:color w:val="111111"/>
          <w:sz w:val="28"/>
          <w:sz w:val="28"/>
          <w:szCs w:val="28"/>
          <w:rtl w:val="true"/>
          <w:lang w:bidi="fa-IR"/>
        </w:rPr>
        <w:t xml:space="preserve">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تردید، یکی از ضرورتهای اساسی زندگی جمعی، وجود قانون است که در لوای آن، هر کسی به حق خود و هر متجاوزی به کیفر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از آنجا که اداره زندگی اجتماعی انسان و انتظام جامعه، تنها بر پایه اصول</w:t>
      </w:r>
    </w:p>
    <w:p>
      <w:pPr>
        <w:pStyle w:val="BookText"/>
        <w:rPr/>
      </w:pPr>
      <w:r>
        <w:rPr>
          <w:rFonts w:ascii="IRNazanin" w:hAnsi="IRNazanin" w:eastAsia="IRNazanin"/>
          <w:color w:val="111111"/>
          <w:sz w:val="28"/>
          <w:sz w:val="28"/>
          <w:szCs w:val="28"/>
          <w:rtl w:val="true"/>
          <w:lang w:bidi="fa-IR"/>
        </w:rPr>
        <w:t>ثابت و غیرقابل تغییر امکان پذیر نیست، برای تدبیر جامعه و روان کردن حرکت و تحول در زندگی اجتماعی، به اصول متغیر و ناپایدار نیز نیاز است؛ یعنی برای سامان دادن به زندگی جامعه، هم به حاکمیت ضوابط ثابت و پایا نیاز است و هم به معیارهای تغییرپذیر و قابل انعطاف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زندگی بشر، منحصرا ثابت نیست و زندگی انسان و قواعد آن در طول زمان،</w:t>
      </w:r>
    </w:p>
    <w:p>
      <w:pPr>
        <w:pStyle w:val="BookText"/>
        <w:rPr/>
      </w:pPr>
      <w:r>
        <w:rPr>
          <w:rFonts w:ascii="IRNazanin" w:hAnsi="IRNazanin" w:eastAsia="IRNazanin"/>
          <w:color w:val="111111"/>
          <w:sz w:val="28"/>
          <w:sz w:val="28"/>
          <w:szCs w:val="28"/>
          <w:rtl w:val="true"/>
          <w:lang w:bidi="fa-IR"/>
        </w:rPr>
        <w:t>به مرور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در این قسمت برای این که با تغییرات حاصل در اصل زندگی انسان تطابق پیدا شود، به قاعده و قانون جدید نیاز است؛ زیرا درست است که قوانین قبلی با شرایط قبلی انطباق داشت و نیاز جامعه را برطرف می کرد، ولی اکنون که زندگی جامعه در بخشی که قابل توجه نیز می باشد، به تدریج تغییر و تحول یافته است، آن مقررات، نه تنها نیاز جامعه را رفع نمی کند، چه بسا اگر قوانین تغییر نیابد، خود مشکلی بر مشکلات بیفزاید و به صورت قوانین مزاحم و دست و پاگیر در آید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بر فقیهان صاحب نظر و حقوق دانان مبرز و فرهیخته لازم است که هر چه سریعتر، با تکیه بر گنجینه فقه و معارف غنی اسلام، حکم فقهی جدید یا قانون تازه و بدیع را استنباط کنند و موجبات تکامل و تداوم حرکت را در جامعه فراهم نمایند؛ زیرا اگر تدوین احکام و مقررات جدید بر اساس موازین اسلامی نباشد، بلکه بر پایه تمایلات و خواسته های نفسانی مردم باشد، رفته رفته با تدوین قواعد و قوانین جدید، مقررات </w:t>
      </w:r>
    </w:p>
    <w:p>
      <w:pPr>
        <w:pStyle w:val="BookText"/>
        <w:rPr/>
      </w:pPr>
      <w:r>
        <w:rPr>
          <w:rFonts w:ascii="IRNazanin" w:hAnsi="IRNazanin" w:eastAsia="IRNazanin"/>
          <w:color w:val="111111"/>
          <w:sz w:val="28"/>
          <w:sz w:val="28"/>
          <w:szCs w:val="28"/>
          <w:rtl w:val="true"/>
          <w:lang w:bidi="fa-IR"/>
        </w:rPr>
        <w:t>حاکم، از دین و معیارهای دینی جدا می شود و جامعه دینی و مسلمانان، آرام آرام به</w:t>
      </w:r>
    </w:p>
    <w:p>
      <w:pPr>
        <w:pStyle w:val="BookText"/>
        <w:rPr/>
      </w:pPr>
      <w:r>
        <w:rPr>
          <w:rFonts w:ascii="IRNazanin" w:hAnsi="IRNazanin" w:eastAsia="IRNazanin"/>
          <w:color w:val="111111"/>
          <w:sz w:val="28"/>
          <w:sz w:val="28"/>
          <w:szCs w:val="28"/>
          <w:rtl w:val="true"/>
          <w:lang w:bidi="fa-IR"/>
        </w:rPr>
        <w:t>صورت خزنده، سر از بی دینی و خودپرستی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چنین مشکلی</w:t>
      </w:r>
    </w:p>
    <w:p>
      <w:pPr>
        <w:pStyle w:val="BookText"/>
        <w:rPr/>
      </w:pPr>
      <w:r>
        <w:rPr>
          <w:rFonts w:ascii="IRNazanin" w:hAnsi="IRNazanin" w:eastAsia="IRNazanin"/>
          <w:color w:val="111111"/>
          <w:sz w:val="28"/>
          <w:sz w:val="28"/>
          <w:szCs w:val="28"/>
          <w:rtl w:val="true"/>
          <w:lang w:bidi="fa-IR"/>
        </w:rPr>
        <w:t>قانونگذار باید همواره در تنظیم و تصویب قوانین جدید، به موازین اسلامی و ارزشهای بی بدیل دینی نظر داشته باشد یا حداقل سعی کند قوانین جدید، مخالف با معیارهای اسلامی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به وجود آمدن چنین مشکلی، در قانون اساسی جمهوری اسلامی ایران، اصلی مهم و حساس به عنوان اصل چهارم تدوین شده است که چنین مقرر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قوانین و مقررات مدنی، جزائی، مالی، اقتصادی، اداری، فرهنگی، نظامی، سیاسی و غیر اینها باید بر اساس موازین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بر اطلاق یا عموم همه اصول قانون اساسی و قوانین و مقررات دیگر، حاکم</w:t>
      </w:r>
    </w:p>
    <w:p>
      <w:pPr>
        <w:pStyle w:val="BookText"/>
        <w:rPr/>
      </w:pPr>
      <w:r>
        <w:rPr>
          <w:rFonts w:ascii="IRNazanin" w:hAnsi="IRNazanin" w:eastAsia="IRNazanin"/>
          <w:color w:val="111111"/>
          <w:sz w:val="28"/>
          <w:sz w:val="28"/>
          <w:szCs w:val="28"/>
          <w:rtl w:val="true"/>
          <w:lang w:bidi="fa-IR"/>
        </w:rPr>
        <w:t>است و تشخیص این امر بر عهده فقهای شورای نگهبان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اصل مهم چنین است که قوه مقننه و سایر مراجعی که با اجازه او می توانند</w:t>
      </w:r>
    </w:p>
    <w:p>
      <w:pPr>
        <w:pStyle w:val="BookText"/>
        <w:rPr/>
      </w:pPr>
      <w:r>
        <w:rPr>
          <w:rFonts w:ascii="IRNazanin" w:hAnsi="IRNazanin" w:eastAsia="IRNazanin"/>
          <w:color w:val="111111"/>
          <w:sz w:val="28"/>
          <w:sz w:val="28"/>
          <w:szCs w:val="28"/>
          <w:rtl w:val="true"/>
          <w:lang w:bidi="fa-IR"/>
        </w:rPr>
        <w:t>آیین نامه و مقررات را تدوین و تصویب کنند، باید اسلام و معیارهای آن را برای همیشه و در همه جا به عنوان پایه، منبع و زیربنای تمام قوانین و مصوبات جمهوری اسلامی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و تنظیم هر قانونی، قبلا باید به موازین اسلامی مراجعه گردد و ضوابط و معیارهای اسلامی در آن قسمت بازشناسی شود، سپس قانون بر اساس آن موازین تصویب شود یا دست کم، قانونی بر خلاف موازین اسلامی تصویب و اجرا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موازین اسلامی که در اصول مختلف قانون اساسی به آن اشاره شده است، به طور کامل و دقیق امکان ندارد، مگر از راه آشنایی با علم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w:t>
      </w:r>
    </w:p>
    <w:p>
      <w:pPr>
        <w:pStyle w:val="BookText"/>
        <w:rPr/>
      </w:pPr>
      <w:r>
        <w:rPr>
          <w:rFonts w:ascii="IRNazanin" w:hAnsi="IRNazanin" w:eastAsia="IRNazanin"/>
          <w:color w:val="111111"/>
          <w:sz w:val="28"/>
          <w:sz w:val="28"/>
          <w:szCs w:val="28"/>
          <w:rtl w:val="true"/>
          <w:lang w:bidi="fa-IR"/>
        </w:rPr>
        <w:t>اصول، چیزی جز معیارها و ضوابط استنباط در استخراج احکام نمی باشد، پس آنچه در شناخت موازین اسلامی مهم است، فقط علم فقه است؛ یعنی منحصر کسی می تواند</w:t>
      </w:r>
    </w:p>
    <w:p>
      <w:pPr>
        <w:pStyle w:val="BookText"/>
        <w:rPr/>
      </w:pPr>
      <w:r>
        <w:rPr>
          <w:rFonts w:ascii="IRNazanin" w:hAnsi="IRNazanin" w:eastAsia="IRNazanin"/>
          <w:color w:val="111111"/>
          <w:sz w:val="28"/>
          <w:sz w:val="28"/>
          <w:szCs w:val="28"/>
          <w:rtl w:val="true"/>
          <w:lang w:bidi="fa-IR"/>
        </w:rPr>
        <w:t>مبانی و اصول اسلامی را بشناسد که فقیه باشد و در ابواب مختلف فقه، بحث و تحقیق</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قسمت اخیر اصل چهارم قانون اساسی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این </w:t>
      </w:r>
      <w:bookmarkStart w:id="18" w:name="pg6894_74462"/>
    </w:p>
    <w:p>
      <w:pPr>
        <w:pStyle w:val="BookText"/>
        <w:rPr/>
      </w:pPr>
      <w:bookmarkEnd w:id="18"/>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با موازین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فقهای شورای نگهبان است</w:t>
      </w:r>
      <w:r>
        <w:rPr>
          <w:rFonts w:eastAsia="IRNazanin" w:cs="IRNazanin"/>
          <w:color w:val="111111"/>
          <w:sz w:val="28"/>
          <w:szCs w:val="28"/>
          <w:rtl w:val="true"/>
          <w:lang w:bidi="fa-IR"/>
        </w:rPr>
        <w:t>.</w:t>
      </w:r>
    </w:p>
    <w:p>
      <w:pPr>
        <w:pStyle w:val="Heading2"/>
        <w:numPr>
          <w:ilvl w:val="1"/>
          <w:numId w:val="1"/>
        </w:numPr>
        <w:rPr/>
      </w:pPr>
      <w:bookmarkStart w:id="19" w:name="__RefHeading___Toc1440240_372815092"/>
      <w:bookmarkStart w:id="20" w:name="_Toc6"/>
      <w:bookmarkEnd w:id="19"/>
      <w:r>
        <w:rPr>
          <w:rtl w:val="true"/>
        </w:rPr>
        <w:t>فقه، منبع گرانبهای حقوق</w:t>
      </w:r>
      <w:bookmarkEnd w:id="20"/>
    </w:p>
    <w:p>
      <w:pPr>
        <w:pStyle w:val="Heading3"/>
        <w:numPr>
          <w:ilvl w:val="2"/>
          <w:numId w:val="1"/>
        </w:numPr>
        <w:rPr/>
      </w:pPr>
      <w:bookmarkStart w:id="21" w:name="__RefHeading___Toc1440242_372815092"/>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قانون اساسی جمهوری اسلامی که در اصول مختلف آن با تعابیر متنوعی، معیارها و</w:t>
      </w:r>
    </w:p>
    <w:p>
      <w:pPr>
        <w:pStyle w:val="BookText"/>
        <w:rPr/>
      </w:pPr>
      <w:r>
        <w:rPr>
          <w:rFonts w:ascii="IRNazanin" w:hAnsi="IRNazanin" w:eastAsia="IRNazanin"/>
          <w:color w:val="111111"/>
          <w:sz w:val="28"/>
          <w:sz w:val="28"/>
          <w:szCs w:val="28"/>
          <w:rtl w:val="true"/>
          <w:lang w:bidi="fa-IR"/>
        </w:rPr>
        <w:t xml:space="preserve">ضوابط اسلامی را یاد آوری کرده است و در اصلی، حقوق و اخلاق اسلامی را پایه قرار داده </w:t>
      </w:r>
      <w:r>
        <w:rPr>
          <w:rStyle w:val="FootnoteAnchor"/>
          <w:rtl w:val="true"/>
        </w:rPr>
        <w:footnoteReference w:id="2"/>
      </w:r>
      <w:r>
        <w:rPr>
          <w:rFonts w:ascii="IRNazanin" w:hAnsi="IRNazanin" w:eastAsia="IRNazanin"/>
          <w:color w:val="111111"/>
          <w:sz w:val="28"/>
          <w:sz w:val="28"/>
          <w:szCs w:val="28"/>
          <w:rtl w:val="true"/>
          <w:lang w:bidi="fa-IR"/>
        </w:rPr>
        <w:t xml:space="preserve">و در اصل دیگر، رعایت موازین با مبانی اسلامی را ضروری دانسته </w:t>
      </w:r>
      <w:r>
        <w:rPr>
          <w:rStyle w:val="FootnoteAnchor"/>
          <w:rtl w:val="true"/>
        </w:rPr>
        <w:footnoteReference w:id="3"/>
      </w:r>
      <w:r>
        <w:rPr>
          <w:rFonts w:ascii="IRNazanin" w:hAnsi="IRNazanin" w:eastAsia="IRNazanin"/>
          <w:color w:val="111111"/>
          <w:sz w:val="28"/>
          <w:sz w:val="28"/>
          <w:szCs w:val="28"/>
          <w:rtl w:val="true"/>
          <w:lang w:bidi="fa-IR"/>
        </w:rPr>
        <w:t xml:space="preserve">و در جایی بر عدم مغایرت قوانین با اصول و احکام مذهب تأکید کرده است </w:t>
      </w:r>
      <w:r>
        <w:rPr>
          <w:rStyle w:val="FootnoteAnchor"/>
          <w:rtl w:val="true"/>
        </w:rPr>
        <w:footnoteReference w:id="4"/>
      </w:r>
      <w:r>
        <w:rPr>
          <w:rFonts w:ascii="IRNazanin" w:hAnsi="IRNazanin" w:eastAsia="IRNazanin"/>
          <w:color w:val="111111"/>
          <w:sz w:val="28"/>
          <w:sz w:val="28"/>
          <w:szCs w:val="28"/>
          <w:rtl w:val="true"/>
          <w:lang w:bidi="fa-IR"/>
        </w:rPr>
        <w:t>، خود محل تلاقی حقوق با فقه و نقطه مرکزی پیوند استوار و ارتباط مستحکم میان فقه و حقوق است؛ هر چند که قانون اساسی با تمام فصول و اصولش، تماما بر فقه تکیه زده است و از آن نشأت گرفته است، ولی باز هم در تدوین و تصویب قوانین دیگر، با صراحت، لزوم رعایت موازین و مبانی اسلامی را 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تأكيد، اهمیت کم نظیر فقه و فقاهت در عرصه تدوین قانون، اعم از قانون اساسی و عادی،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فقه از منابع بسیار گران سنگ حقوق در جمهوری اسلامی است که می تواند همچون چشمه جوشانی با زلال جاری خود در تمام عرصه ها آن را سیراب کند و قوانین و مقررات را تر و تازه و کارآمد و مفید نگه دارد</w:t>
      </w:r>
      <w:r>
        <w:rPr>
          <w:rFonts w:eastAsia="IRNazanin" w:cs="IRNazanin"/>
          <w:color w:val="111111"/>
          <w:sz w:val="28"/>
          <w:szCs w:val="28"/>
          <w:rtl w:val="true"/>
          <w:lang w:bidi="fa-IR"/>
        </w:rPr>
        <w:t>.</w:t>
      </w:r>
    </w:p>
    <w:p>
      <w:pPr>
        <w:pStyle w:val="Heading3"/>
        <w:numPr>
          <w:ilvl w:val="2"/>
          <w:numId w:val="1"/>
        </w:numPr>
        <w:rPr/>
      </w:pPr>
      <w:bookmarkStart w:id="23" w:name="__RefHeading___Toc1440244_372815092"/>
      <w:bookmarkStart w:id="24" w:name="_Toc8"/>
      <w:bookmarkEnd w:id="23"/>
      <w:r>
        <w:rPr>
          <w:rtl w:val="true"/>
        </w:rPr>
        <w:t>تعریف فقه</w:t>
      </w:r>
      <w:bookmarkEnd w:id="24"/>
    </w:p>
    <w:p>
      <w:pPr>
        <w:pStyle w:val="BookText"/>
        <w:rPr/>
      </w:pPr>
      <w:r>
        <w:rPr>
          <w:rFonts w:ascii="IRNazanin" w:hAnsi="IRNazanin" w:eastAsia="IRNazanin"/>
          <w:color w:val="111111"/>
          <w:sz w:val="28"/>
          <w:sz w:val="28"/>
          <w:szCs w:val="28"/>
          <w:rtl w:val="true"/>
          <w:lang w:bidi="fa-IR"/>
        </w:rPr>
        <w:t>فقه در لغت به معنای فهم عمیق است که پس از تأمل و دقت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w:t>
      </w:r>
    </w:p>
    <w:p>
      <w:pPr>
        <w:pStyle w:val="BookText"/>
        <w:rPr/>
      </w:pPr>
      <w:r>
        <w:rPr>
          <w:rFonts w:ascii="IRNazanin" w:hAnsi="IRNazanin" w:eastAsia="IRNazanin"/>
          <w:color w:val="111111"/>
          <w:sz w:val="28"/>
          <w:sz w:val="28"/>
          <w:szCs w:val="28"/>
          <w:rtl w:val="true"/>
          <w:lang w:bidi="fa-IR"/>
        </w:rPr>
        <w:t>اصفهانی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التفقه هو التوصل الى علم غائب بعلم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تفقه دست</w:t>
      </w:r>
    </w:p>
    <w:p>
      <w:pPr>
        <w:pStyle w:val="BookText"/>
        <w:rPr/>
      </w:pPr>
      <w:r>
        <w:rPr>
          <w:rFonts w:ascii="IRNazanin" w:hAnsi="IRNazanin" w:eastAsia="IRNazanin"/>
          <w:color w:val="111111"/>
          <w:sz w:val="28"/>
          <w:sz w:val="28"/>
          <w:szCs w:val="28"/>
          <w:rtl w:val="true"/>
          <w:lang w:bidi="fa-IR"/>
        </w:rPr>
        <w:t>یافتن به مجهول با تکیه بر معلوم یا رسیدن به باطن چیزی است با عبور از ظاهر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فقه عبارت است از فهم دقیق در مسائل نظری و در اصطلاح، فقه</w:t>
      </w:r>
    </w:p>
    <w:p>
      <w:pPr>
        <w:pStyle w:val="BookText"/>
        <w:rPr/>
      </w:pPr>
      <w:r>
        <w:rPr>
          <w:rFonts w:ascii="IRNazanin" w:hAnsi="IRNazanin" w:eastAsia="IRNazanin"/>
          <w:color w:val="111111"/>
          <w:sz w:val="28"/>
          <w:sz w:val="28"/>
          <w:szCs w:val="28"/>
          <w:rtl w:val="true"/>
          <w:lang w:bidi="fa-IR"/>
        </w:rPr>
        <w:t>عبارت است از واقف شدن بر احکام فرعی شرعی از روی ادله تفصیلی آن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فقه، مطلق دانستن احکام نیست، بلکه دانستن استدلالی احکام است؛ </w:t>
      </w:r>
      <w:bookmarkStart w:id="25" w:name="pg6894_74463"/>
    </w:p>
    <w:p>
      <w:pPr>
        <w:pStyle w:val="BookText"/>
        <w:rPr/>
      </w:pPr>
      <w:bookmarkEnd w:id="25"/>
      <w:r>
        <w:rPr>
          <w:rFonts w:ascii="IRNazanin" w:hAnsi="IRNazanin" w:eastAsia="IRNazanin"/>
          <w:color w:val="111111"/>
          <w:sz w:val="28"/>
          <w:sz w:val="28"/>
          <w:szCs w:val="28"/>
          <w:rtl w:val="true"/>
          <w:lang w:bidi="fa-IR"/>
        </w:rPr>
        <w:t>چون موضوع فقه، تمام افعال و اعمال مكلفان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فقیه با آشنایی با فقه، حکم تمام افعال و تروک افراد مكلف را می داند و در زمینه های مختلف مدنی، جزائی، مالی، اقتصادی، اداری، فرهنگی، نظامی و سیاسی می تواند احکام آن را بر اساس موازین اسلامی بشناسد</w:t>
      </w:r>
      <w:r>
        <w:rPr>
          <w:rFonts w:eastAsia="IRNazanin" w:cs="IRNazanin"/>
          <w:color w:val="111111"/>
          <w:sz w:val="28"/>
          <w:szCs w:val="28"/>
          <w:rtl w:val="true"/>
          <w:lang w:bidi="fa-IR"/>
        </w:rPr>
        <w:t>.</w:t>
      </w:r>
    </w:p>
    <w:p>
      <w:pPr>
        <w:pStyle w:val="Heading2"/>
        <w:numPr>
          <w:ilvl w:val="1"/>
          <w:numId w:val="1"/>
        </w:numPr>
        <w:rPr/>
      </w:pPr>
      <w:bookmarkStart w:id="26" w:name="__RefHeading___Toc1440246_372815092"/>
      <w:bookmarkStart w:id="27" w:name="_Toc9"/>
      <w:bookmarkEnd w:id="26"/>
      <w:r>
        <w:rPr>
          <w:rtl w:val="true"/>
        </w:rPr>
        <w:t>مقالات کتاب</w:t>
      </w:r>
      <w:bookmarkEnd w:id="27"/>
    </w:p>
    <w:p>
      <w:pPr>
        <w:pStyle w:val="Heading3"/>
        <w:numPr>
          <w:ilvl w:val="2"/>
          <w:numId w:val="1"/>
        </w:numPr>
        <w:rPr/>
      </w:pPr>
      <w:bookmarkStart w:id="28" w:name="__RefHeading___Toc1440248_372815092"/>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با توجه به اهمیت فقه و میزان بودن آن در تدوین و تصویب قوانین و مقررات، جمعی از پژوهشگران پر تلاش و آشنا به مسائل فقهی، مقالاتی را تدوین و تنظیم کرده اند که در بخشی از آنها صرفا مباحث فقهی را عنوان نموده اند و در برخی از مقالات، مسائل حقوقی را از زاویه انطباق و عدم انطباق آن با موازین فقهی، مورد بررسی قرار داده اند که در کل می توان گفت جمعأ مسائل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مورد تجزیه و تحلیل قرار گرفته است که سعی و تحقیق هر یک از این پژوهشگران، جای تقدیر و تحسین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حاصل جمع آن مقالات است، دارای هفت مقاله با عناوین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قانون اصلاح مقررات طلاق و مبانی فقهی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حاکم از دیدگاه فقیهان متأخر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محاربه و افساد في الارض در فقه و قوانین کیفری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در اسلام و اعلامیه جهانی حقوق بشر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اقلیتها در اسلام و اعلامیه های حقوق بشر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اموال فرهنگی به هنگام نزاع مسلحانه</w:t>
      </w:r>
    </w:p>
    <w:p>
      <w:pPr>
        <w:pStyle w:val="BookText"/>
        <w:rPr/>
      </w:pPr>
      <w:r>
        <w:rPr>
          <w:rFonts w:ascii="IRNazanin" w:hAnsi="IRNazanin" w:eastAsia="IRNazanin"/>
          <w:color w:val="111111"/>
          <w:sz w:val="28"/>
          <w:sz w:val="28"/>
          <w:szCs w:val="28"/>
          <w:rtl w:val="true"/>
          <w:lang w:bidi="fa-IR"/>
        </w:rPr>
        <w:t>اکنون نگاهی کوتاه و گذرا به هر یک از مقالات می اندازیم تا به طور اجمال با محتوای آن مقالات آشنا شویم</w:t>
      </w:r>
      <w:r>
        <w:rPr>
          <w:rFonts w:eastAsia="IRNazanin" w:cs="IRNazanin"/>
          <w:color w:val="111111"/>
          <w:sz w:val="28"/>
          <w:szCs w:val="28"/>
          <w:rtl w:val="true"/>
          <w:lang w:bidi="fa-IR"/>
        </w:rPr>
        <w:t>:</w:t>
      </w:r>
    </w:p>
    <w:p>
      <w:pPr>
        <w:pStyle w:val="Heading3"/>
        <w:numPr>
          <w:ilvl w:val="2"/>
          <w:numId w:val="1"/>
        </w:numPr>
        <w:rPr/>
      </w:pPr>
      <w:bookmarkStart w:id="30" w:name="__RefHeading___Toc1440250_372815092"/>
      <w:bookmarkStart w:id="31" w:name="_Toc11"/>
      <w:bookmarkEnd w:id="30"/>
      <w:r>
        <w:rPr/>
        <w:t>1</w:t>
      </w:r>
      <w:r>
        <w:rPr>
          <w:rtl w:val="true"/>
        </w:rPr>
        <w:t xml:space="preserve">. </w:t>
      </w:r>
      <w:r>
        <w:rPr>
          <w:rtl w:val="true"/>
        </w:rPr>
        <w:t>تحلیلی از قانون اصلاح مقررات طلاق و مبانی فقهی آن</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1370/12/21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ماده واحده ای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w:t>
      </w:r>
    </w:p>
    <w:p>
      <w:pPr>
        <w:pStyle w:val="BookText"/>
        <w:rPr/>
      </w:pPr>
      <w:r>
        <w:rPr>
          <w:rFonts w:ascii="IRNazanin" w:hAnsi="IRNazanin" w:eastAsia="IRNazanin"/>
          <w:color w:val="111111"/>
          <w:sz w:val="28"/>
          <w:sz w:val="28"/>
          <w:szCs w:val="28"/>
          <w:rtl w:val="true"/>
          <w:lang w:bidi="fa-IR"/>
        </w:rPr>
        <w:t>اصلاح مقررات مربوط به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تصویب کرد که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مورد موافقت شورای نگهبان قرار نگرفت و در نهایت، به مجمع تشخیص مصلحت نظام برده شد و در آن جا مورد بررسی قرار گرفت و سرانجام، تبصره مزبور در تاریخ </w:t>
      </w:r>
      <w:r>
        <w:rPr>
          <w:rFonts w:eastAsia="IRNazanin" w:cs="IRNazanin"/>
          <w:color w:val="111111"/>
          <w:sz w:val="28"/>
          <w:szCs w:val="28"/>
          <w:lang w:bidi="fa-IR"/>
        </w:rPr>
        <w:t>1371/8/28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ماده واحده، هر چند که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می باشد، ولی به جز ماده واحده، تنها</w:t>
      </w:r>
    </w:p>
    <w:p>
      <w:pPr>
        <w:pStyle w:val="BookText"/>
        <w:rPr/>
      </w:pPr>
      <w:r>
        <w:rPr>
          <w:rFonts w:ascii="IRNazanin" w:hAnsi="IRNazanin" w:eastAsia="IRNazanin"/>
          <w:color w:val="111111"/>
          <w:sz w:val="28"/>
          <w:sz w:val="28"/>
          <w:szCs w:val="28"/>
          <w:rtl w:val="true"/>
          <w:lang w:bidi="fa-IR"/>
        </w:rPr>
        <w:t xml:space="preserve">تبصره 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واجد بحث فقهی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واحده به طور خلاصه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قصد جدایی از یکدیگر را دارند، باید جهت رسیدگی به اختلاف خود، در دادگاه مدنی خاص، اقامه دعوی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اختلاف فيمابین از طریق دادگاه و حکمین حل و فصل نگردید، دادگاه با صدور</w:t>
      </w:r>
    </w:p>
    <w:p>
      <w:pPr>
        <w:pStyle w:val="BookText"/>
        <w:rPr/>
      </w:pPr>
      <w:r>
        <w:rPr>
          <w:rFonts w:ascii="IRNazanin" w:hAnsi="IRNazanin" w:eastAsia="IRNazanin"/>
          <w:color w:val="111111"/>
          <w:sz w:val="28"/>
          <w:sz w:val="28"/>
          <w:szCs w:val="28"/>
          <w:rtl w:val="true"/>
          <w:lang w:bidi="fa-IR"/>
        </w:rPr>
        <w:t>گواهی عدم امکان سازش، آنان را به دفاتر رسمی طلاق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رسمی</w:t>
      </w:r>
    </w:p>
    <w:p>
      <w:pPr>
        <w:pStyle w:val="BookText"/>
        <w:rPr/>
      </w:pPr>
      <w:r>
        <w:rPr>
          <w:rFonts w:ascii="IRNazanin" w:hAnsi="IRNazanin" w:eastAsia="IRNazanin"/>
          <w:color w:val="111111"/>
          <w:sz w:val="28"/>
          <w:sz w:val="28"/>
          <w:szCs w:val="28"/>
          <w:rtl w:val="true"/>
          <w:lang w:bidi="fa-IR"/>
        </w:rPr>
        <w:t>طلاق، حق ثبت طلاقهایی را که گواهی عدم امکان سازش برای آنها صادر نشده است، ندارند و الا از سردفتر خاطی سلب صلاحیت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کتبی مبنی بر عدم امکان سازش با توجه به کلیه شروط ضمن عقد</w:t>
      </w:r>
    </w:p>
    <w:p>
      <w:pPr>
        <w:pStyle w:val="BookText"/>
        <w:rPr/>
      </w:pPr>
      <w:r>
        <w:rPr>
          <w:rFonts w:ascii="IRNazanin" w:hAnsi="IRNazanin" w:eastAsia="IRNazanin"/>
          <w:color w:val="111111"/>
          <w:sz w:val="28"/>
          <w:sz w:val="28"/>
          <w:szCs w:val="28"/>
          <w:rtl w:val="true"/>
          <w:lang w:bidi="fa-IR"/>
        </w:rPr>
        <w:t>و مطالب مندرج در اسناد ازدواج و تعیین تکلیف و صلاحیت سرپرستی فرزندان و حل و فصل مسائل مالی با امضای حکمین شوهر و زن مطلقه و همچنین گواهی کتبی سلامت روانی زوجین در صورتی که برای دادگاه مدنی خاص، مشکوک باشد، به دادگاه باید تحویل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صیغه طلاق و ثبت آن در دفتر، موکول به تأدیه حقوق شرعی و</w:t>
      </w:r>
    </w:p>
    <w:p>
      <w:pPr>
        <w:pStyle w:val="BookText"/>
        <w:rPr/>
      </w:pPr>
      <w:r>
        <w:rPr>
          <w:rFonts w:ascii="IRNazanin" w:hAnsi="IRNazanin" w:eastAsia="IRNazanin"/>
          <w:color w:val="111111"/>
          <w:sz w:val="28"/>
          <w:sz w:val="28"/>
          <w:szCs w:val="28"/>
          <w:rtl w:val="true"/>
          <w:lang w:bidi="fa-IR"/>
        </w:rPr>
        <w:t>قانونی زوجه به صورت نقد می باشد، مگر در طلاق خلع یا مبارات و یا رضایت زوجه و یا صدور حکم قطعی اعسار شوهر از پرداخت حقوق فوق 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طلاق، در صورت درخواست زوجه مبنی بر مطالبه حق الزحمه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کارهایی که شرع به عهده وی نبوده است، دادگاه بدوا از طریق تصالح، نسبت به تأمین خواسته زوجه اقدام می نماید و در صورت عدم امکان تصالح، چنانچه ضمن عقد یا عقد خارج لازم در خصوص امور مالی، شرطی شده باشد، طبق آن عمل می شود، در غیر این صورت، هرگاه طلاق بنا به درخواست زوجه نباشد و نیز تقاضای طلاق، ناشی از تخلف </w:t>
      </w:r>
      <w:bookmarkStart w:id="32" w:name="pg6894_74465"/>
    </w:p>
    <w:p>
      <w:pPr>
        <w:pStyle w:val="BookText"/>
        <w:rPr/>
      </w:pPr>
      <w:bookmarkEnd w:id="32"/>
      <w:r>
        <w:rPr>
          <w:rFonts w:ascii="IRNazanin" w:hAnsi="IRNazanin" w:eastAsia="IRNazanin"/>
          <w:color w:val="111111"/>
          <w:sz w:val="28"/>
          <w:sz w:val="28"/>
          <w:szCs w:val="28"/>
          <w:rtl w:val="true"/>
          <w:lang w:bidi="fa-IR"/>
        </w:rPr>
        <w:t>زن از وظایف همسری یا سوء اخلاق و رفتار وی نباشد، به ترتیب زیر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زوجه کارهایی که شرعا به عهده وی نبوده، به دستور زوج و با عدم</w:t>
      </w:r>
    </w:p>
    <w:p>
      <w:pPr>
        <w:pStyle w:val="BookText"/>
        <w:rPr/>
      </w:pPr>
      <w:r>
        <w:rPr>
          <w:rFonts w:ascii="IRNazanin" w:hAnsi="IRNazanin" w:eastAsia="IRNazanin"/>
          <w:color w:val="111111"/>
          <w:sz w:val="28"/>
          <w:sz w:val="28"/>
          <w:szCs w:val="28"/>
          <w:rtl w:val="true"/>
          <w:lang w:bidi="fa-IR"/>
        </w:rPr>
        <w:t>قصد تبرع انجام داده باشد و برای دادگاه نیز ثابت شود، دادگاه اجرت المثل کارهای</w:t>
      </w:r>
    </w:p>
    <w:p>
      <w:pPr>
        <w:pStyle w:val="BookText"/>
        <w:rPr/>
      </w:pPr>
      <w:r>
        <w:rPr>
          <w:rFonts w:ascii="IRNazanin" w:hAnsi="IRNazanin" w:eastAsia="IRNazanin"/>
          <w:color w:val="111111"/>
          <w:sz w:val="28"/>
          <w:sz w:val="28"/>
          <w:szCs w:val="28"/>
          <w:rtl w:val="true"/>
          <w:lang w:bidi="fa-IR"/>
        </w:rPr>
        <w:t>انجام گرفته را محاسبه و به پرداخت آن 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مورد بند الف، با توجه به سنوات زندگی مشترک و نوع کارهایی که</w:t>
      </w:r>
    </w:p>
    <w:p>
      <w:pPr>
        <w:pStyle w:val="BookText"/>
        <w:rPr/>
      </w:pPr>
      <w:r>
        <w:rPr>
          <w:rFonts w:ascii="IRNazanin" w:hAnsi="IRNazanin" w:eastAsia="IRNazanin"/>
          <w:color w:val="111111"/>
          <w:sz w:val="28"/>
          <w:sz w:val="28"/>
          <w:szCs w:val="28"/>
          <w:rtl w:val="true"/>
          <w:lang w:bidi="fa-IR"/>
        </w:rPr>
        <w:t>زوجه در خانه شوهر انجام داده و وسع مالی زوج، دادگاه مبلغی را از باب بخشش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زوجه تعیین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ماده واحده و تبصره های آن، در این مقاله به ضرورت تقدیم داد خواست و اقامه دعوی در دادگاه خانواده درباره زوجهایی که قصد جدایی دارند،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درباره تطبيق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قواعد فقهی، به صورت مستدل، موضوع را شکافته و توضیح کافی در این باره داده است که مطالعه آن درباره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های ذی قیمتی به خواننده می دهد</w:t>
      </w:r>
      <w:r>
        <w:rPr>
          <w:rFonts w:eastAsia="IRNazanin" w:cs="IRNazanin"/>
          <w:color w:val="111111"/>
          <w:sz w:val="28"/>
          <w:szCs w:val="28"/>
          <w:rtl w:val="true"/>
          <w:lang w:bidi="fa-IR"/>
        </w:rPr>
        <w:t>.</w:t>
      </w:r>
    </w:p>
    <w:p>
      <w:pPr>
        <w:pStyle w:val="Heading3"/>
        <w:numPr>
          <w:ilvl w:val="2"/>
          <w:numId w:val="1"/>
        </w:numPr>
        <w:rPr/>
      </w:pPr>
      <w:bookmarkStart w:id="33" w:name="__RefHeading___Toc1440252_372815092"/>
      <w:bookmarkStart w:id="34" w:name="_Toc12"/>
      <w:bookmarkEnd w:id="33"/>
      <w:r>
        <w:rPr/>
        <w:t>2</w:t>
      </w:r>
      <w:r>
        <w:rPr>
          <w:rtl w:val="true"/>
        </w:rPr>
        <w:t xml:space="preserve">. </w:t>
      </w:r>
      <w:r>
        <w:rPr>
          <w:rtl w:val="true"/>
        </w:rPr>
        <w:t>طلاق حاكم از دیدگاه فقیهان متأخر</w:t>
      </w:r>
      <w:bookmarkEnd w:id="34"/>
    </w:p>
    <w:p>
      <w:pPr>
        <w:pStyle w:val="BookText"/>
        <w:rPr/>
      </w:pPr>
      <w:r>
        <w:rPr>
          <w:rFonts w:ascii="IRNazanin" w:hAnsi="IRNazanin" w:eastAsia="IRNazanin"/>
          <w:color w:val="111111"/>
          <w:sz w:val="28"/>
          <w:sz w:val="28"/>
          <w:szCs w:val="28"/>
          <w:rtl w:val="true"/>
          <w:lang w:bidi="fa-IR"/>
        </w:rPr>
        <w:t>طلاق، رخداد متارکه میان زن و شوهر است، ولی همین حادثه، گاهی از نگاه زن تنها، یا شوهر تنها، بویژه از چشم اطفال بی گناه خانواده، نغمه پرسوز جدایی است که در گوش آنان نواخته می شود و نماد ریزش کاخ عطوفت و محبت و مظهر بر باد رفتن آرزوهای شیرین زندگی خانوادگی است که جسم و جان آنان را آکنده از تلخی و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لحظاتی در زندگی پیش می آید که طلاق با همه پیامدهای دردآور و غمبارش، برای زن ستمدیده به منزله سرود فرح بخش رهایی است که او را از دنیای سختی و عسرت، تحقیر و خفت و درد و مصیبت آزاد می سازد و همچون کبوتری از قفس تنگ بدبختی رها شده و در فضای آزاد و بی کرانه آسمان آبی به پرواز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تصور کنید که از محبت، عاری و از کرامت، خالی و از مردانگی و شرف،</w:t>
      </w:r>
    </w:p>
    <w:p>
      <w:pPr>
        <w:pStyle w:val="BookText"/>
        <w:rPr/>
      </w:pPr>
      <w:r>
        <w:rPr>
          <w:rFonts w:ascii="IRNazanin" w:hAnsi="IRNazanin" w:eastAsia="IRNazanin"/>
          <w:color w:val="111111"/>
          <w:sz w:val="28"/>
          <w:sz w:val="28"/>
          <w:szCs w:val="28"/>
          <w:rtl w:val="true"/>
          <w:lang w:bidi="fa-IR"/>
        </w:rPr>
        <w:t>تھی است و دچار احساس زشت مردم آزاری است و همسر خود را به جای این که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شریک و غمخوار زندگی بداند، وسیله ای برای ارضای تمام حقارتها و ذلتها و </w:t>
      </w:r>
      <w:bookmarkStart w:id="35" w:name="pg6894_74466"/>
    </w:p>
    <w:p>
      <w:pPr>
        <w:pStyle w:val="BookText"/>
        <w:rPr/>
      </w:pPr>
      <w:bookmarkEnd w:id="35"/>
      <w:r>
        <w:rPr>
          <w:rFonts w:ascii="IRNazanin" w:hAnsi="IRNazanin" w:eastAsia="IRNazanin"/>
          <w:color w:val="111111"/>
          <w:sz w:val="28"/>
          <w:sz w:val="28"/>
          <w:szCs w:val="28"/>
          <w:rtl w:val="true"/>
          <w:lang w:bidi="fa-IR"/>
        </w:rPr>
        <w:t>خودخواهی ها و نامردی های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نه از موضع یک شریک مهربان،</w:t>
      </w:r>
    </w:p>
    <w:p>
      <w:pPr>
        <w:pStyle w:val="BookText"/>
        <w:rPr/>
      </w:pPr>
      <w:r>
        <w:rPr>
          <w:rFonts w:ascii="IRNazanin" w:hAnsi="IRNazanin" w:eastAsia="IRNazanin"/>
          <w:color w:val="111111"/>
          <w:sz w:val="28"/>
          <w:sz w:val="28"/>
          <w:szCs w:val="28"/>
          <w:rtl w:val="true"/>
          <w:lang w:bidi="fa-IR"/>
        </w:rPr>
        <w:t>بلکه از موضع یک خودکامه جبار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نفقه، از خود خست به</w:t>
      </w:r>
    </w:p>
    <w:p>
      <w:pPr>
        <w:pStyle w:val="BookText"/>
        <w:rPr/>
      </w:pPr>
      <w:r>
        <w:rPr>
          <w:rFonts w:ascii="IRNazanin" w:hAnsi="IRNazanin" w:eastAsia="IRNazanin"/>
          <w:color w:val="111111"/>
          <w:sz w:val="28"/>
          <w:sz w:val="28"/>
          <w:szCs w:val="28"/>
          <w:rtl w:val="true"/>
          <w:lang w:bidi="fa-IR"/>
        </w:rPr>
        <w:t>خرج می دهد و در برابر همسر ضعیف، از خود شقاوت و خشونت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زمان برخورد با همسرش، همیشه دستش با شلاق و چوب و زبانش با اهانت و فحش و چهره اش با اخم و گرفتگی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 را در جهنم خودخواهی و شقاوت و</w:t>
      </w:r>
    </w:p>
    <w:p>
      <w:pPr>
        <w:pStyle w:val="BookText"/>
        <w:rPr/>
      </w:pPr>
      <w:r>
        <w:rPr>
          <w:rFonts w:ascii="IRNazanin" w:hAnsi="IRNazanin" w:eastAsia="IRNazanin"/>
          <w:color w:val="111111"/>
          <w:sz w:val="28"/>
          <w:sz w:val="28"/>
          <w:szCs w:val="28"/>
          <w:rtl w:val="true"/>
          <w:lang w:bidi="fa-IR"/>
        </w:rPr>
        <w:t>خفت و خشت، مبتلا می بیند و هر چه تلاش می کند خود را از این جهنم که به نام خانه در آن گرفتار آمده خلاص کند،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دست مرد است و مرد می خواهد همچنان از وجود او سوءاستفاده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ولی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میدان می گذارد و آن زن بی پناه را از این عسر و حرج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درباره چنین مواردی بحث می شود که شوهر با سوءرفتار و اخلاق خود یا با ترک انفاق یا محکومیت پنج ساله و ده ساله یا با غیبت چندین ساله، حاضر نیست همسرش را به حساب آورد و مشکلات زندگی او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موردی که مرد غایب، مفقودالاثر شده و زن همچنان بلاتکلیف مانده است و بیان می کند که در این گونه مشکلات، این حاکم شرع است که به ولایت از ناحيه ممتنع، با اجرای طلاق، زن را از عسرت و گرفتاری نجات می دهد که تفصیل این مطلب را باید در خود مقاله خواند و استفاده کرد</w:t>
      </w:r>
      <w:r>
        <w:rPr>
          <w:rFonts w:eastAsia="IRNazanin" w:cs="IRNazanin"/>
          <w:color w:val="111111"/>
          <w:sz w:val="28"/>
          <w:szCs w:val="28"/>
          <w:rtl w:val="true"/>
          <w:lang w:bidi="fa-IR"/>
        </w:rPr>
        <w:t>.</w:t>
      </w:r>
    </w:p>
    <w:p>
      <w:pPr>
        <w:pStyle w:val="Heading3"/>
        <w:numPr>
          <w:ilvl w:val="2"/>
          <w:numId w:val="1"/>
        </w:numPr>
        <w:rPr/>
      </w:pPr>
      <w:bookmarkStart w:id="36" w:name="__RefHeading___Toc1440254_372815092"/>
      <w:bookmarkStart w:id="37" w:name="_Toc13"/>
      <w:bookmarkEnd w:id="36"/>
      <w:r>
        <w:rPr/>
        <w:t>3</w:t>
      </w:r>
      <w:r>
        <w:rPr>
          <w:rtl w:val="true"/>
        </w:rPr>
        <w:t xml:space="preserve">. </w:t>
      </w:r>
      <w:r>
        <w:rPr>
          <w:rtl w:val="true"/>
        </w:rPr>
        <w:t>محاربه و افساد فی الارض در فقه و قوانین کیفری</w:t>
      </w:r>
      <w:bookmarkEnd w:id="37"/>
    </w:p>
    <w:p>
      <w:pPr>
        <w:pStyle w:val="BookText"/>
        <w:rPr/>
      </w:pPr>
      <w:r>
        <w:rPr>
          <w:rFonts w:ascii="IRNazanin" w:hAnsi="IRNazanin" w:eastAsia="IRNazanin"/>
          <w:color w:val="111111"/>
          <w:sz w:val="28"/>
          <w:sz w:val="28"/>
          <w:szCs w:val="28"/>
          <w:rtl w:val="true"/>
          <w:lang w:bidi="fa-IR"/>
        </w:rPr>
        <w:t>یکی از عناصر بسیار مهم برای تداوم جامعه،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برای جامعه، همچون هوا برای تنفس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 افراد جامعه وقتی ممکن است که هوا برای تنفس آنان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 وقتی می تواند برقرار باشد که احساس امنیت، فضای جامعه را آکنده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مهمترین وظایف هر نظام اجتماعی آن است که امنیت را برای افراد خود تأمین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امنیت در بقای جامعه، آنقدر نقش حساسی قائل است که به هم زدن امنیت افراد را در جامعه از سوی هر کسی، به منزله اعلام جنگ با خداوند متعال و پیامبر </w:t>
      </w:r>
      <w:bookmarkStart w:id="38" w:name="pg6894_74467"/>
    </w:p>
    <w:p>
      <w:pPr>
        <w:pStyle w:val="BookText"/>
        <w:rPr/>
      </w:pPr>
      <w:bookmarkEnd w:id="38"/>
      <w:r>
        <w:rPr>
          <w:rFonts w:ascii="IRNazanin" w:hAnsi="IRNazanin" w:eastAsia="IRNazanin"/>
          <w:color w:val="111111"/>
          <w:sz w:val="28"/>
          <w:sz w:val="28"/>
          <w:szCs w:val="28"/>
          <w:rtl w:val="true"/>
          <w:lang w:bidi="fa-IR"/>
        </w:rPr>
        <w:t xml:space="preserve">بزرگوارش دانسته است و برای سالب امنیت اجتماعی، کیفر بسیار سختی در نظر گرفته است که کیفر آن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کیفر کسانی که با خدا و رسولش محاربه می کنند و فساد را در زمین می گسترند، آن است که کشته شوند یا به دار آویخته گردند یا دست و پای آنان به طور مخالف قطع گردد یا از سرزمین خود طرد و تبعید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استفاده از این آیه خواسته اند بگویند که در آیه به دو نوع جرم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محاربه و دیگری افساد في الأرض و هر یک از این دو جرم، چهار نوع کیفر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صلب، قطع دست و پا به طور خلاف و نفی بلد، ولی نویسنده محترم در این مقاله بر این نکته پای فشرده است که آیه به دو نوع جرم اشاره ندارد، بلکه تمام آیه درباره جرم محاربه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محاربه با خداوند و رسول عبارت است از این که در زمین فساد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محاربه با خدا و رسول مجمل می شود؛ بویژه که محاربه با خداوند</w:t>
      </w:r>
    </w:p>
    <w:p>
      <w:pPr>
        <w:pStyle w:val="BookText"/>
        <w:rPr/>
      </w:pPr>
      <w:r>
        <w:rPr>
          <w:rFonts w:ascii="IRNazanin" w:hAnsi="IRNazanin" w:eastAsia="IRNazanin"/>
          <w:color w:val="111111"/>
          <w:sz w:val="28"/>
          <w:sz w:val="28"/>
          <w:szCs w:val="28"/>
          <w:rtl w:val="true"/>
          <w:lang w:bidi="fa-IR"/>
        </w:rPr>
        <w:t>مسلما نمی تواند به معنای حقیقی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 و افساد في الارض در فقه و قوانین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عنوانش</w:t>
      </w:r>
    </w:p>
    <w:p>
      <w:pPr>
        <w:pStyle w:val="BookText"/>
        <w:rPr/>
      </w:pPr>
      <w:r>
        <w:rPr>
          <w:rFonts w:ascii="IRNazanin" w:hAnsi="IRNazanin" w:eastAsia="IRNazanin"/>
          <w:color w:val="111111"/>
          <w:sz w:val="28"/>
          <w:sz w:val="28"/>
          <w:szCs w:val="28"/>
          <w:rtl w:val="true"/>
          <w:lang w:bidi="fa-IR"/>
        </w:rPr>
        <w:t>پیداست،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فقهی و دیگری بعد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محترم در</w:t>
      </w:r>
    </w:p>
    <w:p>
      <w:pPr>
        <w:pStyle w:val="BookText"/>
        <w:rPr/>
      </w:pPr>
      <w:r>
        <w:rPr>
          <w:rFonts w:ascii="IRNazanin" w:hAnsi="IRNazanin" w:eastAsia="IRNazanin"/>
          <w:color w:val="111111"/>
          <w:sz w:val="28"/>
          <w:sz w:val="28"/>
          <w:szCs w:val="28"/>
          <w:rtl w:val="true"/>
          <w:lang w:bidi="fa-IR"/>
        </w:rPr>
        <w:t>هر دو بعد، به اندازه مجال و فرصتی که داشته، خوب و مستدل، بحث را به پایان برده است</w:t>
      </w:r>
      <w:r>
        <w:rPr>
          <w:rFonts w:eastAsia="IRNazanin" w:cs="IRNazanin"/>
          <w:color w:val="111111"/>
          <w:sz w:val="28"/>
          <w:szCs w:val="28"/>
          <w:rtl w:val="true"/>
          <w:lang w:bidi="fa-IR"/>
        </w:rPr>
        <w:t>.</w:t>
      </w:r>
    </w:p>
    <w:p>
      <w:pPr>
        <w:pStyle w:val="Heading3"/>
        <w:numPr>
          <w:ilvl w:val="2"/>
          <w:numId w:val="1"/>
        </w:numPr>
        <w:rPr/>
      </w:pPr>
      <w:bookmarkStart w:id="39" w:name="__RefHeading___Toc1440256_372815092"/>
      <w:bookmarkStart w:id="40" w:name="_Toc14"/>
      <w:bookmarkEnd w:id="39"/>
      <w:r>
        <w:rPr/>
        <w:t>4</w:t>
      </w:r>
      <w:r>
        <w:rPr>
          <w:rtl w:val="true"/>
        </w:rPr>
        <w:t xml:space="preserve">. </w:t>
      </w:r>
      <w:r>
        <w:rPr>
          <w:rtl w:val="true"/>
        </w:rPr>
        <w:t>ارتداد</w:t>
      </w:r>
      <w:bookmarkEnd w:id="40"/>
    </w:p>
    <w:p>
      <w:pPr>
        <w:pStyle w:val="BookText"/>
        <w:rPr/>
      </w:pPr>
      <w:r>
        <w:rPr>
          <w:rFonts w:ascii="IRNazanin" w:hAnsi="IRNazanin" w:eastAsia="IRNazanin"/>
          <w:color w:val="111111"/>
          <w:sz w:val="28"/>
          <w:sz w:val="28"/>
          <w:szCs w:val="28"/>
          <w:rtl w:val="true"/>
          <w:lang w:bidi="fa-IR"/>
        </w:rPr>
        <w:t>حقیقت، گرانبهاترین گم شده انسان است و حقیقت خواهی، امری است که در باطن هر</w:t>
      </w:r>
    </w:p>
    <w:p>
      <w:pPr>
        <w:pStyle w:val="BookText"/>
        <w:rPr/>
      </w:pPr>
      <w:r>
        <w:rPr>
          <w:rFonts w:ascii="IRNazanin" w:hAnsi="IRNazanin" w:eastAsia="IRNazanin"/>
          <w:color w:val="111111"/>
          <w:sz w:val="28"/>
          <w:sz w:val="28"/>
          <w:szCs w:val="28"/>
          <w:rtl w:val="true"/>
          <w:lang w:bidi="fa-IR"/>
        </w:rPr>
        <w:t>انسانی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تشنه حقیقت است، در تمام عمرش در جستجوی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تا خود را از چشمه زلال آن سیراب کند و وقتی خود را از حقیقت جدا می یابد و حق را در وجود خود نمی یابد، بی اختیار دچار تشویش و اضطراب می شود، برای این که تمایل به تن پروری و تنبلی، او را از طلب حقیقت باز ندارد، خداوند متعال حس مرموز کنجکاوی را در وجود او تعبیه کرده است تا همواره در جستجوی حقیقت، پرتلاش و </w:t>
      </w:r>
      <w:bookmarkStart w:id="41" w:name="pg6894_74468"/>
    </w:p>
    <w:p>
      <w:pPr>
        <w:pStyle w:val="BookText"/>
        <w:rPr/>
      </w:pPr>
      <w:bookmarkEnd w:id="41"/>
      <w:r>
        <w:rPr>
          <w:rFonts w:ascii="IRNazanin" w:hAnsi="IRNazanin" w:eastAsia="IRNazanin"/>
          <w:color w:val="111111"/>
          <w:sz w:val="28"/>
          <w:sz w:val="28"/>
          <w:szCs w:val="28"/>
          <w:rtl w:val="true"/>
          <w:lang w:bidi="fa-IR"/>
        </w:rPr>
        <w:t>پرنشاط باقی بماند، به هر جا سر بکشد و به هر چیزی چشم بدوزد و به هر صدایی</w:t>
      </w:r>
    </w:p>
    <w:p>
      <w:pPr>
        <w:pStyle w:val="BookText"/>
        <w:rPr/>
      </w:pPr>
      <w:r>
        <w:rPr>
          <w:rFonts w:ascii="IRNazanin" w:hAnsi="IRNazanin" w:eastAsia="IRNazanin"/>
          <w:color w:val="111111"/>
          <w:sz w:val="28"/>
          <w:sz w:val="28"/>
          <w:szCs w:val="28"/>
          <w:rtl w:val="true"/>
          <w:lang w:bidi="fa-IR"/>
        </w:rPr>
        <w:t>گوش فرا دهد تا شاید اثری از گم شده خود بیابد و در این راه، خسته و فرسوده نگردد و وقتی حقیقت را به دست آورد، با رضا و رغبت، او را در آغوش گیرد و به هیچ قیمتی حاضر نشود از او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تمهیدات را خداوند متعال برای حق جویی در وجود انسان به کار برده است و انسان که پس از جستجو و کندوکاو فراوان، به حقیقت برسد و چشمش به آن روشن و دلش به آن آرام گیرد و راهی که در آینده باید طی کند، فرا روی او قرار گیرد و وظیفه او مشخص شود، چرا باید به خاطر فرار از مسؤولیت، شانه از زیر بار حقیقت خالی کند و چشم خود را بر روی حقیقت فرو بندد و در درون خود به سرکشی و انکار رو آورد و به حقیقت پشت کند و سرانجام به همان تردید و ظلمت و جحود نخستین باز</w:t>
      </w:r>
    </w:p>
    <w:p>
      <w:pPr>
        <w:pStyle w:val="BookText"/>
        <w:rPr/>
      </w:pPr>
      <w:r>
        <w:rPr>
          <w:rFonts w:ascii="IRNazanin" w:hAnsi="IRNazanin" w:eastAsia="IRNazanin"/>
          <w:color w:val="111111"/>
          <w:sz w:val="28"/>
          <w:sz w:val="28"/>
          <w:szCs w:val="28"/>
          <w:rtl w:val="true"/>
          <w:lang w:bidi="fa-IR"/>
        </w:rPr>
        <w:t>گردد؟ به چنین حالتی در فقه، ارتداد و به چنان کسی، مرتد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ارتداد از رد به معنای بازگشتن به حالت کفر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مصدر باب</w:t>
      </w:r>
    </w:p>
    <w:p>
      <w:pPr>
        <w:pStyle w:val="BookText"/>
        <w:rPr/>
      </w:pPr>
      <w:r>
        <w:rPr>
          <w:rFonts w:ascii="IRNazanin" w:hAnsi="IRNazanin" w:eastAsia="IRNazanin"/>
          <w:color w:val="111111"/>
          <w:sz w:val="28"/>
          <w:sz w:val="28"/>
          <w:szCs w:val="28"/>
          <w:rtl w:val="true"/>
          <w:lang w:bidi="fa-IR"/>
        </w:rPr>
        <w:t>افتعال است که در آن، معنای مطاوعه نیز نهفته است؛ یعنی قبول بازگشت به انکار و کفر و حجود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در فقه، مبحث مهمی است که از جهات مختلف در آن بحث می شود؛ مانند تعریف ارتداد، اقسام آن، احکامی که بر شخص مرتد بار می شود و عوامل و عللی که باعث ارتداد می شود که تفصیل آن را به نحو مستدل می توان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ارتداد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از آن استفاده کرد</w:t>
      </w:r>
      <w:r>
        <w:rPr>
          <w:rFonts w:eastAsia="IRNazanin" w:cs="IRNazanin"/>
          <w:color w:val="111111"/>
          <w:sz w:val="28"/>
          <w:szCs w:val="28"/>
          <w:rtl w:val="true"/>
          <w:lang w:bidi="fa-IR"/>
        </w:rPr>
        <w:t>.</w:t>
      </w:r>
    </w:p>
    <w:p>
      <w:pPr>
        <w:pStyle w:val="Heading3"/>
        <w:numPr>
          <w:ilvl w:val="2"/>
          <w:numId w:val="1"/>
        </w:numPr>
        <w:rPr/>
      </w:pPr>
      <w:bookmarkStart w:id="42" w:name="__RefHeading___Toc1440258_372815092"/>
      <w:bookmarkStart w:id="43" w:name="_Toc15"/>
      <w:bookmarkEnd w:id="42"/>
      <w:r>
        <w:rPr/>
        <w:t>5</w:t>
      </w:r>
      <w:r>
        <w:rPr>
          <w:rtl w:val="true"/>
        </w:rPr>
        <w:t xml:space="preserve">. </w:t>
      </w:r>
      <w:r>
        <w:rPr>
          <w:rtl w:val="true"/>
        </w:rPr>
        <w:t>آزادی بیان در اسلام و اعلامیه جهانی حقوق بشر</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سعی شده است تا حدودی فارغ از پیش داوریهای جانبدارانه، به آزادی بیان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آن، پس از تعریف آزادی و آزادی بیان و توضیح و تحلیل آرا و نظرات اندیشمندان غربی و شرقی در این زمینه، خلاصه ای از تاریخچه آزادی بیان را مرور کرده است که بیانگر فراز و نشیبهای فکری انسان در باب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آزادی بیان از دیدگاه غرب پرداخته و به دسته بندیهایی که در این باب وجود دارد، اشاره کرده است که چگونه عدهای مخالف آزادی بیان بوده اند و گروهی موافق افراطی </w:t>
      </w:r>
      <w:bookmarkStart w:id="44" w:name="pg6894_74469"/>
    </w:p>
    <w:p>
      <w:pPr>
        <w:pStyle w:val="BookText"/>
        <w:rPr/>
      </w:pPr>
      <w:bookmarkEnd w:id="44"/>
      <w:r>
        <w:rPr>
          <w:rFonts w:ascii="IRNazanin" w:hAnsi="IRNazanin" w:eastAsia="IRNazanin"/>
          <w:color w:val="111111"/>
          <w:sz w:val="28"/>
          <w:sz w:val="28"/>
          <w:szCs w:val="28"/>
          <w:rtl w:val="true"/>
          <w:lang w:bidi="fa-IR"/>
        </w:rPr>
        <w:t>آن و عده ای هم نظرات معتدلی در این زمینه ابراز کرده اند و در ادامه بحث، به اوج</w:t>
      </w:r>
    </w:p>
    <w:p>
      <w:pPr>
        <w:pStyle w:val="BookText"/>
        <w:rPr/>
      </w:pPr>
      <w:r>
        <w:rPr>
          <w:rFonts w:ascii="IRNazanin" w:hAnsi="IRNazanin" w:eastAsia="IRNazanin"/>
          <w:color w:val="111111"/>
          <w:sz w:val="28"/>
          <w:sz w:val="28"/>
          <w:szCs w:val="28"/>
          <w:rtl w:val="true"/>
          <w:lang w:bidi="fa-IR"/>
        </w:rPr>
        <w:t>تکامل فکری غرب در زمینه آزادی بیان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نوزدهم اعلامیه</w:t>
      </w:r>
    </w:p>
    <w:p>
      <w:pPr>
        <w:pStyle w:val="BookText"/>
        <w:rPr/>
      </w:pPr>
      <w:r>
        <w:rPr>
          <w:rFonts w:ascii="IRNazanin" w:hAnsi="IRNazanin" w:eastAsia="IRNazanin"/>
          <w:color w:val="111111"/>
          <w:sz w:val="28"/>
          <w:sz w:val="28"/>
          <w:szCs w:val="28"/>
          <w:rtl w:val="true"/>
          <w:lang w:bidi="fa-IR"/>
        </w:rPr>
        <w:t>جهانی حقوق بشر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آزادی بیان دارد و این حق شامل آزادی تفحص و تحصیل و اشاعه اطلاعات و افکار می باشد؛ از هر قبل و بدون توجه به سرحدات، خواه شفاها یا به صورت نوشته یا به صورت هنری و یا به هر وسیله دیگری که باشد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بخش دوم مقاله به دیدگاه اسلام در زمینه آزادی بیان پرداخته شده است و برای</w:t>
      </w:r>
    </w:p>
    <w:p>
      <w:pPr>
        <w:pStyle w:val="BookText"/>
        <w:rPr/>
      </w:pPr>
      <w:r>
        <w:rPr>
          <w:rFonts w:ascii="IRNazanin" w:hAnsi="IRNazanin" w:eastAsia="IRNazanin"/>
          <w:color w:val="111111"/>
          <w:sz w:val="28"/>
          <w:sz w:val="28"/>
          <w:szCs w:val="28"/>
          <w:rtl w:val="true"/>
          <w:lang w:bidi="fa-IR"/>
        </w:rPr>
        <w:t xml:space="preserve">شناخت موضع اسلام در این باب، به مبانی اساسی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شده و سپس برای اثبات آزادی بیان در اسلام،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بیان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بیان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بودن کتمان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بررسی پرداخته و برای نمونه، از آیات و روایاتی در این باره بهره جسته است و سپس بحث را گسترش داده و برای تحقیق و تدقیق در زمینه آزادی بیان، به آرای اندیشمندان اسلامی مراجعه و تحلیل و توضیح لازم در این باره داده شده و به این منظور، بنیادی ترین منابع اسلامی مورد جستجو و بررسی قرار گرفته و حقایقی جالب و ارزنده را در این قسمت به رشته تحریر در آورده است که مقاله را از ارزش و اعتبار بیشتری برخوردار می نماید</w:t>
      </w:r>
      <w:r>
        <w:rPr>
          <w:rFonts w:eastAsia="IRNazanin" w:cs="IRNazanin"/>
          <w:color w:val="111111"/>
          <w:sz w:val="28"/>
          <w:szCs w:val="28"/>
          <w:rtl w:val="true"/>
          <w:lang w:bidi="fa-IR"/>
        </w:rPr>
        <w:t>.</w:t>
      </w:r>
    </w:p>
    <w:p>
      <w:pPr>
        <w:pStyle w:val="Heading3"/>
        <w:numPr>
          <w:ilvl w:val="2"/>
          <w:numId w:val="1"/>
        </w:numPr>
        <w:rPr/>
      </w:pPr>
      <w:bookmarkStart w:id="45" w:name="__RefHeading___Toc1440260_372815092"/>
      <w:bookmarkStart w:id="46" w:name="_Toc16"/>
      <w:bookmarkEnd w:id="45"/>
      <w:r>
        <w:rPr/>
        <w:t>6</w:t>
      </w:r>
      <w:r>
        <w:rPr>
          <w:rtl w:val="true"/>
        </w:rPr>
        <w:t xml:space="preserve">. </w:t>
      </w:r>
      <w:r>
        <w:rPr>
          <w:rtl w:val="true"/>
        </w:rPr>
        <w:t>حقوق اقلیتها در اسلام و اعلامیه های حقوق بشر</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عبارت است از جمعیت کمتری از افراد یک</w:t>
      </w:r>
    </w:p>
    <w:p>
      <w:pPr>
        <w:pStyle w:val="BookText"/>
        <w:rPr/>
      </w:pPr>
      <w:r>
        <w:rPr>
          <w:rFonts w:ascii="IRNazanin" w:hAnsi="IRNazanin" w:eastAsia="IRNazanin"/>
          <w:color w:val="111111"/>
          <w:sz w:val="28"/>
          <w:sz w:val="28"/>
          <w:szCs w:val="28"/>
          <w:rtl w:val="true"/>
          <w:lang w:bidi="fa-IR"/>
        </w:rPr>
        <w:t>سرزمین که از لحاظ دین، مذهب یا نژاد، از اکثریت متمایز هستند و بررسی حاضر</w:t>
      </w:r>
    </w:p>
    <w:p>
      <w:pPr>
        <w:pStyle w:val="BookText"/>
        <w:rPr/>
      </w:pPr>
      <w:r>
        <w:rPr>
          <w:rFonts w:ascii="IRNazanin" w:hAnsi="IRNazanin" w:eastAsia="IRNazanin"/>
          <w:color w:val="111111"/>
          <w:sz w:val="28"/>
          <w:sz w:val="28"/>
          <w:szCs w:val="28"/>
          <w:rtl w:val="true"/>
          <w:lang w:bidi="fa-IR"/>
        </w:rPr>
        <w:t>درباره حقوق همین اقلیت است؛ چون این اقلیت ممکن است به اعتبار ادیان و مذاهب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در هر سرزمینی، چند گونه باشد و به اعتبار اقلیتهای مختلف که در سرزمین های گوناگون زندگی می کنند، به صورت جمع آورده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اقلیتها در طول تاریخ، در هر سرزمینی که بوده اند، به دلیل کمی عده و غده، در</w:t>
      </w:r>
    </w:p>
    <w:p>
      <w:pPr>
        <w:pStyle w:val="BookText"/>
        <w:rPr/>
      </w:pPr>
      <w:r>
        <w:rPr>
          <w:rFonts w:ascii="IRNazanin" w:hAnsi="IRNazanin" w:eastAsia="IRNazanin"/>
          <w:color w:val="111111"/>
          <w:sz w:val="28"/>
          <w:sz w:val="28"/>
          <w:szCs w:val="28"/>
          <w:rtl w:val="true"/>
          <w:lang w:bidi="fa-IR"/>
        </w:rPr>
        <w:t>معرض تحقیر و تبعیض و تعدی از طرف اکثریت قرار می گرفته اند؛ به گونه ای که آنان همواره در سختی و عسرت و اضطراب به سر می برده اند و با احساس ناامنی در میان اکثریت زندگی می کرده اند و کمتر پیش می آمده که اکثریت در فکر رفع مشکلات اقلیتها برآیند، تا زمانی که سازمانهای بین المللی در جهان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حقوق اقلیتها یکی از موارد اختلاف میان نهادهای بین المللی و دولتها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سعی شده است تا آنچه سازمانهای بین المللی؛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برای احقاق حقوق اقلیتها و تأمین آزادیها و امنیتهای آنان تدوین و تصویب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 با آنچه اسلام به عنوان یک مکتب، از دیرباز در این باره بیان کرده و دستور داده است، در کنار هم قرار گیرد تا خوانندگان منصف، با توجه به امکانات هر زمان، به روشنی برتری حقوقی را که اسلام برای اقلیتها قائل شده، بر اعلامیه های حقوق بشر که در قرن بیستم تدوین شده است،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نویسنده محترم پس از تشریح حقوق اقلیتها در حقوق بین الملل معاصر و مصوبات پیمانهای بین المللی و اعلامیه جهانی حقوق بشر، نظر اسلام را در خصوص اقلیتهای نژادی و منع از تبعیض نژادی و اقلیتهای زبانی و بویژه اقلیتهای مذهبی، به صورت مشروح مطرح می کند و در خلال بحث از حقوق اقلیتهای مذهبی، قرارداد ذمه و مسائل مربوط به اهل ذمه و فلسفه تشریع جزیه و خراج و معافیت آنان از پرداخت جزیه را مورد بررسی و تحلیل قرار داده و در ادامه، بحث حقوق اقلیتهای مذهبی در چارچوب قرارداد ذمه، بحث طهارت کفار و همچنین حق دیه آنان را توضیح داده است و در این باره مطالبی را عنوان کرده است و در نهایت، با نتیجه گیری جالب و دلنشین، بحث را به پایان می برد و در آخر با اشاره به این که احکام و مقررات اسلام به لحاظ ایمان داشتن مسلمانان به آن، در دل آنان جا دارد و به همین دلیل، نه تنها از انجام آن سرباز نمی زنند، بلکه با احتیاط و وسواس در اجرای دقیق آن مراقبت می کنند، ولی نقص بزرگ اعلامیه های حقوق بشر، عدم ضمانت اجرایی آنهاست، نتیجه می گیرد که چنین اعلامیه هایی در اکثر موارد، فقط به صورت نوشته ای بر روی کاغذ باقی می ماند و دردی را از اقلیتها درمان نمی کند</w:t>
      </w:r>
      <w:r>
        <w:rPr>
          <w:rFonts w:eastAsia="IRNazanin" w:cs="IRNazanin"/>
          <w:color w:val="111111"/>
          <w:sz w:val="28"/>
          <w:szCs w:val="28"/>
          <w:rtl w:val="true"/>
          <w:lang w:bidi="fa-IR"/>
        </w:rPr>
        <w:t xml:space="preserve">. </w:t>
      </w:r>
      <w:bookmarkStart w:id="47" w:name="pg6894_74471"/>
    </w:p>
    <w:p>
      <w:pPr>
        <w:pStyle w:val="Heading3"/>
        <w:numPr>
          <w:ilvl w:val="2"/>
          <w:numId w:val="1"/>
        </w:numPr>
        <w:rPr/>
      </w:pPr>
      <w:bookmarkStart w:id="48" w:name="__RefHeading___Toc1440262_372815092"/>
      <w:bookmarkStart w:id="49" w:name="_Toc17"/>
      <w:bookmarkEnd w:id="47"/>
      <w:bookmarkEnd w:id="48"/>
      <w:r>
        <w:rPr/>
        <w:t>7</w:t>
      </w:r>
      <w:r>
        <w:rPr>
          <w:rtl w:val="true"/>
        </w:rPr>
        <w:t xml:space="preserve">. </w:t>
      </w:r>
      <w:r>
        <w:rPr>
          <w:rtl w:val="true"/>
        </w:rPr>
        <w:t>حمایت از اموال فرهنگی به هنگام نزاع مسلحانه</w:t>
      </w:r>
      <w:bookmarkEnd w:id="49"/>
    </w:p>
    <w:p>
      <w:pPr>
        <w:pStyle w:val="BookText"/>
        <w:rPr/>
      </w:pPr>
      <w:r>
        <w:rPr>
          <w:rFonts w:ascii="IRNazanin" w:hAnsi="IRNazanin" w:eastAsia="IRNazanin"/>
          <w:color w:val="111111"/>
          <w:sz w:val="28"/>
          <w:sz w:val="28"/>
          <w:szCs w:val="28"/>
          <w:rtl w:val="true"/>
          <w:lang w:bidi="fa-IR"/>
        </w:rPr>
        <w:t xml:space="preserve">اماکن و آثار فرهنگی، هنری و باستانی، همواره در هنگام جنگها در معرض تخریب بوده است که به علت ارزش مادی و معنوی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جامعه بین المللی برای حفاظت این اماکن از گزند جنگ، در قرن حاضر به بار نشسته و در این راستا کنوانسیون حمایت از اموال فرهنگی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لاهه هلند منعقد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ماها سرشیچ، استادیار دانشکده حقوق دانشگاه زاگرب، در این مقاله به بررسی حمایت از اموال فرهنگی در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اسناد بین المللی مربوطه پرداخته است و در پایان، بر لزوم بازنگری و اصلاح کنوانسیون یاد شده، با توجه به گذشت زمان از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و وقوع جنگهای جدید، بویژه درگیریهای مسلحانه در یوگسلاوی سابق، بین سالهای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ضمانت اجرایی کنوانسیون مزبور در حمایت از اموال فرهنگی،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این کتاب که به همت جمعی از پژوهشگران بخش پژوهش دانشگاه علوم اسلامی رضوی فراهم آمده، پس از انتشار بتواند به برخی از سوالهای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شما خواننده عزیز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 من اتبع الهدى</w:t>
      </w:r>
    </w:p>
    <w:p>
      <w:pPr>
        <w:pStyle w:val="BookText"/>
        <w:rPr/>
      </w:pPr>
      <w:r>
        <w:rPr>
          <w:rFonts w:ascii="IRNazanin" w:hAnsi="IRNazanin" w:eastAsia="IRNazanin"/>
          <w:color w:val="111111"/>
          <w:sz w:val="28"/>
          <w:sz w:val="28"/>
          <w:szCs w:val="28"/>
          <w:rtl w:val="true"/>
          <w:lang w:bidi="fa-IR"/>
        </w:rPr>
        <w:t>سید حسین سادات حسینی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شعبه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عالی کشور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6894_74473"/>
      <w:bookmarkStart w:id="51" w:name="pg6894_74473"/>
      <w:bookmarkEnd w:id="51"/>
    </w:p>
    <w:p>
      <w:pPr>
        <w:pStyle w:val="Heading2"/>
        <w:numPr>
          <w:ilvl w:val="1"/>
          <w:numId w:val="1"/>
        </w:numPr>
        <w:rPr/>
      </w:pPr>
      <w:bookmarkStart w:id="52" w:name="pg6894_74473"/>
      <w:bookmarkStart w:id="53" w:name="__RefHeading___Toc1440264_372815092"/>
      <w:bookmarkStart w:id="54" w:name="_Toc18"/>
      <w:bookmarkEnd w:id="52"/>
      <w:bookmarkEnd w:id="53"/>
      <w:r>
        <w:rPr>
          <w:rtl w:val="true"/>
        </w:rPr>
        <w:t xml:space="preserve">بخش اول </w:t>
      </w:r>
      <w:r>
        <w:rPr>
          <w:rtl w:val="true"/>
        </w:rPr>
        <w:t xml:space="preserve">: </w:t>
      </w:r>
      <w:r>
        <w:rPr>
          <w:rtl w:val="true"/>
        </w:rPr>
        <w:t>حقوق خصوصی</w:t>
      </w:r>
      <w:bookmarkEnd w:id="54"/>
    </w:p>
    <w:p>
      <w:pPr>
        <w:pStyle w:val="Heading3"/>
        <w:numPr>
          <w:ilvl w:val="2"/>
          <w:numId w:val="1"/>
        </w:numPr>
        <w:rPr/>
      </w:pPr>
      <w:bookmarkStart w:id="55" w:name="__RefHeading___Toc1440266_372815092"/>
      <w:bookmarkStart w:id="56" w:name="_Toc19"/>
      <w:bookmarkEnd w:id="55"/>
      <w:r>
        <w:rPr>
          <w:rtl w:val="true"/>
        </w:rPr>
        <w:t>اشاره</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قانون اصلاح مقررات طلاق و مبانی فقهی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حاكم از دیدگاه فقیهان متأخر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صائمی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6894_74475"/>
      <w:bookmarkStart w:id="58" w:name="pg6894_74475"/>
      <w:bookmarkEnd w:id="58"/>
    </w:p>
    <w:p>
      <w:pPr>
        <w:pStyle w:val="Heading3"/>
        <w:numPr>
          <w:ilvl w:val="2"/>
          <w:numId w:val="1"/>
        </w:numPr>
        <w:rPr/>
      </w:pPr>
      <w:bookmarkStart w:id="59" w:name="pg6894_74475"/>
      <w:bookmarkStart w:id="60" w:name="__RefHeading___Toc1440268_372815092"/>
      <w:bookmarkStart w:id="61" w:name="_Toc20"/>
      <w:bookmarkEnd w:id="59"/>
      <w:bookmarkEnd w:id="60"/>
      <w:r>
        <w:rPr>
          <w:rtl w:val="true"/>
        </w:rPr>
        <w:t>تحلیلی از قانون اصلاح مقررات طلاق و مبانی فقهی آن</w:t>
      </w:r>
      <w:bookmarkEnd w:id="61"/>
    </w:p>
    <w:p>
      <w:pPr>
        <w:pStyle w:val="Heading4"/>
        <w:numPr>
          <w:ilvl w:val="3"/>
          <w:numId w:val="1"/>
        </w:numPr>
        <w:rPr/>
      </w:pPr>
      <w:bookmarkStart w:id="62" w:name="__RefHeading___Toc1440270_372815092"/>
      <w:bookmarkStart w:id="63" w:name="_Toc21"/>
      <w:bookmarkEnd w:id="62"/>
      <w:r>
        <w:rPr>
          <w:rtl w:val="true"/>
        </w:rPr>
        <w:t>پیشگفتار</w:t>
      </w:r>
      <w:bookmarkEnd w:id="63"/>
    </w:p>
    <w:p>
      <w:pPr>
        <w:pStyle w:val="BookText"/>
        <w:rPr/>
      </w:pPr>
      <w:r>
        <w:rPr>
          <w:rFonts w:ascii="IRNazanin" w:hAnsi="IRNazanin" w:eastAsia="IRNazanin"/>
          <w:color w:val="111111"/>
          <w:sz w:val="28"/>
          <w:sz w:val="28"/>
          <w:szCs w:val="28"/>
          <w:rtl w:val="true"/>
          <w:lang w:bidi="fa-IR"/>
        </w:rPr>
        <w:t>یکی از نهادهای مورد توجه ادیان الهی و آسمانی، بویژه دین اسلام، نهاد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برای تشکیل، استمرار و استحکام خانواده، مقررات حکیمانه و</w:t>
      </w:r>
    </w:p>
    <w:p>
      <w:pPr>
        <w:pStyle w:val="BookText"/>
        <w:rPr/>
      </w:pPr>
      <w:r>
        <w:rPr>
          <w:rFonts w:ascii="IRNazanin" w:hAnsi="IRNazanin" w:eastAsia="IRNazanin"/>
          <w:color w:val="111111"/>
          <w:sz w:val="28"/>
          <w:sz w:val="28"/>
          <w:szCs w:val="28"/>
          <w:rtl w:val="true"/>
          <w:lang w:bidi="fa-IR"/>
        </w:rPr>
        <w:t>خردمندانه ای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پیدایش کانون گرم خانواده، فقط رشد و</w:t>
      </w:r>
    </w:p>
    <w:p>
      <w:pPr>
        <w:pStyle w:val="BookText"/>
        <w:rPr/>
      </w:pPr>
      <w:r>
        <w:rPr>
          <w:rFonts w:ascii="IRNazanin" w:hAnsi="IRNazanin" w:eastAsia="IRNazanin"/>
          <w:color w:val="111111"/>
          <w:sz w:val="28"/>
          <w:sz w:val="28"/>
          <w:szCs w:val="28"/>
          <w:rtl w:val="true"/>
          <w:lang w:bidi="fa-IR"/>
        </w:rPr>
        <w:t>تکامل هریک از زوجین نیست، بلکه فراهم آمدن محیطی سالم و آرام برای پرورش</w:t>
      </w:r>
    </w:p>
    <w:p>
      <w:pPr>
        <w:pStyle w:val="BookText"/>
        <w:rPr/>
      </w:pPr>
      <w:r>
        <w:rPr>
          <w:rFonts w:ascii="IRNazanin" w:hAnsi="IRNazanin" w:eastAsia="IRNazanin"/>
          <w:color w:val="111111"/>
          <w:sz w:val="28"/>
          <w:sz w:val="28"/>
          <w:szCs w:val="28"/>
          <w:rtl w:val="true"/>
          <w:lang w:bidi="fa-IR"/>
        </w:rPr>
        <w:t>فرزندان شایسته و فرزانه نیز از دیگر اهداف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روزی، ادامه زندگی مشترک والدین، خود زمینه ساز انحراف و تباهی فرزندان باشد، هیچ عقل سلیمی از تداوم چنین زوجیتی دفاع نخواهد کرد و به همین دلیل است که اسلام، مسأله طلاق را پیش بینی کرده است و فقیهان نیز بخشی از ابواب متون فقهی و حقوقی خود را بدان اختصاص داده اند و در آنجا با استفاده از آیات شریفه قرآن و احادیث معتبر، به این نتیجه رسیده اند که متارکه زن و شوهر، امری مباح و گاهی مستحب و در مواردی هم واجب است؛ هرچند که به خودی خود، امری ناخوشایند باشد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از تداوم زندگی مشترک زن و مرد، دائر مدار صیانت از مصالح خود آنها و </w:t>
      </w:r>
    </w:p>
    <w:p>
      <w:pPr>
        <w:pStyle w:val="BookText"/>
        <w:rPr/>
      </w:pPr>
      <w:r>
        <w:rPr>
          <w:rFonts w:ascii="IRNazanin" w:hAnsi="IRNazanin" w:eastAsia="IRNazanin"/>
          <w:color w:val="111111"/>
          <w:sz w:val="28"/>
          <w:sz w:val="28"/>
          <w:szCs w:val="28"/>
          <w:rtl w:val="true"/>
          <w:lang w:bidi="fa-IR"/>
        </w:rPr>
        <w:t>محفوظ ماندن مصالح فرزند و اجتماعشان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ادامه زوجيت، ثمره ای جز نابودی اعضای خانواده نداشته باشد، انحلال چنین ازدواجی، به مراتب بهتر از بقای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باید به دور از جنجال و تضییع حق، بلکه همراه با عفو و اغماض و حتی</w:t>
      </w:r>
    </w:p>
    <w:p>
      <w:pPr>
        <w:pStyle w:val="BookText"/>
        <w:rPr/>
      </w:pPr>
      <w:r>
        <w:rPr>
          <w:rFonts w:ascii="IRNazanin" w:hAnsi="IRNazanin" w:eastAsia="IRNazanin"/>
          <w:color w:val="111111"/>
          <w:sz w:val="28"/>
          <w:sz w:val="28"/>
          <w:szCs w:val="28"/>
          <w:rtl w:val="true"/>
          <w:lang w:bidi="fa-IR"/>
        </w:rPr>
        <w:t>احسان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رهبران دینی از صدر اسلام تا امروز و به پیروی از آنها، متصدیان امر قضا در کشور جمهوری اسلامی ایران که با توجه به مسؤولیت اجتماعیشان، بیشتر از دیگران از مشکلات و اختلافات زناشویی و پیامدهای آن، اطلاع دارند، به چاره جویی پرداخته اند و با استفاده از نصوص قرآنی، احادیث و اخبار معصومان و بهره گیری از قواعد و ضوابط فقهی و اصولی و کمک گرفتن از نیروی عقل، برای تحقق عملی خطاب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تسريح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جدایی مسالمت آمیز زن و شوهر از یکدیگر، راه حلهایی را ارائه نموده و مقرر داشته اند که از آن جمله، قانون اصلاح مقررات مربوط به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ماده واحده و هفت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نام برد که در جلسه علنی </w:t>
      </w:r>
      <w:r>
        <w:rPr>
          <w:rFonts w:eastAsia="IRNazanin" w:cs="IRNazanin"/>
          <w:color w:val="111111"/>
          <w:sz w:val="28"/>
          <w:szCs w:val="28"/>
          <w:lang w:bidi="fa-IR"/>
        </w:rPr>
        <w:t>1370/12/21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به تصویب رسید و تبصره شش آن، مورد اختلاف مجلس و شورای نگهبان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اجرای اصل یکصد و دوازدهم قانون اساسی، مجمع تشخیص مصلحت نظام در جلسه مورخ </w:t>
      </w:r>
      <w:r>
        <w:rPr>
          <w:rFonts w:eastAsia="IRNazanin" w:cs="IRNazanin"/>
          <w:color w:val="111111"/>
          <w:sz w:val="28"/>
          <w:szCs w:val="28"/>
          <w:lang w:bidi="fa-IR"/>
        </w:rPr>
        <w:t>71/8/28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بررسی و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مذکور را با اصلاحاتی به تصویب رساند و این قانون، هم اکنون در محاکم قضایی جمهوری اسلامی ایران، مورد استناد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عموم ملت مسلمان ایران، بنا به وظیفه شرعی خود، نسبت به قوانینی</w:t>
      </w:r>
    </w:p>
    <w:p>
      <w:pPr>
        <w:pStyle w:val="BookText"/>
        <w:rPr/>
      </w:pPr>
      <w:r>
        <w:rPr>
          <w:rFonts w:ascii="IRNazanin" w:hAnsi="IRNazanin" w:eastAsia="IRNazanin"/>
          <w:color w:val="111111"/>
          <w:sz w:val="28"/>
          <w:sz w:val="28"/>
          <w:szCs w:val="28"/>
          <w:rtl w:val="true"/>
          <w:lang w:bidi="fa-IR"/>
        </w:rPr>
        <w:t xml:space="preserve">که احتمال مغایرت آنها با موازین شرعی داده شود، حساسیت نشان می دهند و در همین راستا، بخشهایی از این مصوبه، به خصوص قسمتهای پایانی آن را مغایر با عرف رایج بین متدینین و متشرعه می بینند و عدم تأیید آن از ناحیه فقهای شورای نگهبان را هم مؤيد این برداشت می دانند و آن را بیشتر، قانونی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آورند تا قانونی پایدار، لازم است برای شناخت بهتر این قانون و مبانی شرعی آن، قسمتهای مورد اختلاف آن را تحلیل و بررسی نمود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سعی بر آن است که مبانی فقهی این مصوبه، بویژه تبصره شش آن </w:t>
      </w:r>
      <w:bookmarkStart w:id="64" w:name="pg6894_74477"/>
    </w:p>
    <w:p>
      <w:pPr>
        <w:pStyle w:val="BookText"/>
        <w:rPr/>
      </w:pPr>
      <w:bookmarkEnd w:id="64"/>
      <w:r>
        <w:rPr>
          <w:rFonts w:ascii="IRNazanin" w:hAnsi="IRNazanin" w:eastAsia="IRNazanin"/>
          <w:color w:val="111111"/>
          <w:sz w:val="28"/>
          <w:sz w:val="28"/>
          <w:szCs w:val="28"/>
          <w:rtl w:val="true"/>
          <w:lang w:bidi="fa-IR"/>
        </w:rPr>
        <w:t>در حد توان، مورد پژوهش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شایسته یادآوری است که چون در</w:t>
      </w:r>
    </w:p>
    <w:p>
      <w:pPr>
        <w:pStyle w:val="BookText"/>
        <w:rPr/>
      </w:pPr>
      <w:r>
        <w:rPr>
          <w:rFonts w:ascii="IRNazanin" w:hAnsi="IRNazanin" w:eastAsia="IRNazanin"/>
          <w:color w:val="111111"/>
          <w:sz w:val="28"/>
          <w:sz w:val="28"/>
          <w:szCs w:val="28"/>
          <w:rtl w:val="true"/>
          <w:lang w:bidi="fa-IR"/>
        </w:rPr>
        <w:t>قسمتهای مختلف این مصوبه، کلمات و تعبیراتی از قبیل شرط ضمن عقد و عقد خارج</w:t>
      </w:r>
    </w:p>
    <w:p>
      <w:pPr>
        <w:pStyle w:val="BookText"/>
        <w:rPr/>
      </w:pPr>
      <w:r>
        <w:rPr>
          <w:rFonts w:ascii="IRNazanin" w:hAnsi="IRNazanin" w:eastAsia="IRNazanin"/>
          <w:color w:val="111111"/>
          <w:sz w:val="28"/>
          <w:sz w:val="28"/>
          <w:szCs w:val="28"/>
          <w:rtl w:val="true"/>
          <w:lang w:bidi="fa-IR"/>
        </w:rPr>
        <w:t>لازم به کار رفته است، ابتدا، مطالبی درباره شرط و بعضی عناوین دیگر ذکر می شود</w:t>
      </w:r>
      <w:r>
        <w:rPr>
          <w:rFonts w:eastAsia="IRNazanin" w:cs="IRNazanin"/>
          <w:color w:val="111111"/>
          <w:sz w:val="28"/>
          <w:szCs w:val="28"/>
          <w:rtl w:val="true"/>
          <w:lang w:bidi="fa-IR"/>
        </w:rPr>
        <w:t>.</w:t>
      </w:r>
    </w:p>
    <w:p>
      <w:pPr>
        <w:pStyle w:val="Heading4"/>
        <w:numPr>
          <w:ilvl w:val="3"/>
          <w:numId w:val="1"/>
        </w:numPr>
        <w:rPr/>
      </w:pPr>
      <w:bookmarkStart w:id="65" w:name="__RefHeading___Toc1440272_372815092"/>
      <w:bookmarkStart w:id="66" w:name="_Toc22"/>
      <w:bookmarkEnd w:id="65"/>
      <w:r>
        <w:rPr>
          <w:rtl w:val="true"/>
        </w:rPr>
        <w:t xml:space="preserve">موجبات طرح و تصویب قانون </w:t>
      </w:r>
      <w:r>
        <w:rPr>
          <w:rtl w:val="true"/>
        </w:rPr>
        <w:t>«</w:t>
      </w:r>
      <w:r>
        <w:rPr>
          <w:rtl w:val="true"/>
        </w:rPr>
        <w:t>اصلاح مقررات طلاق</w:t>
      </w:r>
      <w:r>
        <w:rPr>
          <w:rtl w:val="true"/>
        </w:rPr>
        <w:t>»</w:t>
      </w:r>
      <w:bookmarkEnd w:id="66"/>
    </w:p>
    <w:p>
      <w:pPr>
        <w:pStyle w:val="Heading5"/>
        <w:numPr>
          <w:ilvl w:val="4"/>
          <w:numId w:val="1"/>
        </w:numPr>
        <w:rPr/>
      </w:pPr>
      <w:bookmarkStart w:id="67" w:name="__RefHeading___Toc1440274_372815092"/>
      <w:bookmarkStart w:id="68" w:name="_Toc23"/>
      <w:bookmarkEnd w:id="67"/>
      <w:r>
        <w:rPr/>
        <w:t>1</w:t>
      </w:r>
      <w:r>
        <w:rPr>
          <w:rtl w:val="true"/>
        </w:rPr>
        <w:t xml:space="preserve">. </w:t>
      </w:r>
      <w:r>
        <w:rPr>
          <w:rtl w:val="true"/>
        </w:rPr>
        <w:t>طلاق قانونی و تأثیر آن در فرآیند نظم اجتماعی</w:t>
      </w:r>
      <w:bookmarkEnd w:id="68"/>
    </w:p>
    <w:p>
      <w:pPr>
        <w:pStyle w:val="BookText"/>
        <w:rPr/>
      </w:pPr>
      <w:r>
        <w:rPr>
          <w:rFonts w:ascii="IRNazanin" w:hAnsi="IRNazanin" w:eastAsia="IRNazanin"/>
          <w:color w:val="111111"/>
          <w:sz w:val="28"/>
          <w:sz w:val="28"/>
          <w:szCs w:val="28"/>
          <w:rtl w:val="true"/>
          <w:lang w:bidi="fa-IR"/>
        </w:rPr>
        <w:t>هدف از وضع مقررات از دید عقلا، نظم بخشیدن به امور جامعه و اداره صحیح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اسلام، که مقررات آن از چشمه زلال وحی سیراب می شود و به</w:t>
      </w:r>
    </w:p>
    <w:p>
      <w:pPr>
        <w:pStyle w:val="BookText"/>
        <w:rPr/>
      </w:pPr>
      <w:r>
        <w:rPr>
          <w:rFonts w:ascii="IRNazanin" w:hAnsi="IRNazanin" w:eastAsia="IRNazanin"/>
          <w:color w:val="111111"/>
          <w:sz w:val="28"/>
          <w:sz w:val="28"/>
          <w:szCs w:val="28"/>
          <w:rtl w:val="true"/>
          <w:lang w:bidi="fa-IR"/>
        </w:rPr>
        <w:t>دست توانای مدیری عادل و آشنا به تمام نیازمندیهای سالم بشر تدبیر شده است، به</w:t>
      </w:r>
    </w:p>
    <w:p>
      <w:pPr>
        <w:pStyle w:val="BookText"/>
        <w:rPr/>
      </w:pPr>
      <w:r>
        <w:rPr>
          <w:rFonts w:ascii="IRNazanin" w:hAnsi="IRNazanin" w:eastAsia="IRNazanin"/>
          <w:color w:val="111111"/>
          <w:sz w:val="28"/>
          <w:sz w:val="28"/>
          <w:szCs w:val="28"/>
          <w:rtl w:val="true"/>
          <w:lang w:bidi="fa-IR"/>
        </w:rPr>
        <w:t>طریق اولی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طلاق و مقررات آن هم از این قاعده مستثنا نیست و هدف از قانونگذاری</w:t>
      </w:r>
    </w:p>
    <w:p>
      <w:pPr>
        <w:pStyle w:val="BookText"/>
        <w:rPr/>
      </w:pPr>
      <w:r>
        <w:rPr>
          <w:rFonts w:ascii="IRNazanin" w:hAnsi="IRNazanin" w:eastAsia="IRNazanin"/>
          <w:color w:val="111111"/>
          <w:sz w:val="28"/>
          <w:sz w:val="28"/>
          <w:szCs w:val="28"/>
          <w:rtl w:val="true"/>
          <w:lang w:bidi="fa-IR"/>
        </w:rPr>
        <w:t xml:space="preserve">درباره آن، باید آشنا کردن اعضای جامعه با شیوه زندگی سالم، برخورداری از امکانات خدادادی و بهره وری از حقوق فطری و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هرچند که به خاطر کم رنگ شدن حاکمیت مقررات اسلامی بر زندگی برخی از اعضای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سلطه جباران، ملی گرایان و عدم اقتدار رهبران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این باور حاکم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خانواده با حقوق و احکام آمرانه آن سازگار نیست و اثر قوانین در ایجاد نظم در آن ناچیز است؛ پس اگر در پی آن باشیم که ستتها را به دور افکنیم و قانون را جایگزین آن سازیم، در واقع آن را میان تهی می سازیم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نظر، در عین صواب، خالی از کلیت است و نمی تواند فراگیر باشد؛ زیرا همه</w:t>
      </w:r>
    </w:p>
    <w:p>
      <w:pPr>
        <w:pStyle w:val="BookText"/>
        <w:rPr/>
      </w:pPr>
      <w:r>
        <w:rPr>
          <w:rFonts w:ascii="IRNazanin" w:hAnsi="IRNazanin" w:eastAsia="IRNazanin"/>
          <w:color w:val="111111"/>
          <w:sz w:val="28"/>
          <w:sz w:val="28"/>
          <w:szCs w:val="28"/>
          <w:rtl w:val="true"/>
          <w:lang w:bidi="fa-IR"/>
        </w:rPr>
        <w:t>مقررات حاکم، ارزشی و شرعی نیست و از طرفی، اسلام سنتهای سالم و مفید را هم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نکوهش نکرده است، بلکه بسیاری از مقررات موضوعه آن درباره خانواده، امضای </w:t>
      </w:r>
    </w:p>
    <w:p>
      <w:pPr>
        <w:pStyle w:val="BookText"/>
        <w:rPr/>
      </w:pPr>
      <w:r>
        <w:rPr>
          <w:rFonts w:ascii="IRNazanin" w:hAnsi="IRNazanin" w:eastAsia="IRNazanin"/>
          <w:color w:val="111111"/>
          <w:sz w:val="28"/>
          <w:sz w:val="28"/>
          <w:szCs w:val="28"/>
          <w:rtl w:val="true"/>
          <w:lang w:bidi="fa-IR"/>
        </w:rPr>
        <w:t>همان مرسومات پسندیده گذشته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وضع مقررات و آگاه کردن زن و</w:t>
      </w:r>
    </w:p>
    <w:p>
      <w:pPr>
        <w:pStyle w:val="BookText"/>
        <w:rPr/>
      </w:pPr>
      <w:r>
        <w:rPr>
          <w:rFonts w:ascii="IRNazanin" w:hAnsi="IRNazanin" w:eastAsia="IRNazanin"/>
          <w:color w:val="111111"/>
          <w:sz w:val="28"/>
          <w:sz w:val="28"/>
          <w:szCs w:val="28"/>
          <w:rtl w:val="true"/>
          <w:lang w:bidi="fa-IR"/>
        </w:rPr>
        <w:t>شوهر از این که دارای چه حقوقی هستند و در طول زندگی مشترک، خود را باید به</w:t>
      </w:r>
    </w:p>
    <w:p>
      <w:pPr>
        <w:pStyle w:val="BookText"/>
        <w:rPr/>
      </w:pPr>
      <w:r>
        <w:rPr>
          <w:rFonts w:ascii="IRNazanin" w:hAnsi="IRNazanin" w:eastAsia="IRNazanin"/>
          <w:color w:val="111111"/>
          <w:sz w:val="28"/>
          <w:sz w:val="28"/>
          <w:szCs w:val="28"/>
          <w:rtl w:val="true"/>
          <w:lang w:bidi="fa-IR"/>
        </w:rPr>
        <w:t>رعایت چه اموری موظف بدانند، هیچگاه باعث نخواهد شد که آنها از ارزشهای اخلاقی دست بردارند، بلکه چون برای برطرف کردن اختلافات و مرتفع ساختن مشکلات پیش آمده، راههای قانونی و پسندیده عرفی را به روی خود مفتوح می بینند، از دست زدن به اقدامات نابخردانه و تصمیمات غیرانسانی خودداری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بجاست که قانونگذاران و خیراندیشان، افراد جامعه را عالمانه به پایبندی به</w:t>
      </w:r>
    </w:p>
    <w:p>
      <w:pPr>
        <w:pStyle w:val="BookText"/>
        <w:rPr/>
      </w:pPr>
      <w:r>
        <w:rPr>
          <w:rFonts w:ascii="IRNazanin" w:hAnsi="IRNazanin" w:eastAsia="IRNazanin"/>
          <w:color w:val="111111"/>
          <w:sz w:val="28"/>
          <w:sz w:val="28"/>
          <w:szCs w:val="28"/>
          <w:rtl w:val="true"/>
          <w:lang w:bidi="fa-IR"/>
        </w:rPr>
        <w:t>ارزشهای اخلاقی دعوت نمایند، نه این که به جهت بی اطلاعی و غفلت آنان از حقوق</w:t>
      </w:r>
    </w:p>
    <w:p>
      <w:pPr>
        <w:pStyle w:val="BookText"/>
        <w:rPr/>
      </w:pPr>
      <w:r>
        <w:rPr>
          <w:rFonts w:ascii="IRNazanin" w:hAnsi="IRNazanin" w:eastAsia="IRNazanin"/>
          <w:color w:val="111111"/>
          <w:sz w:val="28"/>
          <w:sz w:val="28"/>
          <w:szCs w:val="28"/>
          <w:rtl w:val="true"/>
          <w:lang w:bidi="fa-IR"/>
        </w:rPr>
        <w:t>شرعی خود، آنها را ملزم یا تشویق به صبر و استقامت کنند؛ زیرا پسندیده این است که هریک از زن و شوهر، با دیده باز و شناخت کامل، به بایدها و نبایدها بنگرند و بعد از تدبر و اندیشه و فارغ از خشم و عصبانیت، با اختیار تام،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متولیان امر تقنين و قضا، به حل و فصل مقطعی معضلات بسنده کنند؛ زیرا چه بسا زنان و شوهرانی که به سبب وساطت فرد یا افرادی صاحب اعتبار و شخصیت هایی دارای احترام، از حق مسلم خود صرف نظر کنند، اما همچون فردی که خار در چشم و استخوان در گلو دارد، صبر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مسکنی بیش نخواهد بود، پس باید راه حلی منطقی یافت و زمینه نیل افراد به حقوق مسلم شرعی خود و منضبط شدن جامعه را برای همیشه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 باید فرهیختگان</w:t>
      </w:r>
    </w:p>
    <w:p>
      <w:pPr>
        <w:pStyle w:val="BookText"/>
        <w:rPr/>
      </w:pPr>
      <w:r>
        <w:rPr>
          <w:rFonts w:ascii="IRNazanin" w:hAnsi="IRNazanin" w:eastAsia="IRNazanin"/>
          <w:color w:val="111111"/>
          <w:sz w:val="28"/>
          <w:sz w:val="28"/>
          <w:szCs w:val="28"/>
          <w:rtl w:val="true"/>
          <w:lang w:bidi="fa-IR"/>
        </w:rPr>
        <w:t>دانشهای حقوق عرفی، با همفکری و همیاری فقهای برجسته و طراز اول و وارثان بر حق انبیا علیهم السلام ، راههای قانونی و شرعی را طبق اصول و قواعد مسلم شرعی، بیابند و به طالبان حق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قضات و مجریان قانون نیز باید از دو ویژگی برخوردار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آگاهی لازم به قانون و راهبردها و راهکارهای آن، همراه با قدرت تحلیل</w:t>
      </w:r>
    </w:p>
    <w:p>
      <w:pPr>
        <w:pStyle w:val="BookText"/>
        <w:rPr/>
      </w:pPr>
      <w:r>
        <w:rPr>
          <w:rFonts w:ascii="IRNazanin" w:hAnsi="IRNazanin" w:eastAsia="IRNazanin"/>
          <w:color w:val="111111"/>
          <w:sz w:val="28"/>
          <w:sz w:val="28"/>
          <w:szCs w:val="28"/>
          <w:rtl w:val="true"/>
          <w:lang w:bidi="fa-IR"/>
        </w:rPr>
        <w:t>و تفسیر صحیح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درایت و تیزهوشی و روانشناسی اسلامی و خیرخواهی و عاقبت اندیشی و آشنایی کافی به آداب و رسوم اقوام و اقشار مختلفی که به دعاوی آنها رسیدگی می شود</w:t>
      </w:r>
      <w:r>
        <w:rPr>
          <w:rFonts w:eastAsia="IRNazanin" w:cs="IRNazanin"/>
          <w:color w:val="111111"/>
          <w:sz w:val="28"/>
          <w:szCs w:val="28"/>
          <w:rtl w:val="true"/>
          <w:lang w:bidi="fa-IR"/>
        </w:rPr>
        <w:t>.</w:t>
      </w:r>
      <w:bookmarkStart w:id="69" w:name="pg6894_74479"/>
    </w:p>
    <w:p>
      <w:pPr>
        <w:pStyle w:val="Heading5"/>
        <w:numPr>
          <w:ilvl w:val="4"/>
          <w:numId w:val="1"/>
        </w:numPr>
        <w:rPr/>
      </w:pPr>
      <w:bookmarkStart w:id="70" w:name="__RefHeading___Toc1440276_372815092"/>
      <w:bookmarkStart w:id="71" w:name="_Toc24"/>
      <w:bookmarkEnd w:id="69"/>
      <w:bookmarkEnd w:id="70"/>
      <w:r>
        <w:rPr/>
        <w:t>2</w:t>
      </w:r>
      <w:r>
        <w:rPr>
          <w:rtl w:val="true"/>
        </w:rPr>
        <w:t xml:space="preserve">. </w:t>
      </w:r>
      <w:r>
        <w:rPr>
          <w:rtl w:val="true"/>
        </w:rPr>
        <w:t>ناخوشایندی مطالبه مهر و تأثیر آن بر سکوت زن</w:t>
      </w:r>
      <w:bookmarkEnd w:id="71"/>
    </w:p>
    <w:p>
      <w:pPr>
        <w:pStyle w:val="BookText"/>
        <w:rPr/>
      </w:pPr>
      <w:r>
        <w:rPr>
          <w:rFonts w:ascii="IRNazanin" w:hAnsi="IRNazanin" w:eastAsia="IRNazanin"/>
          <w:color w:val="111111"/>
          <w:sz w:val="28"/>
          <w:sz w:val="28"/>
          <w:szCs w:val="28"/>
          <w:rtl w:val="true"/>
          <w:lang w:bidi="fa-IR"/>
        </w:rPr>
        <w:t>دیرزمانی است که در جامعه ایران، اغلب زنان از آغاز پای نهادن به خانه شوهر تا تسلیم جان به جان آفرین، به خود اجازه نمی دهند که مهریه و بعضی حقوق دیگر واجب خود را از شوهر مطالبه کنند و این سکوت ممتد، به سیره و رویه ای تبدیل شده است که اگر روزی هم زنی، هرچند بر اثر نیاز شدید، اسمی از آن به زبان آورد، در دادگاه عرف، محکوم و در پیشگاه شوهر، مغضوب می شود که این زن، اهل زندگی نیست، در صورتی که چه بسا تنها چیزی که به ذهن او خطور نکرده، همان متارکه باشد و او از روی تعقل و احساس نیاز به مال و اطلاع بر تمکن مالی شوهر، خواهان نقد کردن مهریه خویش است تا آن را سرمایه ای برای رفاه بیشتر دنیوی خود یا ذخیره ای برای آخرت خویش قرار دهد و یا از آن طریق، به والدین و دیگر حق داران خود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این حق، خطا و جرم نیست، بلکه عین صواب است؛ همچنان که از صدر اسلام تا کنون، در گفتار و نوشتار راهنمایان بزرگ دین، اشارات فراوانی به تکالیف</w:t>
      </w:r>
    </w:p>
    <w:p>
      <w:pPr>
        <w:pStyle w:val="BookText"/>
        <w:rPr/>
      </w:pPr>
      <w:r>
        <w:rPr>
          <w:rFonts w:ascii="IRNazanin" w:hAnsi="IRNazanin" w:eastAsia="IRNazanin"/>
          <w:color w:val="111111"/>
          <w:sz w:val="28"/>
          <w:sz w:val="28"/>
          <w:szCs w:val="28"/>
          <w:rtl w:val="true"/>
          <w:lang w:bidi="fa-IR"/>
        </w:rPr>
        <w:t>مرد در مقابل زن شده است، تا جایی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مردی مهر زن را بر خود حلال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فکر این باشد که آن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به حساب می آید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باید مسلمانان با بهره گیری از منابع اصیل اسلامی، شیوه زندگی صحیح با یکدیگر را به خوبی بیاموزند و به دستورات الهی نیز التزام عملی داشته باشند، بویژه در برخورد با همسر و خانواده؛ زیرا امام باقر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ارجمندترین شما در پیشگاه خداوند، آنهایی هستند که همسرانشان را گرامی تر و زنان و حلیله های خود را ارجمندتر بدارند</w:t>
      </w:r>
      <w:r>
        <w:rPr>
          <w:rFonts w:eastAsia="IRNazanin" w:cs="IRNazanin"/>
          <w:color w:val="111111"/>
          <w:sz w:val="28"/>
          <w:szCs w:val="28"/>
          <w:rtl w:val="true"/>
          <w:lang w:bidi="fa-IR"/>
        </w:rPr>
        <w:t xml:space="preserve">.» </w:t>
      </w:r>
      <w:r>
        <w:rPr>
          <w:rStyle w:val="FootnoteAnchor"/>
          <w:rtl w:val="true"/>
        </w:rPr>
        <w:footnoteReference w:id="9"/>
      </w:r>
    </w:p>
    <w:p>
      <w:pPr>
        <w:pStyle w:val="Heading5"/>
        <w:numPr>
          <w:ilvl w:val="4"/>
          <w:numId w:val="1"/>
        </w:numPr>
        <w:rPr/>
      </w:pPr>
      <w:bookmarkStart w:id="72" w:name="__RefHeading___Toc1440278_372815092"/>
      <w:bookmarkStart w:id="73" w:name="_Toc25"/>
      <w:bookmarkEnd w:id="72"/>
      <w:r>
        <w:rPr/>
        <w:t>3</w:t>
      </w:r>
      <w:r>
        <w:rPr>
          <w:rtl w:val="true"/>
        </w:rPr>
        <w:t xml:space="preserve">. </w:t>
      </w:r>
      <w:r>
        <w:rPr>
          <w:rtl w:val="true"/>
        </w:rPr>
        <w:t>فلسفه اهتمام اسلام به مسأله طلاق و احکام آن</w:t>
      </w:r>
      <w:bookmarkEnd w:id="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بحث و پژوهش فراوان در متون فقهی اسلامی، بویژه امامیه نسبت به مسأله طلاق </w:t>
      </w:r>
      <w:bookmarkStart w:id="74" w:name="pg6894_74480"/>
    </w:p>
    <w:p>
      <w:pPr>
        <w:pStyle w:val="BookText"/>
        <w:rPr/>
      </w:pPr>
      <w:bookmarkEnd w:id="74"/>
      <w:r>
        <w:rPr>
          <w:rFonts w:ascii="IRNazanin" w:hAnsi="IRNazanin" w:eastAsia="IRNazanin"/>
          <w:color w:val="111111"/>
          <w:sz w:val="28"/>
          <w:sz w:val="28"/>
          <w:szCs w:val="28"/>
          <w:rtl w:val="true"/>
          <w:lang w:bidi="fa-IR"/>
        </w:rPr>
        <w:t>و احکام جانبی آن، بدان علت است که نخستین کانونی که زمینه های سعادت و شقاوت</w:t>
      </w:r>
    </w:p>
    <w:p>
      <w:pPr>
        <w:pStyle w:val="BookText"/>
        <w:rPr/>
      </w:pPr>
      <w:r>
        <w:rPr>
          <w:rFonts w:ascii="IRNazanin" w:hAnsi="IRNazanin" w:eastAsia="IRNazanin"/>
          <w:color w:val="111111"/>
          <w:sz w:val="28"/>
          <w:sz w:val="28"/>
          <w:szCs w:val="28"/>
          <w:rtl w:val="true"/>
          <w:lang w:bidi="fa-IR"/>
        </w:rPr>
        <w:t>افراد را فراهم می آورد، نهاد خانواده است و اسلام می خواهد این بنا با کارآیی لازم،</w:t>
      </w:r>
    </w:p>
    <w:p>
      <w:pPr>
        <w:pStyle w:val="BookText"/>
        <w:rPr/>
      </w:pPr>
      <w:r>
        <w:rPr>
          <w:rFonts w:ascii="IRNazanin" w:hAnsi="IRNazanin" w:eastAsia="IRNazanin"/>
          <w:color w:val="111111"/>
          <w:sz w:val="28"/>
          <w:sz w:val="28"/>
          <w:szCs w:val="28"/>
          <w:rtl w:val="true"/>
          <w:lang w:bidi="fa-IR"/>
        </w:rPr>
        <w:t>استوار و خلاق به حیات و شکوفایی خود ادامه دهد، و سلامت و سعادتمندی اعضای</w:t>
      </w:r>
    </w:p>
    <w:p>
      <w:pPr>
        <w:pStyle w:val="BookText"/>
        <w:rPr/>
      </w:pPr>
      <w:r>
        <w:rPr>
          <w:rFonts w:ascii="IRNazanin" w:hAnsi="IRNazanin" w:eastAsia="IRNazanin"/>
          <w:color w:val="111111"/>
          <w:sz w:val="28"/>
          <w:sz w:val="28"/>
          <w:szCs w:val="28"/>
          <w:rtl w:val="true"/>
          <w:lang w:bidi="fa-IR"/>
        </w:rPr>
        <w:t>آن چنان مهم است که اگر روزی، استمرار آن موجب زحمت، رنج، انحطاط و یا نابودی افراد آن شود، با ملاک 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تسريح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مشاجره و هتک حرمت و شخصیت یکدیگر، زن و شوهر می توانند برای جلوگیری از افزایش خطرات روحی و جسمی خود و فرزندانشان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مشترک قابل التيام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طبیعی است که طلاق هرچند به نحو منطقی و خردمندانه صورت بگیرد، باز هم خساراتی برای زوجین یا یکی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برای گروهی از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خواهد داشت، لكن راهی است که گاهی برای جلوگیری از ضررهای غیرقابل جبران باید طی شود</w:t>
      </w:r>
      <w:r>
        <w:rPr>
          <w:rFonts w:eastAsia="IRNazanin" w:cs="IRNazanin"/>
          <w:color w:val="111111"/>
          <w:sz w:val="28"/>
          <w:szCs w:val="28"/>
          <w:rtl w:val="true"/>
          <w:lang w:bidi="fa-IR"/>
        </w:rPr>
        <w:t>.</w:t>
      </w:r>
    </w:p>
    <w:p>
      <w:pPr>
        <w:pStyle w:val="Heading5"/>
        <w:numPr>
          <w:ilvl w:val="4"/>
          <w:numId w:val="1"/>
        </w:numPr>
        <w:rPr/>
      </w:pPr>
      <w:bookmarkStart w:id="75" w:name="__RefHeading___Toc1440280_372815092"/>
      <w:bookmarkStart w:id="76" w:name="_Toc26"/>
      <w:bookmarkEnd w:id="75"/>
      <w:r>
        <w:rPr/>
        <w:t>4</w:t>
      </w:r>
      <w:r>
        <w:rPr>
          <w:rtl w:val="true"/>
        </w:rPr>
        <w:t xml:space="preserve">. </w:t>
      </w:r>
      <w:r>
        <w:rPr>
          <w:rtl w:val="true"/>
        </w:rPr>
        <w:t>طلاق و وضع قوانین حکومتی برای کمک بیشتر به زن</w:t>
      </w:r>
      <w:bookmarkEnd w:id="7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انحلال خانواده به قدری سنگین است که در اکثر زمانها یکی از مسائل مورد ابتلای دولتها و متولیان امور اجتماع بوده و گاهی در حد امکانات علمی، عقلی و عرفی خویش برای پیشگیری و حل این معضل، تصمیماتی گرفته اند و مقرراتی را به تصویب رسانده اند که گاهی غیر مفید و گاهی هم آثاری مثبت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بعد از استقرار نظام جمهوری اسلامی، مسئولان قضایی و نمایندگان مجلس، بویژه کمیسیون قضایی مجلس، و در نهایت مجمع تشخیص مصلحت نظام، تصمیماتی در این باره اتخاذ کردند که نتیجه آن در قالب ماده واحده مصوب مجمع،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اصلاح مقررات مربوط به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قانونی به خود گرفت و اکنون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نسبت به بخشهایی از آن، شبهه هایی وجود داشته باشد، در این نوشتار درصدد آن هستیم که ببینیم آیا در کتاب و سنت و فتاوای فقهای شیعه می توان مبنا و معیاری برای تمام مفاد این ماده واحده یافت یا خیر؟ نخست به خود آن ماده واحده و تبصره ها و بندهای مورد نظر و محل بحث آن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تصویب این قانون زوجهایی که قصد طلاق و جدایی از یکدیگر</w:t>
      </w:r>
    </w:p>
    <w:p>
      <w:pPr>
        <w:pStyle w:val="BookText"/>
        <w:rPr/>
      </w:pPr>
      <w:r>
        <w:rPr>
          <w:rFonts w:ascii="IRNazanin" w:hAnsi="IRNazanin" w:eastAsia="IRNazanin"/>
          <w:color w:val="111111"/>
          <w:sz w:val="28"/>
          <w:sz w:val="28"/>
          <w:szCs w:val="28"/>
          <w:rtl w:val="true"/>
          <w:lang w:bidi="fa-IR"/>
        </w:rPr>
        <w:t>دارند باید جهت رسیدگی به اختلاف خود به دادگاه مدنی خاص مراجعه و اقامه دعوی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اختلاف فيمابین از طریق دادگاه و حکمین حل و فصل نگردید، دادگاه با</w:t>
      </w:r>
    </w:p>
    <w:p>
      <w:pPr>
        <w:pStyle w:val="BookText"/>
        <w:rPr/>
      </w:pPr>
      <w:r>
        <w:rPr>
          <w:rFonts w:ascii="IRNazanin" w:hAnsi="IRNazanin" w:eastAsia="IRNazanin"/>
          <w:color w:val="111111"/>
          <w:sz w:val="28"/>
          <w:sz w:val="28"/>
          <w:szCs w:val="28"/>
          <w:rtl w:val="true"/>
          <w:lang w:bidi="fa-IR"/>
        </w:rPr>
        <w:t>صدور گواهی عدم امکان سازش، آنان را به دفاتر رسمی طلاق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w:t>
      </w:r>
    </w:p>
    <w:p>
      <w:pPr>
        <w:pStyle w:val="BookText"/>
        <w:rPr/>
      </w:pPr>
      <w:r>
        <w:rPr>
          <w:rFonts w:ascii="IRNazanin" w:hAnsi="IRNazanin" w:eastAsia="IRNazanin"/>
          <w:color w:val="111111"/>
          <w:sz w:val="28"/>
          <w:sz w:val="28"/>
          <w:szCs w:val="28"/>
          <w:rtl w:val="true"/>
          <w:lang w:bidi="fa-IR"/>
        </w:rPr>
        <w:t>رسمی طلاق، حق ثبت طلاقهایی را که گواهی عدم امکان سازش برای آنها صادر نشده است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صیغه طلاق و ثبت آن در دفتر، موکول به تأدیه حقوق شرعی و قانونی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مهریه، نفقه، جهیزیه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نقد می باشد، مگر در طلاق خلع یا مبارات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آنچه بذل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رضایت زوجه و یا صدور حکم قطعی اعسار از پرداخت حقوق فوق 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طلاق، در صورت درخواست زوجه مبنی بر مطالبه حق الزحمه</w:t>
      </w:r>
    </w:p>
    <w:p>
      <w:pPr>
        <w:pStyle w:val="BookText"/>
        <w:rPr/>
      </w:pPr>
      <w:r>
        <w:rPr>
          <w:rFonts w:ascii="IRNazanin" w:hAnsi="IRNazanin" w:eastAsia="IRNazanin"/>
          <w:color w:val="111111"/>
          <w:sz w:val="28"/>
          <w:sz w:val="28"/>
          <w:szCs w:val="28"/>
          <w:rtl w:val="true"/>
          <w:lang w:bidi="fa-IR"/>
        </w:rPr>
        <w:t>کارهایی که شرعا به عهده وی نبوده است، دادگاه بدوا، از طریق تصالح، نسبت به تأمین خواسته زوجه اقدام می کند، و در صورت عدم امکان تصالح، چنانچه ضمن عقد یا عقد خارج لازم در خصوص امور مالی، شرطی شده باشد طبق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هرگاه طلاق بنا به درخواست زوجه یا ناشی از تخلف زن از وظایف همسری یا سوء اخلاق و رفتار وی نباشد، به ترتیب زیر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زوجه کارهایی را که شرعأ به عهده وی نبوده به دستور زوج و با عدم قصد تبرع انجام داده باشد و برای دادگاه نیز ثابت شود، دادگاه اجرت المثل کارهای انجام گرفته را محاسبه و به پرداخت آن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مورد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سنوات زندگی مشترک و نوع کارهایی که زوجه در خانه شوهر انجام داده و وسع مالی زوج، دادگاه مبلغی را از باب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زوجه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مقداری از مطالب قانون فوق الذکر به خصوص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بند آن مورد اعتراض</w:t>
      </w:r>
    </w:p>
    <w:p>
      <w:pPr>
        <w:pStyle w:val="BookText"/>
        <w:rPr/>
      </w:pPr>
      <w:r>
        <w:rPr>
          <w:rFonts w:ascii="IRNazanin" w:hAnsi="IRNazanin" w:eastAsia="IRNazanin"/>
          <w:color w:val="111111"/>
          <w:sz w:val="28"/>
          <w:sz w:val="28"/>
          <w:szCs w:val="28"/>
          <w:rtl w:val="true"/>
          <w:lang w:bidi="fa-IR"/>
        </w:rPr>
        <w:t>شورای نگهبان بود، اما مجلس، نظر آن شورا را تأمین نکرد و با هم به توافق نرسیدند، لذا در نهایت، مجمع تشخیص مصلحت نظام، آن را تصویب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دستیابی به منابع شرعی این قسمت از قانون و انطباق آن با احکام اولیه، مشکل به </w:t>
      </w:r>
      <w:bookmarkStart w:id="77" w:name="pg6894_74482"/>
    </w:p>
    <w:p>
      <w:pPr>
        <w:pStyle w:val="BookText"/>
        <w:rPr/>
      </w:pPr>
      <w:bookmarkEnd w:id="77"/>
      <w:r>
        <w:rPr>
          <w:rFonts w:ascii="IRNazanin" w:hAnsi="IRNazanin" w:eastAsia="IRNazanin"/>
          <w:color w:val="111111"/>
          <w:sz w:val="28"/>
          <w:sz w:val="28"/>
          <w:szCs w:val="28"/>
          <w:rtl w:val="true"/>
          <w:lang w:bidi="fa-IR"/>
        </w:rPr>
        <w:t xml:space="preserve">نظر می آید و به آسانی نمی توان به آن دست یافت، ولی فقها و آشنایان به قواعد عقلی و نقلی اصولی و معیارهای شرعی، می توانند بسیاری از این قبیل مسائل را عمدتا با توجه به رد فروع به اصول و استفاده زوجین از شروطی در ضمن عقد نکاح یا عقد خارج لازم دیگری و قاعده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مصالح طرفین با تمسک به قواعد عسر و حرج و لاضرر و لاضرار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کنند؛ بنابر این، در این نوشتار که تحلیل و بررسی مبانی فقهی بخشهایی از آن قانون مورد نظر می باشد، شایسته است به تناسب، مقداری درباره مسأله شرط، بویژه شرط ضمن عقد لازم و احکام و آثار آن، بحث و بررسی نمود</w:t>
      </w:r>
      <w:r>
        <w:rPr>
          <w:rFonts w:eastAsia="IRNazanin" w:cs="IRNazanin"/>
          <w:color w:val="111111"/>
          <w:sz w:val="28"/>
          <w:szCs w:val="28"/>
          <w:rtl w:val="true"/>
          <w:lang w:bidi="fa-IR"/>
        </w:rPr>
        <w:t>.</w:t>
      </w:r>
    </w:p>
    <w:p>
      <w:pPr>
        <w:pStyle w:val="Heading4"/>
        <w:numPr>
          <w:ilvl w:val="3"/>
          <w:numId w:val="1"/>
        </w:numPr>
        <w:rPr/>
      </w:pPr>
      <w:bookmarkStart w:id="78" w:name="__RefHeading___Toc1440282_372815092"/>
      <w:bookmarkStart w:id="79" w:name="_Toc27"/>
      <w:bookmarkEnd w:id="78"/>
      <w:r>
        <w:rPr>
          <w:rtl w:val="true"/>
        </w:rPr>
        <w:t>تعریف شرط و بهره گیری از آن در امر طلاق</w:t>
      </w:r>
      <w:bookmarkEnd w:id="79"/>
    </w:p>
    <w:p>
      <w:pPr>
        <w:pStyle w:val="Heading5"/>
        <w:numPr>
          <w:ilvl w:val="4"/>
          <w:numId w:val="1"/>
        </w:numPr>
        <w:rPr/>
      </w:pPr>
      <w:bookmarkStart w:id="80" w:name="__RefHeading___Toc1440284_372815092"/>
      <w:bookmarkStart w:id="81" w:name="_Toc28"/>
      <w:bookmarkEnd w:id="80"/>
      <w:r>
        <w:rPr>
          <w:rtl w:val="true"/>
        </w:rPr>
        <w:t>معنای لغوی و اصطلاحی شرط</w:t>
      </w:r>
      <w:bookmarkEnd w:id="81"/>
    </w:p>
    <w:p>
      <w:pPr>
        <w:pStyle w:val="BookText"/>
        <w:rPr/>
      </w:pPr>
      <w:r>
        <w:rPr>
          <w:rFonts w:ascii="IRNazanin" w:hAnsi="IRNazanin" w:eastAsia="IRNazanin"/>
          <w:color w:val="111111"/>
          <w:sz w:val="28"/>
          <w:sz w:val="28"/>
          <w:szCs w:val="28"/>
          <w:rtl w:val="true"/>
          <w:lang w:bidi="fa-IR"/>
        </w:rPr>
        <w:t xml:space="preserve">در لغت، لازم کردن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و التزام به آن را از طرف فرد دیگری در بیع و نظایر آن، شرط گویند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اصطلاح فقه، بعضی از فقها معنای شرط را چنین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جامع</w:t>
      </w:r>
    </w:p>
    <w:p>
      <w:pPr>
        <w:pStyle w:val="BookText"/>
        <w:rPr/>
      </w:pPr>
      <w:r>
        <w:rPr>
          <w:rFonts w:ascii="IRNazanin" w:hAnsi="IRNazanin" w:eastAsia="IRNazanin"/>
          <w:color w:val="111111"/>
          <w:sz w:val="28"/>
          <w:sz w:val="28"/>
          <w:szCs w:val="28"/>
          <w:rtl w:val="true"/>
          <w:lang w:bidi="fa-IR"/>
        </w:rPr>
        <w:t xml:space="preserve">برای شرط در تمام موارد استعمالش بستن و ربط دادن است و از شرط در امور اعتباری تعبیر به تعهد می شود زیرا تعهد به چیزی، نوعی بستگی و ربط داشتن آن شیء به عهده و ذمه کسی را می رساند و شاید هم ماده اش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و به شکل شرط در آمده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بعضی از اهل مطالعه و تتبع در حقوق مدنی پیرامون شرط چنین نوشته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توافقی که به منظور تغییر آثار قراردادی صورت می گیرد، اگر در ضمن همان قرارداد باشد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زن در ضمن عقد نکاح با شوهرش شرط </w:t>
      </w:r>
      <w:bookmarkStart w:id="82" w:name="pg6894_74483"/>
    </w:p>
    <w:p>
      <w:pPr>
        <w:pStyle w:val="BookText"/>
        <w:rPr/>
      </w:pPr>
      <w:bookmarkEnd w:id="82"/>
      <w:r>
        <w:rPr>
          <w:rFonts w:ascii="IRNazanin" w:hAnsi="IRNazanin" w:eastAsia="IRNazanin"/>
          <w:color w:val="111111"/>
          <w:sz w:val="28"/>
          <w:sz w:val="28"/>
          <w:szCs w:val="28"/>
          <w:rtl w:val="true"/>
          <w:lang w:bidi="fa-IR"/>
        </w:rPr>
        <w:t>کند که محل سکونت مشترک آنان را زن معین کند، می گویند ضمن عقد شرط شده که</w:t>
      </w:r>
    </w:p>
    <w:p>
      <w:pPr>
        <w:pStyle w:val="BookText"/>
        <w:rPr/>
      </w:pPr>
      <w:r>
        <w:rPr>
          <w:rFonts w:ascii="IRNazanin" w:hAnsi="IRNazanin" w:eastAsia="IRNazanin"/>
          <w:color w:val="111111"/>
          <w:sz w:val="28"/>
          <w:sz w:val="28"/>
          <w:szCs w:val="28"/>
          <w:rtl w:val="true"/>
          <w:lang w:bidi="fa-IR"/>
        </w:rPr>
        <w:t>حق تعیین سکنی با زن باشد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زیرا در صورت سکوت مقتضای اطلاق عقد آن است که این حق با مرد باشد پس</w:t>
      </w:r>
    </w:p>
    <w:p>
      <w:pPr>
        <w:pStyle w:val="BookText"/>
        <w:rPr/>
      </w:pPr>
      <w:r>
        <w:rPr>
          <w:rFonts w:ascii="IRNazanin" w:hAnsi="IRNazanin" w:eastAsia="IRNazanin"/>
          <w:color w:val="111111"/>
          <w:sz w:val="28"/>
          <w:sz w:val="28"/>
          <w:szCs w:val="28"/>
          <w:rtl w:val="true"/>
          <w:lang w:bidi="fa-IR"/>
        </w:rPr>
        <w:t xml:space="preserve">لازم الوفاست، همچنان که از سخن شیخ انصاری رحمة الله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وفای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شود؛ زیرا ایشان شرط جایز مذکور در ضمن عقد را جزئی از ایجاب و قبول دانسته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لازم بودن عقد، شرط مطرح شده در ضمن آن هم لازم می شود زیرا آن شرط جزئی از عقدی است که واجب الوفا می باشد، و اگر به آن عمل نشود به عقد وفا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این که شرطهای موردنظر از ضمانت اجرای کافی برخوردار باشند می توان آنها را در ضمن عقد لازمی آورد تا در سایه آن عقد لازم واجب الوفا شوند</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83" w:name="__RefHeading___Toc1440286_372815092"/>
      <w:bookmarkStart w:id="84" w:name="_Toc29"/>
      <w:bookmarkEnd w:id="83"/>
      <w:r>
        <w:rPr>
          <w:rtl w:val="true"/>
        </w:rPr>
        <w:t>بهره گیری از اراده مشروع به صورت شرط ضمن عقد</w:t>
      </w:r>
      <w:bookmarkEnd w:id="84"/>
    </w:p>
    <w:p>
      <w:pPr>
        <w:pStyle w:val="BookText"/>
        <w:rPr/>
      </w:pPr>
      <w:r>
        <w:rPr>
          <w:rFonts w:ascii="IRNazanin" w:hAnsi="IRNazanin" w:eastAsia="IRNazanin"/>
          <w:color w:val="111111"/>
          <w:sz w:val="28"/>
          <w:sz w:val="28"/>
          <w:szCs w:val="28"/>
          <w:rtl w:val="true"/>
          <w:lang w:bidi="fa-IR"/>
        </w:rPr>
        <w:t xml:space="preserve">یکی از راههای استفاده مشروع از اصل آزادی اراده و درخواست اموری بیش از مفاد و مقتضای عقود متعارف، شرط ضمن عقلي لازم می باشد چنین شرطی حتی برای آنهایی که طرفدار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حصری بودن عناوین عقود و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نیز راهگشاست و در میدان عمل و روابط حقوقی افراد تأثیر بسزایی دارد و تکالیف آینده متعاهدين را از قبل معلوم می کند بدیهی است با توجه به شرایطی که برای صحت و اعتبار شرط ضمن عقد مقرر شده در کنار برخورداری از مزایای اصل آزادی اراده در انعقاد قرارداد، راه سوء استفاده از آن اصل هم مسدود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عقدهایی که در آن بهره جویی از شرط ضمن عقد می تواند کارآیی بالایی 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 نشان دهد و از آزادی اراده به نحو مشروع به خوبی می شود استفاده کرد، قرارداد ازدواج است هر چند ظاهرا حكمت وجودی پیمان زناشویی ایجاد آرامش برای زن و </w:t>
      </w:r>
    </w:p>
    <w:p>
      <w:pPr>
        <w:pStyle w:val="BookText"/>
        <w:rPr/>
      </w:pPr>
      <w:r>
        <w:rPr>
          <w:rFonts w:ascii="IRNazanin" w:hAnsi="IRNazanin" w:eastAsia="IRNazanin"/>
          <w:color w:val="111111"/>
          <w:sz w:val="28"/>
          <w:sz w:val="28"/>
          <w:szCs w:val="28"/>
          <w:rtl w:val="true"/>
          <w:lang w:bidi="fa-IR"/>
        </w:rPr>
        <w:t>مرد در کنار یکدیگر است که با علاقه مندی و مودت آن دو به یکدیگر به دست خواهد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البته با رعایت مسأله کفویت و اعمال اراده و انتخاب سالم و تحقیق کامل و اجتناب از ظاهر بینی و هوسرانی و تعجیل این محبت و مودت باید به طور طبیعی بین زوجین پدید آید و در غیر این صورت، با اعمال و وضع قانون و مقررات نمی توان به زن و مردی که طبیعتا از این خصیصه ها عاری هستند مودت و رحمت را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ممکن است زوجهایی و خانواده هایی باشند که در عین رعایت همه این جوانب در زمان انشاء عقد، در طول زندگی مشترک آنها پیش آمدها و تحولاتی رخ دهد که خوی و خصلتهای طبیعی زوجین یا یکی از آن دو را تغییر دهد و یا اینکه به مرور زمان باطنها و طبيعتهای مخفی نگهداشته شده آنها کشف و هویدا شود در این صورت، مشکلاتی برای ادامه زندگی مشترک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نمی توان تنها به عشق و علاقه ظاهری و حتی میل و رغبت باطنی و سلامت و عزت نفس طرفین و شرافت خانوادگی و روابط فامیلی هر چند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بسنده کرد و نباید مغلوب عواطف و احساسات گردید و در وقت انشای عقد زناشویی از به کارگیری اختیارات و اعمال اراده معقول و خواسته های مشروع که فرصت استفاده از آنها فراهم است،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پیش بینی و طرح و پیشنهاد این مسایل از طرف زوجین یا اولیای آنها غالبا خوشایند عرف نیست با این که حق مسلم و مشروع هر یک است، لذا چه زیباست که عقلای فامیل و معتمدین و ریش سفیدان متشرع و متدین هر قومی در فضایی خالی از تعارفات و احساسات با زن و مرد صحبت کنند و آنها را با شروط و آثار قرارهایی که می توانند مطرح کنند، آشنا سازند و هر یک از آن دو هم فارغ از تمنیات و عوارض جوانی، با تعقل و تدبر و استعانت از مشاوران عالم و آشنا به معیارهای شرعی، تصمیم نهایی را خود بگیرند و در صورت تمایل و توافق کامل، یا خود در ضمن عقد نکاح مطرح سازند و یا از وکیل در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که عقد را چنان واقع بسازد که متضمن شروط در ضمن عقد لازم باشد تا از ضمانت اجرایی لازم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این شرایط به صراحت در متن عقدنامه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و با دقت نوشته شوند و به امضای متعهد برسند، و حتی چنانچه از آن فرصت استفاده نشد، بعدا هم در ضمن </w:t>
      </w:r>
      <w:bookmarkStart w:id="85" w:name="pg6894_74485"/>
    </w:p>
    <w:p>
      <w:pPr>
        <w:pStyle w:val="BookText"/>
        <w:rPr/>
      </w:pPr>
      <w:bookmarkEnd w:id="85"/>
      <w:r>
        <w:rPr>
          <w:rFonts w:ascii="IRNazanin" w:hAnsi="IRNazanin" w:eastAsia="IRNazanin"/>
          <w:color w:val="111111"/>
          <w:sz w:val="28"/>
          <w:sz w:val="28"/>
          <w:szCs w:val="28"/>
          <w:rtl w:val="true"/>
          <w:lang w:bidi="fa-IR"/>
        </w:rPr>
        <w:t>عقد خارج لازم دیگر می توانند التزام به انجام خواسته های مشروع خود را اخذ کنند و آنها را از ضمانت اجرایی قانونی لازم برخوردار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بروز ناملایمات غیرقابل تحمل در مقابل سلطه مرد برحق طلاق، زن هم با استفاده از این شروط، جلوی استفاده بی مورد و یا ظلم شوهر نامتعادل خود را بگیرد و از آن راه مرهمی بر جراحات خود نهد و تسکینی بر آلام خود بخشد و حل مشکل را برای خود و محکمه آسان کند در غیر این صورت حتی کسانی که به نحو صحیح این شیوه را نپیموده اند برای خود و دادگاه مشکلاتی ایجاد خواهند کرد و حتی در صورت موفقیت این گونه زنان به متارکه از طریق دادگاه، مشکل معنوی و روانی دیگری وجود خواهد داشت و آن اینکه برای مردان متدین و اهل احتیاط خواستگار چنین زنان مطلقه ای شبهاتی نسبت به صحت طلاق واقع شده و روا بودن ازدواج با آنان پدید خواهد آمد، و اگر هم افراد بی مبالات با آنها ازدواج کنند چه بسا که از عواقب شوم و آثار وضعی طلاق غیر صحیح و ازدواج باطل خود و نسل آنها در امان نباشند حال بعد از ذکر این کلیات وارد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و بررسی مبانی فقهی قانون اصلاح مقررات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 مجمع تشخیصمصلحت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w:t>
      </w:r>
    </w:p>
    <w:p>
      <w:pPr>
        <w:pStyle w:val="Heading4"/>
        <w:numPr>
          <w:ilvl w:val="3"/>
          <w:numId w:val="1"/>
        </w:numPr>
        <w:rPr/>
      </w:pPr>
      <w:bookmarkStart w:id="86" w:name="__RefHeading___Toc1440288_372815092"/>
      <w:bookmarkStart w:id="87" w:name="_Toc30"/>
      <w:bookmarkEnd w:id="86"/>
      <w:r>
        <w:rPr>
          <w:rtl w:val="true"/>
        </w:rPr>
        <w:t xml:space="preserve">تحلیل و بررسی مبانی فقهی قانون اصلاح مقررات طلاق </w:t>
      </w:r>
      <w:r>
        <w:rPr>
          <w:rtl w:val="true"/>
        </w:rPr>
        <w:t>(</w:t>
      </w:r>
      <w:r>
        <w:rPr>
          <w:rtl w:val="true"/>
        </w:rPr>
        <w:t>ماده واحده</w:t>
      </w:r>
      <w:r>
        <w:rPr>
          <w:rtl w:val="true"/>
        </w:rPr>
        <w:t>)</w:t>
      </w:r>
      <w:bookmarkEnd w:id="87"/>
    </w:p>
    <w:p>
      <w:pPr>
        <w:pStyle w:val="Heading5"/>
        <w:numPr>
          <w:ilvl w:val="4"/>
          <w:numId w:val="1"/>
        </w:numPr>
        <w:rPr/>
      </w:pPr>
      <w:bookmarkStart w:id="88" w:name="__RefHeading___Toc1440290_372815092"/>
      <w:bookmarkStart w:id="89" w:name="_Toc31"/>
      <w:bookmarkEnd w:id="88"/>
      <w:r>
        <w:rPr>
          <w:rtl w:val="true"/>
        </w:rPr>
        <w:t>وجه الزام زوجین به تسلیم دادخواست طلاق</w:t>
      </w:r>
      <w:bookmarkEnd w:id="89"/>
    </w:p>
    <w:p>
      <w:pPr>
        <w:pStyle w:val="BookText"/>
        <w:rPr/>
      </w:pPr>
      <w:r>
        <w:rPr>
          <w:rFonts w:ascii="IRNazanin" w:hAnsi="IRNazanin" w:eastAsia="IRNazanin"/>
          <w:color w:val="111111"/>
          <w:sz w:val="28"/>
          <w:sz w:val="28"/>
          <w:szCs w:val="28"/>
          <w:rtl w:val="true"/>
          <w:lang w:bidi="fa-IR"/>
        </w:rPr>
        <w:t>در بین مسلمانان شایع و متداول بلکه مقرر شرعی چنین است که اختیار امر طلاق به</w:t>
      </w:r>
    </w:p>
    <w:p>
      <w:pPr>
        <w:pStyle w:val="BookText"/>
        <w:rPr/>
      </w:pPr>
      <w:r>
        <w:rPr>
          <w:rFonts w:ascii="IRNazanin" w:hAnsi="IRNazanin" w:eastAsia="IRNazanin"/>
          <w:color w:val="111111"/>
          <w:sz w:val="28"/>
          <w:sz w:val="28"/>
          <w:szCs w:val="28"/>
          <w:rtl w:val="true"/>
          <w:lang w:bidi="fa-IR"/>
        </w:rPr>
        <w:t>دست مرد است، مگر این که در ضمن عقد لازمی زن از مرد وکالت گرفته باشد که در شرایط خاص خود را به وکالت از طرف زوج طلاق دهد، هر چند بعضی از فقهاء</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امامیه </w:t>
      </w:r>
      <w:r>
        <w:rPr>
          <w:rStyle w:val="FootnoteAnchor"/>
          <w:rtl w:val="true"/>
        </w:rPr>
        <w:footnoteReference w:id="14"/>
      </w:r>
      <w:r>
        <w:rPr>
          <w:rFonts w:ascii="IRNazanin" w:hAnsi="IRNazanin" w:eastAsia="IRNazanin"/>
          <w:color w:val="111111"/>
          <w:sz w:val="28"/>
          <w:sz w:val="28"/>
          <w:szCs w:val="28"/>
          <w:rtl w:val="true"/>
          <w:lang w:bidi="fa-IR"/>
        </w:rPr>
        <w:t>همین را هم جایز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بين قدما و متأخران و معاصران جواز </w:t>
      </w:r>
      <w:bookmarkStart w:id="90" w:name="pg6894_74486"/>
    </w:p>
    <w:p>
      <w:pPr>
        <w:pStyle w:val="BookText"/>
        <w:rPr/>
      </w:pPr>
      <w:bookmarkEnd w:id="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چنین فرضی مسأله طلاق از چند صورت خارج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زوجین هر دو به توافق می رسند که از همدیگر جدا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توافقی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بتنهایی تصمیم می گیرد که همسرش را طلاق دهد و زن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فرض مباينت و مخالفتی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اختیار مرد بودن حق طلاق دیده نمی شود، پس چرا باید حتما و الزاما زن و شوهر برای درخواست طلاق به دادگاه مراجعه کنند و دادخواست متارکه تسلیم دارند و بعد از بررسی، دادگاه اگر صلاح دید به آنان اجازه طلاق دهد؟ و آیا این موجب محدود کردن اختیارات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طلاق نمی شود؟ پاسخی که به ذهن می آید این است که با توجه به گسترش جوامع و دور افتادن و جدایی زنان و شوهران زیادی از قبیله و طایفه و خویشان و زادگاههای خویش و از طرف دیگر، عدم توجه بعضی از آنها به مسائل و ضوابط شرعی، و نیز عدم شناسایی افراد متارکه کننده و مطلقه شده و عدم اطلاع و شناخت دقیق رجوع کننده و هزاران پیامد شرعی و قانونی که مثلا بر طلاق مترتب است، اگر مسأله طلاق عموما و موضوع رجوع و طلاق رجعی خصوصة، تحت کنترل و نظارت حاکم زمان نباشد، جامعه با معضلات زیادی دست به گریبان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اجتناب از آن عواقب مراجعه به دادگاه، حتی در طلاق توافقی، لازم و به صلاح افراد و نظم عمومی جامعه می باشد و در زمان اداره جامعه از سوی فقیه جامع الشرایط، بنابر ادله عقلی او می تواند این چنین الزاماتی را مقرر بدارد</w:t>
      </w:r>
      <w:r>
        <w:rPr>
          <w:rFonts w:eastAsia="IRNazanin" w:cs="IRNazanin"/>
          <w:color w:val="111111"/>
          <w:sz w:val="28"/>
          <w:szCs w:val="28"/>
          <w:rtl w:val="true"/>
          <w:lang w:bidi="fa-IR"/>
        </w:rPr>
        <w:t>.</w:t>
      </w:r>
    </w:p>
    <w:p>
      <w:pPr>
        <w:pStyle w:val="Heading5"/>
        <w:numPr>
          <w:ilvl w:val="4"/>
          <w:numId w:val="1"/>
        </w:numPr>
        <w:rPr/>
      </w:pPr>
      <w:bookmarkStart w:id="91" w:name="__RefHeading___Toc1440292_372815092"/>
      <w:bookmarkStart w:id="92" w:name="_Toc32"/>
      <w:bookmarkEnd w:id="91"/>
      <w:r>
        <w:rPr>
          <w:rtl w:val="true"/>
        </w:rPr>
        <w:t>بررسی اقدامات اولیه دادگاه برای متقاضیان طلاق</w:t>
      </w:r>
      <w:bookmarkEnd w:id="92"/>
    </w:p>
    <w:p>
      <w:pPr>
        <w:pStyle w:val="Heading6"/>
        <w:numPr>
          <w:ilvl w:val="5"/>
          <w:numId w:val="1"/>
        </w:numPr>
        <w:rPr/>
      </w:pPr>
      <w:bookmarkStart w:id="93" w:name="__RefHeading___Toc1440294_372815092"/>
      <w:bookmarkStart w:id="94" w:name="_Toc33"/>
      <w:bookmarkEnd w:id="93"/>
      <w:r>
        <w:rPr>
          <w:rtl w:val="true"/>
        </w:rPr>
        <w:t>ارجاع زوجین به داوری و تشکیل محكمة صلح خانوادگی</w:t>
      </w:r>
      <w:bookmarkEnd w:id="94"/>
    </w:p>
    <w:p>
      <w:pPr>
        <w:pStyle w:val="BookText"/>
        <w:rPr/>
      </w:pPr>
      <w:r>
        <w:rPr>
          <w:rFonts w:ascii="IRNazanin" w:hAnsi="IRNazanin" w:eastAsia="IRNazanin"/>
          <w:color w:val="111111"/>
          <w:sz w:val="28"/>
          <w:sz w:val="28"/>
          <w:szCs w:val="28"/>
          <w:rtl w:val="true"/>
          <w:lang w:bidi="fa-IR"/>
        </w:rPr>
        <w:t>بعد از اینکه زندگی مشترک زن و شوهری به اختلاف و شقاق و ناسازگاری گرایید، 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دو یا هر دو نفرشان بنای متارکه گذاشتند و درخواست جدایی از یکدیگر را از مقامات مسئول دادگاه مطرح کردند، با تأسی به قرآن کریم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خِفْتُمْ </w:t>
      </w:r>
    </w:p>
    <w:p>
      <w:pPr>
        <w:pStyle w:val="BookText"/>
        <w:rPr/>
      </w:pPr>
      <w:r>
        <w:rPr>
          <w:rFonts w:ascii="Amiri" w:hAnsi="Amiri" w:eastAsia="Amiri" w:cs="Amiri"/>
          <w:color w:val="111111"/>
          <w:sz w:val="28"/>
          <w:sz w:val="28"/>
          <w:szCs w:val="28"/>
          <w:rtl w:val="true"/>
          <w:lang w:bidi="ar-SA"/>
        </w:rPr>
        <w:t xml:space="preserve">شِقاقَ بَيْنِهِما فَابْعَثُوا حَكَماً مِنْ أَهْلِهِ وَ حَكَماً مِنْ أَهْلِها إِنْ يُرِيدا إِصْلاحاً یوفق اللَّهُ بَيْنَهُمَا </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اگر بیم اختلاف و ناسازگاری بین زوجین را داشتید، پس مأموریت بدهید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و ظاهرالصلاحی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اگر این دو گم با حسن نیت و دلسوزی وارد کار شوند و هدفشان اصلاح میان آن دو همسر باشد، خداوند کمک می کند و به وسیله آنان میان دو همسر، الفت ایجاد می کند، پس باید دو داور برگزیده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انتخاب داور به دست چه کسی است؟ آیا خود زن و شوهر موظف به چنین کاری هستند یا عدول مؤمنین و خیرخواهان از بین فامیل و همسایگان و اهل محل آنها و یا قضات و حاکمان شرع که معمولا در چنین مواقعی مأمن و ملجأ و پناهگاه مظلومان قرا می گیرند؟ ظاهر سخن فقها و مفسران بزرگ شیعه این است که حاکمی که زن و شوهر اختلاف خود را پیش او مرافعه می نمایند مخاطب می باشد، همچنان که مرحوم شیخ طوسی در تفسیر تبیان در ذیل آیه فوق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المأمور ببعث الحكمين قيل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 و الضحاك و أكثر</w:t>
      </w:r>
    </w:p>
    <w:p>
      <w:pPr>
        <w:pStyle w:val="BookText"/>
        <w:rPr/>
      </w:pPr>
      <w:r>
        <w:rPr>
          <w:rFonts w:ascii="Amiri" w:hAnsi="Amiri" w:eastAsia="Amiri" w:cs="Amiri"/>
          <w:color w:val="111111"/>
          <w:sz w:val="28"/>
          <w:sz w:val="28"/>
          <w:szCs w:val="28"/>
          <w:rtl w:val="true"/>
          <w:lang w:bidi="ar-SA"/>
        </w:rPr>
        <w:t>الفقهاء و هو الظاهر في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السلطان الذي يترافعان إليه،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الرجل و المرأة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بنابر این، از لحن و خطاب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نظر اکثر فقها و مفسران شیعه و شاید هم تمام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چنین بر می آید که مخاطب آن، حاکمان شرع می باشند نه خود زن و مرد زیرا اگر انتخاب حکم به نظر آنها واگذار شود چه بسا فلسفه انتخاب گم از بین برود؛ چون در آن صورت، هر یک فردی را انتخاب خواهد کرد که خواسته او را تأمین کند نه مصلحت و سعادت او را، در حالی که هدف از چنین دستوری هر چند ارشادی و ندبی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داور، صرف نظر از خواسته دل هر یک با بررسی اوضاع و احوال و اسباب فراهم آورنده شقاق و اختلاف، در کنار شنیدن درد دلها و مشکلات و آمال درونی هر یک، منصفانه آنچه را که با وضع موجود مناسبتر و بیشتر به صلاح آن دو می بیند، با در نظر گرفتن خدا و قیامت و مطلع بودن از بایدها و نبایدهای شرعی، در راه اصلاح میان </w:t>
      </w:r>
    </w:p>
    <w:p>
      <w:pPr>
        <w:pStyle w:val="BookText"/>
        <w:rPr/>
      </w:pPr>
      <w:r>
        <w:rPr>
          <w:rFonts w:ascii="IRNazanin" w:hAnsi="IRNazanin" w:eastAsia="IRNazanin"/>
          <w:color w:val="111111"/>
          <w:sz w:val="28"/>
          <w:sz w:val="28"/>
          <w:szCs w:val="28"/>
          <w:rtl w:val="true"/>
          <w:lang w:bidi="fa-IR"/>
        </w:rPr>
        <w:t>زن و شوهر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آنچه امروزه گاه در بعضی دادگاههای مدنی خاص</w:t>
      </w:r>
    </w:p>
    <w:p>
      <w:pPr>
        <w:pStyle w:val="BookText"/>
        <w:rPr/>
      </w:pPr>
      <w:r>
        <w:rPr>
          <w:rFonts w:ascii="IRNazanin" w:hAnsi="IRNazanin" w:eastAsia="IRNazanin"/>
          <w:color w:val="111111"/>
          <w:sz w:val="28"/>
          <w:sz w:val="28"/>
          <w:szCs w:val="28"/>
          <w:rtl w:val="true"/>
          <w:lang w:bidi="fa-IR"/>
        </w:rPr>
        <w:t xml:space="preserve">جمهوری اسلامی مشاهده می شود که قضات معرفی داور را به طرفین دعوای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گذارند، نمی تواند بخوبی هدف این آیه شریفه را تأمین کند، بلکه زحمت مضاعفی را می طلبد، چرا که قاضی باید خود مستقیما یا به وسیله دیگران که در قضیه بی طرف باشند اهل خیر و صلاح از بین فامیل هر یک از طرفین دعوی را بیابد و بعد با تفهیم مأموریت و اهداف و اجر و عقاب انجام داوری آنها را مأمور این 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فراهم آوردن داور مشکل شد و تعیین این که کدام یک از زن و شوهر مقصر</w:t>
      </w:r>
    </w:p>
    <w:p>
      <w:pPr>
        <w:pStyle w:val="BookText"/>
        <w:rPr/>
      </w:pPr>
      <w:r>
        <w:rPr>
          <w:rFonts w:ascii="IRNazanin" w:hAnsi="IRNazanin" w:eastAsia="IRNazanin"/>
          <w:color w:val="111111"/>
          <w:sz w:val="28"/>
          <w:sz w:val="28"/>
          <w:szCs w:val="28"/>
          <w:rtl w:val="true"/>
          <w:lang w:bidi="fa-IR"/>
        </w:rPr>
        <w:t>هستند نیز ممکن نبود، چه باید کرد؟ شیخ طوسیله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فرضی حاکم و قاضی، آن دو را در همسایگی فرد مورد اطمینانی سکونت دهد که او ناظر بر رفتار آنان باشد، و دریابد که کدام یک از آن دو، نافرمان و مقصر است، زیرا خود قاضی و حاكم بشخصه نمی تواند رفتار زوجین و معاشرت آنها را مستقیما زیر نظر بگیرد و مقصر را تعیین کند، ولی وقتی که آن فرد موثق از نشوز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تقصیر یکی از آن دو خبر داد حاکم طبق آن، حکم صادر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طوسیله پیداست که خوب است این مرحله قبل از انتخاب حکم رعایت شود و حکمیت برای وقتی است که حاکم می داند که هر یک به سهم خود نسبت به شریک زندگی خود نشوز و نافرمانی می ورزد و کار آنها هم به فحاشی و کتک کاری و جامه دریدن و دیگر اعمال غیر حلال و ناروا کشیده شده است و مرد حاضر به سازش و آشتی و یا متارکه نمی شود و زن حقوق شوهر را ادا نمی کند و حاضر به طلاق خلعی هم نیست، این جاست که نوبت تمسک به آیه شریفه و انتخاب دو داور می رسد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انتخاب گم را از باب حکم و دستور قضایی می داند، لذا علاوه بر آنچه از تفسیر تبیان نقل کردیم در مبسوط هم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 يَقْتَضِيهِ مَذْهَبِنَا أَنَّ ذَلِكَ كَمْ لِأَنَّهُمْ رَوَوْا أَنَّ لَهُمَا الْإِصْلَاحِ مِنْ غَيْرِ استیذان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مذهب ما امامیه اقتضا می کند این است که ارجاع امر زوجین به داوری از باب حکومت و فرمان ولایی یا </w:t>
      </w:r>
    </w:p>
    <w:p>
      <w:pPr>
        <w:pStyle w:val="BookText"/>
        <w:rPr/>
      </w:pPr>
      <w:r>
        <w:rPr>
          <w:rFonts w:ascii="IRNazanin" w:hAnsi="IRNazanin" w:eastAsia="IRNazanin"/>
          <w:color w:val="111111"/>
          <w:sz w:val="28"/>
          <w:sz w:val="28"/>
          <w:szCs w:val="28"/>
          <w:rtl w:val="true"/>
          <w:lang w:bidi="fa-IR"/>
        </w:rPr>
        <w:t>قضایی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بنا بر قول به داوری حکمی، شخص حاکم داوران را انتخاب و شرح وظایف آنها را</w:t>
      </w:r>
    </w:p>
    <w:p>
      <w:pPr>
        <w:pStyle w:val="BookText"/>
        <w:rPr/>
      </w:pPr>
      <w:r>
        <w:rPr>
          <w:rFonts w:ascii="IRNazanin" w:hAnsi="IRNazanin" w:eastAsia="IRNazanin"/>
          <w:color w:val="111111"/>
          <w:sz w:val="28"/>
          <w:sz w:val="28"/>
          <w:szCs w:val="28"/>
          <w:rtl w:val="true"/>
          <w:lang w:bidi="fa-IR"/>
        </w:rPr>
        <w:t>گوشزد می کند، و آنها ملزم به توجه و التفات به رضایت زوجین هم نخواهند بود، بلکه حاکم می گوید که بعد از بررسی، اگر رأی هماهنگ بر اصلاح و سازش بین آن دو داشتید آنها را اصلاح دهید و اگر نظرتان بر متارکه آنها تعلق گرفت، چه طلاق رجوعی و چه خلعی، همان را انجام دهید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این باید با اجازه و نمایندگی از طرف حاکم باشد و الا حکمین حق مداخله در امر طلاق را نخواهند داشت؛ زیرا مرحوم شیخ بعد از چند سطر در مقام بيان قول مختار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لهما الفرقه بالطلاق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حکم و داور حق جدایی</w:t>
      </w:r>
    </w:p>
    <w:p>
      <w:pPr>
        <w:pStyle w:val="BookText"/>
        <w:rPr/>
      </w:pPr>
      <w:r>
        <w:rPr>
          <w:rFonts w:ascii="IRNazanin" w:hAnsi="IRNazanin" w:eastAsia="IRNazanin"/>
          <w:color w:val="111111"/>
          <w:sz w:val="28"/>
          <w:sz w:val="28"/>
          <w:szCs w:val="28"/>
          <w:rtl w:val="true"/>
          <w:lang w:bidi="fa-IR"/>
        </w:rPr>
        <w:t>انداختن بین زن و شوهر به وسیله طلاق و غیر آن را ندارند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نویسندگان محترم تفسیر نمونه در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صلح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ذیل تفسیر آیه شریفه مذکور، بیانات رسا و زیبایی دارند که نقل آنها را خالی از فایده و لطف نمی بینیم، لذا آن را به عنوان مؤید بر مطالب ذکر شده درباره مسأله حکمت</w:t>
      </w:r>
    </w:p>
    <w:p>
      <w:pPr>
        <w:pStyle w:val="BookText"/>
        <w:rPr/>
      </w:pPr>
      <w:r>
        <w:rPr>
          <w:rFonts w:ascii="IRNazanin" w:hAnsi="IRNazanin" w:eastAsia="IRNazanin"/>
          <w:color w:val="111111"/>
          <w:sz w:val="28"/>
          <w:sz w:val="28"/>
          <w:szCs w:val="28"/>
          <w:rtl w:val="true"/>
          <w:lang w:bidi="fa-IR"/>
        </w:rPr>
        <w:t>حکمین در این 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محکمه صلح خانوادگی که در آیه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یکی از شاهکارهای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محکمه امتیازاتی دارد که سایر محاکم فاقد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خانواده کانون احساسات و عواطف است و طبعا مقیاسی که در این محیط</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کار رود با مقیاس سایر محيطها متفاوت است، یعنی همان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دادگاههای جنایی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 مقیاس محبت و عاطفه کار کرد، در محیط خانواده نیز نمی توان تنها با مقیاس خشک قانون و مقررات بی روح گام برداشت، در اینجا باید حتی الامکان اختلافات را از طرق عاطفی حل کرد، لذا دستور می دهد که داوران این محکمه کسانی باشند که پیوند خویشاوندی به دو همسر دارند و می توانند عواطف آنها را در مسیر اصلاح تحریک کنند، بدیهی است این امتیاز تنها در این محکمه است و سایر محاكم فاقد آن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محاکم عادی قضایی طرفین دعوی مجبورند برای دفاع از خود، هر گونه اسراری که دارند فاش سازند، مسلم است که اگر زن و مرد در برابر افراد بیگانه و اجنبی اسرار زناشویی خود را فاش سازند احساسات یکدیگر را آن چنان جریحه دار می کنند که اگر به اجبار دادگاه به منزل و خانه بازگردند، دیگر از آن صمیمیت و محبت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دو فرد بیگانه می شوند که به حکم اجبار باید وظایفی را انجام دهند، اصولا تجربه نشان داده است که زن و شوهری که راهی آن گونه محاکم می شوند دیگر زن و شوهر سابق نیستند، ولی در محكمه صلح فامیلی با این گونه مطالب به خاطر شرم حضور مطرح نمی شود و یا اگر بشود چون در برابر آشنایان و محرمان است آن اثر سوء را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داوران در محاکم معمولی، در جریان اختلافات غالبا بی تفاوتند و قضیه به هر شکل خاتمه یابد برای آنها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 به خانه بازگردند یا برای همیشه از یکدیگر جدا شوند، برای آنها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محكمه صلح فامیلی مطلب کاملا به عکس است زیرا داوران این محکمه از بستگان نزدیک مرد و زن هستند، و جدایی یا صلح آن دو، در زندگی اینعده هم از نظر عاطفی و هم از نظر مسئولیتهای ناشی از آن تأثیر دارد، و لذا آنها نهایت کوشش را به خرج می دهند که صلح و صمیمیت در میان این دو برقرار شود و به اصطلاح آب رفته به جوی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اینها گذشته چنین محکمه ای هیچ یک از مشکلات و هزینه های سرسام آور و سرگردانی های محاكم معمولی را ندارد و بدون هیچ گونه تشریفاتی طرفین می توانند در کمترین مدت به مقصود خود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روشن است که کمین باید از میان افراد پخته و با تدبیر و آگاه دو فامیل انتخاب</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امتیازات که شمردیم معلوم می شود که شانس موفقیت این محکمه در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میان دو همسر به مراتب بیشتر از محاکم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حکمین و شرایط آنها و دایره نفوذ حکم و داوری آنها درباره دو همسر در فقه اسلامی مشروحا بیان شده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باید بالغ و عاقل و عادل و نسبت به کار خود بصیر و بینا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نفوذ حکم و داوری آنها در مورد دو همسر بعضی از فقها حكم آن دو را هر چه باشد لازم الاجرا دانسته اند و ظاهر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نیز همین معنی را می رساند، زیرا مفهوم حکمت و داوری، نفوذ حكم است، ولی بیشتر فقها نظر حکمین </w:t>
      </w:r>
      <w:bookmarkStart w:id="95" w:name="pg6894_74491"/>
    </w:p>
    <w:p>
      <w:pPr>
        <w:pStyle w:val="BookText"/>
        <w:rPr/>
      </w:pPr>
      <w:bookmarkEnd w:id="95"/>
      <w:r>
        <w:rPr>
          <w:rFonts w:ascii="IRNazanin" w:hAnsi="IRNazanin" w:eastAsia="IRNazanin"/>
          <w:color w:val="111111"/>
          <w:sz w:val="28"/>
          <w:sz w:val="28"/>
          <w:szCs w:val="28"/>
          <w:rtl w:val="true"/>
          <w:lang w:bidi="fa-IR"/>
        </w:rPr>
        <w:t>را تنها در مورد سازش و رفع اختلاف میان دو همسر، لازم الاجرا دانسته اند و حتی</w:t>
      </w:r>
    </w:p>
    <w:p>
      <w:pPr>
        <w:pStyle w:val="BookText"/>
        <w:rPr/>
      </w:pPr>
      <w:r>
        <w:rPr>
          <w:rFonts w:ascii="IRNazanin" w:hAnsi="IRNazanin" w:eastAsia="IRNazanin"/>
          <w:color w:val="111111"/>
          <w:sz w:val="28"/>
          <w:sz w:val="28"/>
          <w:szCs w:val="28"/>
          <w:rtl w:val="true"/>
          <w:lang w:bidi="fa-IR"/>
        </w:rPr>
        <w:t xml:space="preserve">معتقدند اگر حکمین شرایطی بر زن یا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لازم الاجراست اما در مورد جدایی، حکم آنها به تنهایی نافذ نیست، و ذیل آیه که اشاره به مسأله اصلاح میکند با این نظر سازگارتر است</w:t>
      </w:r>
      <w:r>
        <w:rPr>
          <w:rFonts w:eastAsia="IRNazanin" w:cs="IRNazanin"/>
          <w:color w:val="111111"/>
          <w:sz w:val="28"/>
          <w:szCs w:val="28"/>
          <w:rtl w:val="true"/>
          <w:lang w:bidi="fa-IR"/>
        </w:rPr>
        <w:t xml:space="preserve">. </w:t>
      </w:r>
      <w:r>
        <w:rPr>
          <w:rStyle w:val="FootnoteAnchor"/>
          <w:rtl w:val="true"/>
        </w:rPr>
        <w:footnoteReference w:id="21"/>
      </w:r>
    </w:p>
    <w:p>
      <w:pPr>
        <w:pStyle w:val="Heading6"/>
        <w:numPr>
          <w:ilvl w:val="5"/>
          <w:numId w:val="1"/>
        </w:numPr>
        <w:rPr/>
      </w:pPr>
      <w:bookmarkStart w:id="96" w:name="__RefHeading___Toc1440296_372815092"/>
      <w:bookmarkStart w:id="97" w:name="_Toc34"/>
      <w:bookmarkEnd w:id="96"/>
      <w:r>
        <w:rPr>
          <w:rtl w:val="true"/>
        </w:rPr>
        <w:t>صدور گواهی عدم امکان سازش و ارجاع و اعلان به محضر</w:t>
      </w:r>
      <w:bookmarkEnd w:id="97"/>
    </w:p>
    <w:p>
      <w:pPr>
        <w:pStyle w:val="BookText"/>
        <w:rPr/>
      </w:pPr>
      <w:r>
        <w:rPr>
          <w:rFonts w:ascii="IRNazanin" w:hAnsi="IRNazanin" w:eastAsia="IRNazanin"/>
          <w:color w:val="111111"/>
          <w:sz w:val="28"/>
          <w:sz w:val="28"/>
          <w:szCs w:val="28"/>
          <w:rtl w:val="true"/>
          <w:lang w:bidi="fa-IR"/>
        </w:rPr>
        <w:t>همان گونه که در قبل بیان شد یکی از موجبات الزام زوجین متقاضی طلاق به اخذ گواهی عدم امکان سازش به نظم کشیدن رفتار شهروندان و جامعه و جلوگیری از بروز هرج و مرج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 این پرسش هست که چرا از ثبت طلاقهایی که زوجین با توافق هم و رعایت ضوابط شرعی و احيانا بعد از مراجعه به داوری عدلین و تدبر و اندیشه زیاد تصمیم بر جدایی گرفته اند و صیغه طلاق هم جاری شده جلوگیری شود؟</w:t>
      </w:r>
    </w:p>
    <w:p>
      <w:pPr>
        <w:pStyle w:val="BookText"/>
        <w:rPr/>
      </w:pPr>
      <w:r>
        <w:rPr>
          <w:rFonts w:ascii="IRNazanin" w:hAnsi="IRNazanin" w:eastAsia="IRNazanin"/>
          <w:color w:val="111111"/>
          <w:sz w:val="28"/>
          <w:sz w:val="28"/>
          <w:szCs w:val="28"/>
          <w:rtl w:val="true"/>
          <w:lang w:bidi="fa-IR"/>
        </w:rPr>
        <w:t>در پاسخ علاوه بر آنچه در سابق مطرح شد،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در مقابل همه</w:t>
      </w:r>
    </w:p>
    <w:p>
      <w:pPr>
        <w:pStyle w:val="BookText"/>
        <w:rPr/>
      </w:pPr>
      <w:r>
        <w:rPr>
          <w:rFonts w:ascii="IRNazanin" w:hAnsi="IRNazanin" w:eastAsia="IRNazanin"/>
          <w:color w:val="111111"/>
          <w:sz w:val="28"/>
          <w:sz w:val="28"/>
          <w:szCs w:val="28"/>
          <w:rtl w:val="true"/>
          <w:lang w:bidi="fa-IR"/>
        </w:rPr>
        <w:t>افراد جامعه احساس مسئولیت می کند و از طرفی مطمئن هم نیست که همه آنها شیوه</w:t>
      </w:r>
    </w:p>
    <w:p>
      <w:pPr>
        <w:pStyle w:val="BookText"/>
        <w:rPr/>
      </w:pPr>
      <w:r>
        <w:rPr>
          <w:rFonts w:ascii="IRNazanin" w:hAnsi="IRNazanin" w:eastAsia="IRNazanin"/>
          <w:color w:val="111111"/>
          <w:sz w:val="28"/>
          <w:sz w:val="28"/>
          <w:szCs w:val="28"/>
          <w:rtl w:val="true"/>
          <w:lang w:bidi="fa-IR"/>
        </w:rPr>
        <w:t>معقول و مسیری شرع پسند را در این زمینه بپیمایند، لذا برای جلوگیری از بی نظمی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یک سری تشریفات و مقررات را لازم دانسته، که از آن جمله، ثبت واقعه طلاق را منوط به ارائه گواهی عدم امکان سازش کرده است، زیرا اگر غیر از این باشد همچنان که تجربه هم ثابت می کنند بسیاری از زوجین با اندک ناراحتی و جزئی اختلافی اقدام به متارکه می کنند و بعد چه بسا بزودی هم پشیمان می شوند، قانونگذار با این تدبیر خواسته زندگیهای قابل استمرار و التیام را از اضمحلال نجات دهد و آنهایی هم که به آخر خط رسیده اند نهایتا گواهی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عدم امکان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 آورند؛ ولی ممکن است گفته شود که چرا باید آنقدر معطل بشوند و رفت و آمد مکرر به دادگاه داشته باشند؟ آیا حاکم در مقابل آن همه اتلاف وقت و از دست رفتن فرصتها مسئول نخواهد بود؟ در پاسخ می گوییم شاید بتوان این مقدار تصرف در اوقات و امور مردم را اگر حاکمیت به دست مجتهد جامع الشرایط باشد، به حل شده و مشروع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8" w:name="pg6894_74492"/>
    </w:p>
    <w:p>
      <w:pPr>
        <w:pStyle w:val="BookText"/>
        <w:rPr/>
      </w:pPr>
      <w:bookmarkEnd w:id="98"/>
      <w:r>
        <w:rPr>
          <w:rFonts w:ascii="IRNazanin" w:hAnsi="IRNazanin" w:eastAsia="IRNazanin"/>
          <w:color w:val="111111"/>
          <w:sz w:val="28"/>
          <w:sz w:val="28"/>
          <w:szCs w:val="28"/>
          <w:rtl w:val="true"/>
          <w:lang w:bidi="fa-IR"/>
        </w:rPr>
        <w:t>غیر این صورت، واقعا مشکل است و چه بسا همین احتمالات موجب شده که فقهای</w:t>
      </w:r>
    </w:p>
    <w:p>
      <w:pPr>
        <w:pStyle w:val="BookText"/>
        <w:rPr/>
      </w:pPr>
      <w:r>
        <w:rPr>
          <w:rFonts w:ascii="IRNazanin" w:hAnsi="IRNazanin" w:eastAsia="IRNazanin"/>
          <w:color w:val="111111"/>
          <w:sz w:val="28"/>
          <w:sz w:val="28"/>
          <w:szCs w:val="28"/>
          <w:rtl w:val="true"/>
          <w:lang w:bidi="fa-IR"/>
        </w:rPr>
        <w:t>شورای نگهبان مصوبه مجلس را تأیید نکنند و نهایتا مجلس آن را به مجمع تشخیص</w:t>
      </w:r>
    </w:p>
    <w:p>
      <w:pPr>
        <w:pStyle w:val="BookText"/>
        <w:rPr/>
      </w:pPr>
      <w:r>
        <w:rPr>
          <w:rFonts w:ascii="IRNazanin" w:hAnsi="IRNazanin" w:eastAsia="IRNazanin"/>
          <w:color w:val="111111"/>
          <w:sz w:val="28"/>
          <w:sz w:val="28"/>
          <w:szCs w:val="28"/>
          <w:rtl w:val="true"/>
          <w:lang w:bidi="fa-IR"/>
        </w:rPr>
        <w:t xml:space="preserve">مصلحت نظام ارجاع کرد و آن نهاد با عنایت به مصالح جامعه و اختیاراتی که از طرف قانون اساسی و مقام رهبری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در قسمتهایی از آن به عناوین ثانوی توجه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اصلاح مقررات طلاق را به این صورت به تصویب رساند</w:t>
      </w:r>
      <w:r>
        <w:rPr>
          <w:rFonts w:eastAsia="IRNazanin" w:cs="IRNazanin"/>
          <w:color w:val="111111"/>
          <w:sz w:val="28"/>
          <w:szCs w:val="28"/>
          <w:rtl w:val="true"/>
          <w:lang w:bidi="fa-IR"/>
        </w:rPr>
        <w:t>.</w:t>
      </w:r>
    </w:p>
    <w:p>
      <w:pPr>
        <w:pStyle w:val="Heading5"/>
        <w:numPr>
          <w:ilvl w:val="4"/>
          <w:numId w:val="1"/>
        </w:numPr>
        <w:rPr/>
      </w:pPr>
      <w:bookmarkStart w:id="99" w:name="__RefHeading___Toc1440298_372815092"/>
      <w:bookmarkStart w:id="100" w:name="_Toc35"/>
      <w:bookmarkEnd w:id="99"/>
      <w:r>
        <w:rPr>
          <w:rtl w:val="true"/>
        </w:rPr>
        <w:t xml:space="preserve">بررسی تبصره </w:t>
      </w:r>
      <w:r>
        <w:rPr/>
        <w:t>6</w:t>
      </w:r>
      <w:r>
        <w:rPr>
          <w:rtl w:val="true"/>
        </w:rPr>
        <w:t xml:space="preserve"> </w:t>
      </w:r>
      <w:r>
        <w:rPr>
          <w:rtl w:val="true"/>
        </w:rPr>
        <w:t xml:space="preserve">ماده واحده </w:t>
      </w:r>
      <w:r>
        <w:rPr>
          <w:rtl w:val="true"/>
        </w:rPr>
        <w:t>(</w:t>
      </w:r>
      <w:r>
        <w:rPr>
          <w:rtl w:val="true"/>
        </w:rPr>
        <w:t>مقررات طلاق</w:t>
      </w:r>
      <w:r>
        <w:rPr>
          <w:rtl w:val="true"/>
        </w:rPr>
        <w:t>)</w:t>
      </w:r>
      <w:bookmarkEnd w:id="100"/>
    </w:p>
    <w:p>
      <w:pPr>
        <w:pStyle w:val="Heading6"/>
        <w:numPr>
          <w:ilvl w:val="5"/>
          <w:numId w:val="1"/>
        </w:numPr>
        <w:rPr/>
      </w:pPr>
      <w:bookmarkStart w:id="101" w:name="__RefHeading___Toc1440300_372815092"/>
      <w:bookmarkStart w:id="102" w:name="_Toc36"/>
      <w:bookmarkEnd w:id="101"/>
      <w:r>
        <w:rPr>
          <w:rtl w:val="true"/>
        </w:rPr>
        <w:t>اشکالات وارد بر تبصرة فوق</w:t>
      </w:r>
      <w:bookmarkEnd w:id="102"/>
    </w:p>
    <w:p>
      <w:pPr>
        <w:pStyle w:val="BookText"/>
        <w:rPr/>
      </w:pPr>
      <w:r>
        <w:rPr>
          <w:rFonts w:ascii="IRNazanin" w:hAnsi="IRNazanin" w:eastAsia="IRNazanin"/>
          <w:color w:val="111111"/>
          <w:sz w:val="28"/>
          <w:sz w:val="28"/>
          <w:szCs w:val="28"/>
          <w:rtl w:val="true"/>
          <w:lang w:bidi="fa-IR"/>
        </w:rPr>
        <w:t xml:space="preserve">یکی از تبصره های بحث انگیز و مورد توجه قانون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واحده مصوب مجمع تشخیص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باشد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طلاق در صورت درخواست زوجه مبنی بر مطالبه حق الزحمه کارهایی که شرعا به عهده وی نبوده است، دادگاه از طریق تصالح نسبت به تأمین خواسته زوجه اقدام می نماید، و در صورت عدم امکان تصالح چنانچه ضمن عقد یا عقد خارج لازم در خصوص امور مالی شرطی شده باشد، طبق آن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که در این قسمت به ذهن می آید، مقید کردن پرداخت حق الزحمه کارهای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تبرعی و آنچه به امر شوهر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پس از طلاق، اگر از آن اراده حصر شود، صحیح نیست، بلکه حتی قبل از طلاق هم زن، اگر حقى وطلبی بابت اجرت کارهایی که به امر شوهر و بدون قصد تبرع انجام داده داشته باشد و آن را مطالبه کند، چنین دعوایی قابل استماع است و صدور حكم الزام شوهر، به عنوان مدیون، بر ادای مطالبات زن معقول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مناسب نیست، مگر اینکه مقنن از آن اراده حصر نکرده و نخواسته باشد که دیگران هم از آن چنین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معمولا زنها برای چنین مطالباتی، زمانی طرح دادخواست می کنند که بخواهند از شوهرانشان جدا شوند، لذا در مقام تقنین و قانونگذاری هم این کلمه به قلم جاری شده است، و الا از این جمله و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چنین برداشت کرد که مطالبه حق الزحمه کارهای غیر تبرعی و انجام شده به دستور شوهر، در طول </w:t>
      </w:r>
    </w:p>
    <w:p>
      <w:pPr>
        <w:pStyle w:val="BookText"/>
        <w:rPr/>
      </w:pPr>
      <w:r>
        <w:rPr>
          <w:rFonts w:ascii="IRNazanin" w:hAnsi="IRNazanin" w:eastAsia="IRNazanin"/>
          <w:color w:val="111111"/>
          <w:sz w:val="28"/>
          <w:sz w:val="28"/>
          <w:szCs w:val="28"/>
          <w:rtl w:val="true"/>
          <w:lang w:bidi="fa-IR"/>
        </w:rPr>
        <w:t>زندگی مشترک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تبصره، سوای این نکته، ابهام و ایراد دیگری حداقل به نظر نگارنده نمی آید</w:t>
      </w:r>
    </w:p>
    <w:p>
      <w:pPr>
        <w:pStyle w:val="BookText"/>
        <w:rPr/>
      </w:pPr>
      <w:r>
        <w:rPr>
          <w:rFonts w:ascii="IRNazanin" w:hAnsi="IRNazanin" w:eastAsia="IRNazanin"/>
          <w:color w:val="111111"/>
          <w:sz w:val="28"/>
          <w:sz w:val="28"/>
          <w:szCs w:val="28"/>
          <w:rtl w:val="true"/>
          <w:lang w:bidi="fa-IR"/>
        </w:rPr>
        <w:t>خصوصا بعد از آنکه مطالبی را پیرامون شرط ضمن عقد و احکام و آثار و ضمانت</w:t>
      </w:r>
    </w:p>
    <w:p>
      <w:pPr>
        <w:pStyle w:val="BookText"/>
        <w:rPr/>
      </w:pPr>
      <w:r>
        <w:rPr>
          <w:rFonts w:ascii="IRNazanin" w:hAnsi="IRNazanin" w:eastAsia="IRNazanin"/>
          <w:color w:val="111111"/>
          <w:sz w:val="28"/>
          <w:sz w:val="28"/>
          <w:szCs w:val="28"/>
          <w:rtl w:val="true"/>
          <w:lang w:bidi="fa-IR"/>
        </w:rPr>
        <w:t>اجرای آن آوردیم که طرح آنها عمدتا با توجه به اشاراتی بود که در این تبصره و نظایر آن به شرط ضمن 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دیگری که بسیار بحث انگیز است ذیل آن تبصره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هرگاه طلاق بنا بر درخواست زوجه نباشد، و نیز تقاضای طلاق</w:t>
      </w:r>
    </w:p>
    <w:p>
      <w:pPr>
        <w:pStyle w:val="BookText"/>
        <w:rPr/>
      </w:pPr>
      <w:r>
        <w:rPr>
          <w:rFonts w:ascii="IRNazanin" w:hAnsi="IRNazanin" w:eastAsia="IRNazanin"/>
          <w:color w:val="111111"/>
          <w:sz w:val="28"/>
          <w:sz w:val="28"/>
          <w:szCs w:val="28"/>
          <w:rtl w:val="true"/>
          <w:lang w:bidi="fa-IR"/>
        </w:rPr>
        <w:t xml:space="preserve">ناشی از تخلف زن از وظایف همسری یا سوء اخلاق و رفتار وی نباشد به ترتیب زیر عمل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زوجه کارهایی را که شرعا به عهده وی نبوده به دستور زوج و یا عدم</w:t>
      </w:r>
    </w:p>
    <w:p>
      <w:pPr>
        <w:pStyle w:val="BookText"/>
        <w:rPr/>
      </w:pPr>
      <w:r>
        <w:rPr>
          <w:rFonts w:ascii="IRNazanin" w:hAnsi="IRNazanin" w:eastAsia="IRNazanin"/>
          <w:color w:val="111111"/>
          <w:sz w:val="28"/>
          <w:sz w:val="28"/>
          <w:szCs w:val="28"/>
          <w:rtl w:val="true"/>
          <w:lang w:bidi="fa-IR"/>
        </w:rPr>
        <w:t>قصد تبرع انجام داده باشد و برای دادگاه نیز ثابت شود، دادگاه اجرت المثل کارهای</w:t>
      </w:r>
    </w:p>
    <w:p>
      <w:pPr>
        <w:pStyle w:val="BookText"/>
        <w:rPr/>
      </w:pPr>
      <w:r>
        <w:rPr>
          <w:rFonts w:ascii="IRNazanin" w:hAnsi="IRNazanin" w:eastAsia="IRNazanin"/>
          <w:color w:val="111111"/>
          <w:sz w:val="28"/>
          <w:sz w:val="28"/>
          <w:szCs w:val="28"/>
          <w:rtl w:val="true"/>
          <w:lang w:bidi="fa-IR"/>
        </w:rPr>
        <w:t>انجام گرفته را محاسبه و به پرداخت آن 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خود بند الف جای بحث ندارد بلکه با توجه به اهتمامی که اسلام به</w:t>
      </w:r>
    </w:p>
    <w:p>
      <w:pPr>
        <w:pStyle w:val="BookText"/>
        <w:rPr/>
      </w:pPr>
      <w:r>
        <w:rPr>
          <w:rFonts w:ascii="IRNazanin" w:hAnsi="IRNazanin" w:eastAsia="IRNazanin"/>
          <w:color w:val="111111"/>
          <w:sz w:val="28"/>
          <w:sz w:val="28"/>
          <w:szCs w:val="28"/>
          <w:rtl w:val="true"/>
          <w:lang w:bidi="fa-IR"/>
        </w:rPr>
        <w:t xml:space="preserve">پرداخت اجرت عامل و اجیر دارد و دقتی که در تنظیم این بند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w:t>
      </w:r>
    </w:p>
    <w:p>
      <w:pPr>
        <w:pStyle w:val="BookText"/>
        <w:rPr/>
      </w:pPr>
      <w:r>
        <w:rPr>
          <w:rFonts w:ascii="IRNazanin" w:hAnsi="IRNazanin" w:eastAsia="IRNazanin"/>
          <w:color w:val="111111"/>
          <w:sz w:val="28"/>
          <w:sz w:val="28"/>
          <w:szCs w:val="28"/>
          <w:rtl w:val="true"/>
          <w:lang w:bidi="fa-IR"/>
        </w:rPr>
        <w:t>قيود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کسی اشکال و ایرادی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ایراد عمده در ذیل</w:t>
      </w:r>
    </w:p>
    <w:p>
      <w:pPr>
        <w:pStyle w:val="BookText"/>
        <w:rPr/>
      </w:pPr>
      <w:r>
        <w:rPr>
          <w:rFonts w:ascii="IRNazanin" w:hAnsi="IRNazanin" w:eastAsia="IRNazanin"/>
          <w:color w:val="111111"/>
          <w:sz w:val="28"/>
          <w:sz w:val="28"/>
          <w:szCs w:val="28"/>
          <w:rtl w:val="true"/>
          <w:lang w:bidi="fa-IR"/>
        </w:rPr>
        <w:t>خود تبصره است که اجرای بندهای بعد را مقید به طلاقي نموده که زن در پیدایش آن</w:t>
      </w:r>
    </w:p>
    <w:p>
      <w:pPr>
        <w:pStyle w:val="BookText"/>
        <w:rPr/>
      </w:pPr>
      <w:r>
        <w:rPr>
          <w:rFonts w:ascii="IRNazanin" w:hAnsi="IRNazanin" w:eastAsia="IRNazanin"/>
          <w:color w:val="111111"/>
          <w:sz w:val="28"/>
          <w:sz w:val="28"/>
          <w:szCs w:val="28"/>
          <w:rtl w:val="true"/>
          <w:lang w:bidi="fa-IR"/>
        </w:rPr>
        <w:t xml:space="preserve">نقش سببیت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طلاق، یا تخلف از وظایف همسری یا سوء اخلاق و رفتار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نداشته باشد، در حالی که اگر مسأله اجرت و کارمزد فردی مطرح است و او مستحق آن می باشد، حتی در طلاقهایی هم که زن موجب انحلال کانون خانواده و مطلقه شدن خود شده باشد، باید با رعایت همين قيود اگر استحقاق اجرتی دارد، در صورت مطالبه، به او پرداخت و بلکه حکم به پرداخت صادر کرد، لذا این قسمت از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 مصوب مجمع تشخیص مصلحت نظام پیرامون اصلاح مقررات طلاق، که اجرای بند الف وب را مقید به عدم تخلف زن از وظایف همسری یا عدم سوء اخلاق و رفتار وی کرده مشروع به نظر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پرداخت مهریه به زن مطلقه، هر چند که در وقوع طلاق مقصر باشد، می تواند مؤیدی بر این ادعای ما باشد، زیرا در آنجا احدی نگفته که </w:t>
      </w:r>
      <w:bookmarkStart w:id="103" w:name="pg6894_74494"/>
    </w:p>
    <w:p>
      <w:pPr>
        <w:pStyle w:val="BookText"/>
        <w:rPr/>
      </w:pPr>
      <w:bookmarkEnd w:id="103"/>
      <w:r>
        <w:rPr>
          <w:rFonts w:ascii="IRNazanin" w:hAnsi="IRNazanin" w:eastAsia="IRNazanin"/>
          <w:color w:val="111111"/>
          <w:sz w:val="28"/>
          <w:sz w:val="28"/>
          <w:szCs w:val="28"/>
          <w:rtl w:val="true"/>
          <w:lang w:bidi="fa-IR"/>
        </w:rPr>
        <w:t>تقصير زن موجب عدم استحقاق او و محروم شدنش از مهر می شود</w:t>
      </w:r>
      <w:r>
        <w:rPr>
          <w:rFonts w:eastAsia="IRNazanin" w:cs="IRNazanin"/>
          <w:color w:val="111111"/>
          <w:sz w:val="28"/>
          <w:szCs w:val="28"/>
          <w:rtl w:val="true"/>
          <w:lang w:bidi="fa-IR"/>
        </w:rPr>
        <w:t>.</w:t>
      </w:r>
    </w:p>
    <w:p>
      <w:pPr>
        <w:pStyle w:val="Heading6"/>
        <w:numPr>
          <w:ilvl w:val="5"/>
          <w:numId w:val="1"/>
        </w:numPr>
        <w:rPr/>
      </w:pPr>
      <w:bookmarkStart w:id="104" w:name="__RefHeading___Toc1440302_372815092"/>
      <w:bookmarkStart w:id="105" w:name="_Toc37"/>
      <w:bookmarkEnd w:id="104"/>
      <w:r>
        <w:rPr>
          <w:rtl w:val="true"/>
        </w:rPr>
        <w:t>کارهایی که زن در مقابل آنها می تواند از شوهر، مطالبه اجرت کند</w:t>
      </w:r>
      <w:bookmarkEnd w:id="105"/>
    </w:p>
    <w:p>
      <w:pPr>
        <w:pStyle w:val="BookText"/>
        <w:rPr/>
      </w:pPr>
      <w:r>
        <w:rPr>
          <w:rFonts w:ascii="IRNazanin" w:hAnsi="IRNazanin" w:eastAsia="IRNazanin"/>
          <w:color w:val="111111"/>
          <w:sz w:val="28"/>
          <w:sz w:val="28"/>
          <w:szCs w:val="28"/>
          <w:rtl w:val="true"/>
          <w:lang w:bidi="fa-IR"/>
        </w:rPr>
        <w:t>کارهایی که زن در خانه شوهر انجام می دهد، به سه دسته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جزء وظایف طبیعی ازدواج و همسر شدن و همسرداری است؛ مثل</w:t>
      </w:r>
    </w:p>
    <w:p>
      <w:pPr>
        <w:pStyle w:val="BookText"/>
        <w:rPr/>
      </w:pPr>
      <w:r>
        <w:rPr>
          <w:rFonts w:ascii="IRNazanin" w:hAnsi="IRNazanin" w:eastAsia="IRNazanin"/>
          <w:color w:val="111111"/>
          <w:sz w:val="28"/>
          <w:sz w:val="28"/>
          <w:szCs w:val="28"/>
          <w:rtl w:val="true"/>
          <w:lang w:bidi="fa-IR"/>
        </w:rPr>
        <w:t xml:space="preserve">حضور در خانه شوهر، آمادگی برای هر نوع استمتاع مشروعی که شوهر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نداشتن عذر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نرفتن، از خانه بدون اذن او، تحمل سنگینی و زحمات بارداری و زایمان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زن به میل و رغبت و طبق عشق و علاقه درونی خود بدون دستور</w:t>
      </w:r>
    </w:p>
    <w:p>
      <w:pPr>
        <w:pStyle w:val="BookText"/>
        <w:rPr/>
      </w:pPr>
      <w:r>
        <w:rPr>
          <w:rFonts w:ascii="IRNazanin" w:hAnsi="IRNazanin" w:eastAsia="IRNazanin"/>
          <w:color w:val="111111"/>
          <w:sz w:val="28"/>
          <w:sz w:val="28"/>
          <w:szCs w:val="28"/>
          <w:rtl w:val="true"/>
          <w:lang w:bidi="fa-IR"/>
        </w:rPr>
        <w:t>شوهر آنها را انجام می دهد، هر چند که جزء وظایف و تکالیف حتمی او نیست، مثل</w:t>
      </w:r>
    </w:p>
    <w:p>
      <w:pPr>
        <w:pStyle w:val="BookText"/>
        <w:rPr/>
      </w:pPr>
      <w:r>
        <w:rPr>
          <w:rFonts w:ascii="IRNazanin" w:hAnsi="IRNazanin" w:eastAsia="IRNazanin"/>
          <w:color w:val="111111"/>
          <w:sz w:val="28"/>
          <w:sz w:val="28"/>
          <w:szCs w:val="28"/>
          <w:rtl w:val="true"/>
          <w:lang w:bidi="fa-IR"/>
        </w:rPr>
        <w:t xml:space="preserve">تدبیر امور منزل، کدبانویی کردن، بچه شیردادن، پذیرایی از مهمان، آب و جارو کردن خانه، پخت و پز غذا و انجام کارهای معمولی داخل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را به میل خود و با قصد 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دستور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هیچ چشم داشتی و تنها به خاطر علاقه به کانون گرم زندگی انجام دهد، بعد نمی تواند مطالبه اجرت کند، اگر چه مستحب است که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الْإِحْسانِ الَّا الاحسان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مرد بخشش و هدیه مناسبی به 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زن بدون قصد تبرع انجام می دهد و جزء وظایف او هم نیست و با</w:t>
      </w:r>
    </w:p>
    <w:p>
      <w:pPr>
        <w:pStyle w:val="BookText"/>
        <w:rPr/>
      </w:pPr>
      <w:r>
        <w:rPr>
          <w:rFonts w:ascii="IRNazanin" w:hAnsi="IRNazanin" w:eastAsia="IRNazanin"/>
          <w:color w:val="111111"/>
          <w:sz w:val="28"/>
          <w:sz w:val="28"/>
          <w:szCs w:val="28"/>
          <w:rtl w:val="true"/>
          <w:lang w:bidi="fa-IR"/>
        </w:rPr>
        <w:t>دستور شوهر به انجام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آشپزی کردن داخل منزل، لباس شستن،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نگهداری و پرورش بچه ها و شیردادن به آنها به امر شوهر و بدون قصد تبرع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مستحق اجرت عمل خود می باشد، و در قرآن مجید هم کرارا به مسأله اجرت زنان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آیه شریفه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که ذیلا به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طلاق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أَرْضَعْنَ لَكُمْ فَأْتُوهُنَّ أُجُورَهُنَّ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برای شما فرزند را شیر دهند پاداش آنها را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اجرتی متناسب با مقدار و زمان شیردادن بر حسب عرف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آیه شریفه نحوه رفتار با زن و امر به پرداخت اجرت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فرزندش بعد از طلاق و جدایی از شوهر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قرینه آیات قبل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ظهور استقلالی آن بیان یک حکم کلی بر پرداخت</w:t>
      </w:r>
    </w:p>
    <w:p>
      <w:pPr>
        <w:pStyle w:val="BookText"/>
        <w:rPr/>
      </w:pPr>
      <w:r>
        <w:rPr>
          <w:rFonts w:ascii="IRNazanin" w:hAnsi="IRNazanin" w:eastAsia="IRNazanin"/>
          <w:color w:val="111111"/>
          <w:sz w:val="28"/>
          <w:sz w:val="28"/>
          <w:szCs w:val="28"/>
          <w:rtl w:val="true"/>
          <w:lang w:bidi="fa-IR"/>
        </w:rPr>
        <w:t xml:space="preserve">اجرت عمل زن حداقل نسبت به مطلق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p>
    <w:p>
      <w:pPr>
        <w:pStyle w:val="BookText"/>
        <w:rPr/>
      </w:pPr>
      <w:r>
        <w:rPr>
          <w:rFonts w:ascii="IRNazanin" w:hAnsi="IRNazanin" w:eastAsia="IRNazanin"/>
          <w:color w:val="111111"/>
          <w:sz w:val="28"/>
          <w:sz w:val="28"/>
          <w:szCs w:val="28"/>
          <w:rtl w:val="true"/>
          <w:lang w:bidi="fa-IR"/>
        </w:rPr>
        <w:t>خصوصا با توجه به قاعده عدل و انصاف و اصل عدم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هم که عمدتا از فقه شیعه گرفته شده چنین اعمالی را دارای اجرت و عاملش را مستحق آن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لازم به ذکر و بررسی است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اصلاح مقررات مربوط به طلاق می باشد که چنین مقرر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مورد بند الف با توجه به سنوات زندگی مشترک و نوع کارهایی که زوجه در خانه شوهر انجام داده و وسع مالی زوج، دادگاه مبلغی را از باب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زوجه تعیین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در این باره می توان گفت این است که اگر این را حكم الزام آوری به حساب آوریم که قاضی و دادگاه موظف به عمل بر طبق آن باشند، که ظاهرا هم چنین است، در ابتدای امر و نظر بدوی مبنایی برای این اقدام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الزام شوهر به پرداخت مبلغی به نام بخشش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 آید زیرا غیرمعقول به نظر می رسد که چیزی نام بخشش و عطیه به خود بگیرد و پرداخت آن هم بر زوج تکلیف و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ذکر این مقدمه که ما مسأله ای داریم تحت عنوان اعطاء و این یا مستحب است که در فقه آن را هبه و هدیه می نامند و یا لازم است مثل اعطاء مهر و صداق به زن از باب نحله، همچنان که خداوند متعال در قرآن مجید آیه چهارم سوره نساء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آتُوا النِّساءَ صَدُقاتِهِنَّ 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دادن مهر زنها کرده و می فرماید این از باب نحله و اعطاء زوج به همسرش است نه از باب دست یافتن و سلطه مرد بر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شأن زن و شوهر بالاتر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مقدمه باید گفت همانطور که برای کارهای فیزیکی و مادی زن در</w:t>
      </w:r>
    </w:p>
    <w:p>
      <w:pPr>
        <w:pStyle w:val="BookText"/>
        <w:rPr/>
      </w:pPr>
      <w:r>
        <w:rPr>
          <w:rFonts w:ascii="IRNazanin" w:hAnsi="IRNazanin" w:eastAsia="IRNazanin"/>
          <w:color w:val="111111"/>
          <w:sz w:val="28"/>
          <w:sz w:val="28"/>
          <w:szCs w:val="28"/>
          <w:rtl w:val="true"/>
          <w:lang w:bidi="fa-IR"/>
        </w:rPr>
        <w:t xml:space="preserve">خانه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زائد بر تکالیف و وظایفش در مقام همسری برای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تعیین تکلیف شد، قانونگذار در این بند می خواهد برای نقش غیر محسوس زن و به عبارت دیگر برای معاونتهای معنوی او به شوهر که در رشد و شکوفایی و ترقی مادی و </w:t>
      </w:r>
      <w:bookmarkStart w:id="106" w:name="pg6894_74496"/>
    </w:p>
    <w:p>
      <w:pPr>
        <w:pStyle w:val="BookText"/>
        <w:rPr/>
      </w:pPr>
      <w:bookmarkEnd w:id="106"/>
      <w:r>
        <w:rPr>
          <w:rFonts w:ascii="IRNazanin" w:hAnsi="IRNazanin" w:eastAsia="IRNazanin"/>
          <w:color w:val="111111"/>
          <w:sz w:val="28"/>
          <w:sz w:val="28"/>
          <w:szCs w:val="28"/>
          <w:rtl w:val="true"/>
          <w:lang w:bidi="fa-IR"/>
        </w:rPr>
        <w:t>معنوی زوج قطعا مؤثر بوده است بهایی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زنی قناعتگر باشد و کمبودها را به رخ مرد نکشد یا در خرج و مصرف دارایی او اهل اسراف و تبذیر نباشد و یا در تربیت فرزندان و نگهداری از دارایی شوهر به نحو احسن کو شش داشته باشد، اعطای مقداری از مال به او در پایان زوجیت علاوه بر آن اعطایی که در شروع زندگی مشترک به عنوان مهر و از باب نحله به زن داده شد امری معقول و مطابق فرمایش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الْإِحْسانِ الَّا الاحسان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تحلیل و استشهاد زمینه را برای حکمی زیادتر از استحباب فراهم نمی آورد و به عنوان اولی وجوب و الزام به پرداخت چیزی تحت عنوان نحله را نمی رساند</w:t>
      </w:r>
      <w:r>
        <w:rPr>
          <w:rFonts w:eastAsia="IRNazanin" w:cs="IRNazanin"/>
          <w:color w:val="111111"/>
          <w:sz w:val="28"/>
          <w:szCs w:val="28"/>
          <w:rtl w:val="true"/>
          <w:lang w:bidi="fa-IR"/>
        </w:rPr>
        <w:t>.</w:t>
      </w:r>
    </w:p>
    <w:p>
      <w:pPr>
        <w:pStyle w:val="Heading5"/>
        <w:numPr>
          <w:ilvl w:val="4"/>
          <w:numId w:val="1"/>
        </w:numPr>
        <w:rPr/>
      </w:pPr>
      <w:bookmarkStart w:id="107" w:name="__RefHeading___Toc1440304_372815092"/>
      <w:bookmarkStart w:id="108" w:name="_Toc38"/>
      <w:bookmarkEnd w:id="107"/>
      <w:r>
        <w:rPr>
          <w:rtl w:val="true"/>
        </w:rPr>
        <w:t>بررسی تفسیری و فقهی مفهوم و ماهیت نحله</w:t>
      </w:r>
      <w:bookmarkEnd w:id="108"/>
    </w:p>
    <w:p>
      <w:pPr>
        <w:pStyle w:val="Heading6"/>
        <w:numPr>
          <w:ilvl w:val="5"/>
          <w:numId w:val="1"/>
        </w:numPr>
        <w:rPr/>
      </w:pPr>
      <w:bookmarkStart w:id="109" w:name="__RefHeading___Toc1440306_372815092"/>
      <w:bookmarkStart w:id="110" w:name="_Toc39"/>
      <w:bookmarkEnd w:id="109"/>
      <w:r>
        <w:rPr>
          <w:rtl w:val="true"/>
        </w:rPr>
        <w:t>ذكر نحله در قرآن و مفهوم آن از نظر مفسران</w:t>
      </w:r>
      <w:bookmarkEnd w:id="110"/>
    </w:p>
    <w:p>
      <w:pPr>
        <w:pStyle w:val="BookText"/>
        <w:rPr/>
      </w:pPr>
      <w:r>
        <w:rPr>
          <w:rFonts w:ascii="Amiri" w:hAnsi="Amiri" w:eastAsia="Amiri" w:cs="Amiri"/>
          <w:color w:val="111111"/>
          <w:sz w:val="28"/>
          <w:sz w:val="28"/>
          <w:szCs w:val="28"/>
          <w:rtl w:val="true"/>
          <w:lang w:bidi="ar-SA"/>
        </w:rPr>
        <w:t>در متون فقهی و منابع حقوق اسلامی و قبل از همه آنها در کتاب آسمانی ما قرآن از نحله نام برده شده است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آتُوا النِّساءَ صَدُقاتِهِنَّ نِحْلَةً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معنای نحله مجمع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نحله عطیه ای است که در مقابل ثمن و عوض نباشد</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نیز نظیر همین معنا را گفته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صاحب قاموس قرآن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صاد و ضم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علت این</w:t>
      </w:r>
    </w:p>
    <w:p>
      <w:pPr>
        <w:pStyle w:val="BookText"/>
        <w:rPr/>
      </w:pPr>
      <w:r>
        <w:rPr>
          <w:rFonts w:ascii="IRNazanin" w:hAnsi="IRNazanin" w:eastAsia="IRNazanin"/>
          <w:color w:val="111111"/>
          <w:sz w:val="28"/>
          <w:sz w:val="28"/>
          <w:szCs w:val="28"/>
          <w:rtl w:val="true"/>
          <w:lang w:bidi="fa-IR"/>
        </w:rPr>
        <w:t>تسمیه آن است که اعطاء آن دلیل صدق الفت و عشق مرد به زن است و اطلاق نحله از آن است که مهریه فقط عطیه و بخششی است از مرد و با این دو لفظ، قرآن کریم موقعیت مهر را در اسلام بیان کرده که چون موقعیت زن موقعیت عشق و موقعیت مرد موقعیت تمنا و خواهش از زن است لذا مهریه ای به او می دهد که فقط عطيه و شاهد صدق توجه مرد به زن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رحمة الله در الميزان می فرماید</w:t>
      </w:r>
      <w:r>
        <w:rPr>
          <w:rFonts w:eastAsia="IRNazanin" w:cs="IRNazanin"/>
          <w:color w:val="111111"/>
          <w:sz w:val="28"/>
          <w:szCs w:val="28"/>
          <w:rtl w:val="true"/>
          <w:lang w:bidi="fa-IR"/>
        </w:rPr>
        <w:t xml:space="preserve">: </w:t>
      </w:r>
      <w:bookmarkStart w:id="111" w:name="pg6894_74497"/>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به معنای مهریه ای است که به زنان می دهند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عطیه ای است مجانی که در مقابل ثمن قرار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 بینید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ضمیر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 به جهت بیان این مطلب بود که وجوب دادن مهر به زنان مسأله ای نیست که فقط اسلام آن را تأسیس کرده باشد بلکه مسأله ای است که اساسا در بین مردم و در سنین ازدواجشان متداول بوده است، سنت خود بشر بر این جاری بود و هست که پولی و یا مالی را که قیمتی داشته باشد به عنوان مهریه به زنان اختصاص دهند و كأنه این پول را عوض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قرار دهند، همان طور که قیمت و پول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کالا قرار میگیرد و معمول و متداول در بین مردم این است که خریدار پول خود را برداشته و نزد فروشنده می رود، همچنین در مسأله ازدواج هم طالب و خواستگار مرد است، اوست که باید پول خود را جهت تهیه این حاجت خود برداشته و به راه بیفتد و آن را در مقابل حاجتش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پس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مهریه را تأسیس نکرده، بلکه روش معمولی و جاری مردم را امضا فرموده است</w:t>
      </w:r>
      <w:r>
        <w:rPr>
          <w:rFonts w:eastAsia="IRNazanin" w:cs="IRNazanin"/>
          <w:color w:val="111111"/>
          <w:sz w:val="28"/>
          <w:szCs w:val="28"/>
          <w:rtl w:val="true"/>
          <w:lang w:bidi="fa-IR"/>
        </w:rPr>
        <w:t xml:space="preserve">. </w:t>
      </w:r>
      <w:r>
        <w:rPr>
          <w:rStyle w:val="FootnoteAnchor"/>
          <w:rtl w:val="true"/>
        </w:rPr>
        <w:footnoteReference w:id="28"/>
      </w:r>
    </w:p>
    <w:p>
      <w:pPr>
        <w:pStyle w:val="Heading6"/>
        <w:numPr>
          <w:ilvl w:val="5"/>
          <w:numId w:val="1"/>
        </w:numPr>
        <w:rPr/>
      </w:pPr>
      <w:bookmarkStart w:id="112" w:name="__RefHeading___Toc1440308_372815092"/>
      <w:bookmarkStart w:id="113" w:name="_Toc40"/>
      <w:bookmarkEnd w:id="112"/>
      <w:r>
        <w:rPr>
          <w:rtl w:val="true"/>
        </w:rPr>
        <w:t>ماهیت نحله از دیدگاه فقهی</w:t>
      </w:r>
      <w:bookmarkEnd w:id="113"/>
    </w:p>
    <w:p>
      <w:pPr>
        <w:pStyle w:val="BookText"/>
        <w:rPr/>
      </w:pPr>
      <w:r>
        <w:rPr>
          <w:rFonts w:ascii="IRNazanin" w:hAnsi="IRNazanin" w:eastAsia="IRNazanin"/>
          <w:color w:val="111111"/>
          <w:sz w:val="28"/>
          <w:sz w:val="28"/>
          <w:szCs w:val="28"/>
          <w:rtl w:val="true"/>
          <w:lang w:bidi="fa-IR"/>
        </w:rPr>
        <w:t>مرحوم شیخ طوسی در المبسوط في فقه الاماميه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چگونه خداوند عنوان نحله را در باب مهر و صداق و فریضه امر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است؟ در حالی که مهر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و عصمت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نکاح با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وجوهی را بیان کرده اند که دو مورد از آنها تناسب بیشتری با</w:t>
      </w:r>
    </w:p>
    <w:p>
      <w:pPr>
        <w:pStyle w:val="BookText"/>
        <w:rPr/>
      </w:pPr>
      <w:r>
        <w:rPr>
          <w:rFonts w:ascii="IRNazanin" w:hAnsi="IRNazanin" w:eastAsia="IRNazanin"/>
          <w:color w:val="111111"/>
          <w:sz w:val="28"/>
          <w:sz w:val="28"/>
          <w:szCs w:val="28"/>
          <w:rtl w:val="true"/>
          <w:lang w:bidi="fa-IR"/>
        </w:rPr>
        <w:t>موضوع دارد، لذا آنها را یادآور می شویم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در حقیقت بخششی است از جانب مرد به زن زیرا بهره ای که از راه استمتاع و کامجویی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به دست می آید به طور یکسان نصیب هر نفر از زوجین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بهره مندی زن شاید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رفع نیاز یکی به وسیله دیگری مطرح نیست بلکه برآورده شدن حوائج و نیازهای جنسی و غریزی و روانی هر </w:t>
      </w:r>
    </w:p>
    <w:p>
      <w:pPr>
        <w:pStyle w:val="BookText"/>
        <w:rPr/>
      </w:pPr>
      <w:r>
        <w:rPr>
          <w:rFonts w:ascii="IRNazanin" w:hAnsi="IRNazanin" w:eastAsia="IRNazanin"/>
          <w:color w:val="111111"/>
          <w:sz w:val="28"/>
          <w:sz w:val="28"/>
          <w:szCs w:val="28"/>
          <w:rtl w:val="true"/>
          <w:lang w:bidi="fa-IR"/>
        </w:rPr>
        <w:t xml:space="preserve">دو نفر به وسیله یکدیگر مراد است پس برای یکی نقش و تأثیر زیادتری نباید تصور کرد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مالی و عوضی دریافت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و زن هر دو از ازدواج و زناشویی به طور یکسان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زناشویی پیوندی است بر اساس منافع متقابل طرفین، با این حال در ظاهر وجهی ندارد که مرد مبلغ کم یا زیادی به عنوان مهر به زن بپردازد بلکه شاید این موضوع به شخصیت زن لطمه وارد کند و شکل خرید و فروش به ازدواج بدهد ولی اگر از باب 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معایب پیش نخواهد آمد زیرا در عین اینکه مهر داده شده کرامت زن هم محفوظ مانده است </w:t>
      </w:r>
      <w:r>
        <w:rPr>
          <w:rStyle w:val="FootnoteAnchor"/>
          <w:rtl w:val="true"/>
        </w:rPr>
        <w:footnoteReference w:id="29"/>
      </w:r>
      <w:r>
        <w:rPr>
          <w:rFonts w:ascii="IRNazanin" w:hAnsi="IRNazanin" w:eastAsia="IRNazanin"/>
          <w:color w:val="111111"/>
          <w:sz w:val="28"/>
          <w:sz w:val="28"/>
          <w:szCs w:val="28"/>
          <w:rtl w:val="true"/>
          <w:lang w:bidi="fa-IR"/>
        </w:rPr>
        <w:t>، و ایشان در تفسیر تبیان هم ذیل همین آیه شریفه از قول بعضی به این مطلب اشاره کرده 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شده که صداق در شریعتهای پیشین برای اولیای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w:t>
      </w:r>
    </w:p>
    <w:p>
      <w:pPr>
        <w:pStyle w:val="BookText"/>
        <w:rPr/>
      </w:pPr>
      <w:r>
        <w:rPr>
          <w:rFonts w:ascii="IRNazanin" w:hAnsi="IRNazanin" w:eastAsia="IRNazanin"/>
          <w:color w:val="111111"/>
          <w:sz w:val="28"/>
          <w:sz w:val="28"/>
          <w:szCs w:val="28"/>
          <w:rtl w:val="true"/>
          <w:lang w:bidi="fa-IR"/>
        </w:rPr>
        <w:t>سخن شعیب پیغمبر علیه السلام خطاب به موسی علی نبینا و آله و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أُرِيدُ أَنْ أُنْكِحَكَ احدى ابْنَتَيَّ هاتَيْنِ عَلى أَنْ تاجرنی ثمانی حِجَجٍ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مؤید این ادعا است زیرا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تأجر بنتی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که برای دخترم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فرمود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هشت سال کار کنی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خداوند در اسلام مهر و صداق را به خود زنها به عنوان عطيه بخشیده است نه اینکه مال اولیای آنها و یا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بعضی برای مهر تفسیر دیگری کرده اند و آن را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اند بعید است که ارتباطی به قوانین و دیدگاه اسلام داشته باشد، زیرا در اسلام مهر به هیچ وجه جنبه بها و قیمت کالا ندارد، و بهترین دلیل آن همان صیغه عقد ازدواج است که در آن رسمة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رکن اساسی پیمان ازدواج به حساب آمده اند، و مهر یک چیز اضافی و در حاشیه قرار گرفته است، بهمین دلیل اگر در صیغه عقد اسمی از مهر نبرند عقد باطل نیست، در حالی که اگر در خرید و فروش و معاملات اسمی از قیمت برده نشود مسلما باطل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باید توجه داشت اگر </w:t>
      </w:r>
      <w:bookmarkStart w:id="114" w:name="pg6894_74499"/>
    </w:p>
    <w:p>
      <w:pPr>
        <w:pStyle w:val="BookText"/>
        <w:rPr/>
      </w:pPr>
      <w:bookmarkEnd w:id="114"/>
      <w:r>
        <w:rPr>
          <w:rFonts w:ascii="IRNazanin" w:hAnsi="IRNazanin" w:eastAsia="IRNazanin"/>
          <w:color w:val="111111"/>
          <w:sz w:val="28"/>
          <w:sz w:val="28"/>
          <w:szCs w:val="28"/>
          <w:rtl w:val="true"/>
          <w:lang w:bidi="fa-IR"/>
        </w:rPr>
        <w:t>در عقد ازدواج نامی از مهر برده نشود، شوهر موظف است که در صورت آمیزش</w:t>
      </w:r>
    </w:p>
    <w:p>
      <w:pPr>
        <w:pStyle w:val="BookText"/>
        <w:rPr/>
      </w:pPr>
      <w:r>
        <w:rPr>
          <w:rFonts w:ascii="IRNazanin" w:hAnsi="IRNazanin" w:eastAsia="IRNazanin"/>
          <w:color w:val="111111"/>
          <w:sz w:val="28"/>
          <w:sz w:val="28"/>
          <w:szCs w:val="28"/>
          <w:rtl w:val="true"/>
          <w:lang w:bidi="fa-IR"/>
        </w:rPr>
        <w:t xml:space="preserve">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مهری همانند زنانی که هم طراز او هستند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پشتوانه برای احترام به حقوق و مقام زن دارد نه قیمت و بها و شاید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فریضه، در آیه شریفه، اشاره به همین معنا و برداشت باشد</w:t>
      </w:r>
      <w:r>
        <w:rPr>
          <w:rFonts w:eastAsia="IRNazanin" w:cs="IRNazanin"/>
          <w:color w:val="111111"/>
          <w:sz w:val="28"/>
          <w:szCs w:val="28"/>
          <w:rtl w:val="true"/>
          <w:lang w:bidi="fa-IR"/>
        </w:rPr>
        <w:t xml:space="preserve">. </w:t>
      </w:r>
      <w:r>
        <w:rPr>
          <w:rStyle w:val="FootnoteAnchor"/>
          <w:rtl w:val="true"/>
        </w:rPr>
        <w:footnoteReference w:id="33"/>
      </w:r>
    </w:p>
    <w:p>
      <w:pPr>
        <w:pStyle w:val="Heading5"/>
        <w:numPr>
          <w:ilvl w:val="4"/>
          <w:numId w:val="1"/>
        </w:numPr>
        <w:rPr/>
      </w:pPr>
      <w:bookmarkStart w:id="115" w:name="__RefHeading___Toc1440310_372815092"/>
      <w:bookmarkStart w:id="116" w:name="_Toc41"/>
      <w:bookmarkEnd w:id="115"/>
      <w:r>
        <w:rPr>
          <w:rtl w:val="true"/>
        </w:rPr>
        <w:t>اسلام و توصیه به دادن هدیه به زن، حتی پس از طلاق</w:t>
      </w:r>
      <w:bookmarkEnd w:id="116"/>
    </w:p>
    <w:p>
      <w:pPr>
        <w:pStyle w:val="Heading6"/>
        <w:numPr>
          <w:ilvl w:val="5"/>
          <w:numId w:val="1"/>
        </w:numPr>
        <w:rPr/>
      </w:pPr>
      <w:bookmarkStart w:id="117" w:name="__RefHeading___Toc1440312_372815092"/>
      <w:bookmarkStart w:id="118" w:name="_Toc42"/>
      <w:bookmarkEnd w:id="117"/>
      <w:r>
        <w:rPr>
          <w:rtl w:val="true"/>
        </w:rPr>
        <w:t xml:space="preserve">قرآن و سفارش به برخوردار شدن زنان مطلقه از متاع </w:t>
      </w:r>
      <w:r>
        <w:rPr>
          <w:rtl w:val="true"/>
        </w:rPr>
        <w:t>(</w:t>
      </w:r>
      <w:r>
        <w:rPr>
          <w:rtl w:val="true"/>
        </w:rPr>
        <w:t>هدیه</w:t>
      </w:r>
      <w:r>
        <w:rPr>
          <w:rtl w:val="true"/>
        </w:rPr>
        <w:t>)</w:t>
      </w:r>
      <w:bookmarkEnd w:id="118"/>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باری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لِلْمُطَلَّقاتِ مَتاعُ بِالْمَعْرُوفِ حَقًّا عَلَى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زنان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هدیه مناسبی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شوهر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مردان پرهیزگار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ظاهر آیه شریفه، همه زنان مطلقه را شامل می شود، ولی به قرینه مفاد آیه شریفه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و ذیل آن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مَتِّعُوهُنَّ عَلَى الْمُوسِعِ قَدَرُهُ وَ عَلَى الْمُقْتِرِ قَدَرُهُ متعا بِالْمَعْرُوفِ حَقًّا عَلَى المحسنین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 غير مدخوله و یا غیر مسمی به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هدیه ای مناسب بهره مند سازید، آن کس که توانایی دارد به اندازه توانایی خود و آن کس که تنگدست است به اندازه خودش، هدیه 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حال دهنده و گیرنده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این بر نیکوکاران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زنانی است که برای آنها به هنگام عقد مهری قرار داده نشده و قبل از آمیزش طلاق داده می شوند، و در حقیقت تاکیدی است بر حکم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مورد غفلت واقع نشود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حكم مزبور، همه زنان مطلقه را شامل شود، منتها در </w:t>
      </w:r>
    </w:p>
    <w:p>
      <w:pPr>
        <w:pStyle w:val="BookText"/>
        <w:rPr/>
      </w:pPr>
      <w:r>
        <w:rPr>
          <w:rFonts w:ascii="IRNazanin" w:hAnsi="IRNazanin" w:eastAsia="IRNazanin"/>
          <w:color w:val="111111"/>
          <w:sz w:val="28"/>
          <w:sz w:val="28"/>
          <w:szCs w:val="28"/>
          <w:rtl w:val="true"/>
          <w:lang w:bidi="fa-IR"/>
        </w:rPr>
        <w:t>مورد زنان مطلقه غیرمدخوله و یا غیر مسمی به مهر، جنبه واجب دارد و در موارد دیگر جنبه مستحب، و به هر حال یکی از دستورهای کاملا انسانی است که در اسلام وارد شده و برای پیشگیری از انتقام جویی ها و کینه توزیهای ناشی از طلاق اثر مثتبی دارد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سخن علامه طباطبایی نیز این موضوع را تایید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درباره تمام مطلقات است چیزی که هست، از این که حکم را وابسته به صفت تقوی کرده استفاده می شود که حکم وجوبی نیست بلکه استحبابی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بعضی نیز گفته اند که پرداختن هدیه شایسته در مورد زنان مطلقه، واجب و امری</w:t>
      </w:r>
    </w:p>
    <w:p>
      <w:pPr>
        <w:pStyle w:val="BookText"/>
        <w:rPr/>
      </w:pPr>
      <w:r>
        <w:rPr>
          <w:rFonts w:ascii="IRNazanin" w:hAnsi="IRNazanin" w:eastAsia="IRNazanin"/>
          <w:color w:val="111111"/>
          <w:sz w:val="28"/>
          <w:sz w:val="28"/>
          <w:szCs w:val="28"/>
          <w:rtl w:val="true"/>
          <w:lang w:bidi="fa-IR"/>
        </w:rPr>
        <w:t xml:space="preserve">جدا از مهر است، ولی ظاهرا در میان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عبارت مرحوم شیخ طبرسی در مجمع البیان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به این سخن نیست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همچنان که مرحوم صاحب جواهر نیز تصریح می کند که هدیه مزبور، جز در همان مورد خاص واجب نیست، آن هم به این اعتبار که آن چنان زنی چیزی در این ازدواج به دست نیاورده پس مناسب است که او را با هدیه و کالایی دلجوئی کرد و آن نقص و أفت اجتماعی و ناراحتی روحی و روانی را که به خاطر این طلاق گریبانگیر او شده و در اجتماع احساس خجالت زدگی و شرم و خواری می کند جبران کرد </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 که از مباحث گذشته تا این جا به دست می آوریم این است که کلمه نحله در قرآن ظهور در بیان کیفیت و نیت و بلکه جهت و فلسفه پرداخت مهر دارد و از ظاهر آن استحباب و توصیه به انجام مستحسنات به دست نمی آید بلکه در صدد بیان نوع انجام یک امر واجب می باشد، پس این که قانون گذار جمهوری اسلامی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اصلاح پاره ای از مقررات طلاق نام نحله آورده و در داخل پرانتز آن را تعبیر به بخشش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لباس قانونی که پیام الزام آوری برای قاضی دارد به آن پوشانده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نظر نمی آید زیرا او قصد دارد که علاوه بر مهریه و جهیزیه و نفقات ایام عده چیز دیگری را هم به نام نحله بر دوش زوج بار کند، که چنین چیزی دور از وجاهت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افرادی وجوب پرداخت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سرایت</w:t>
      </w:r>
    </w:p>
    <w:p>
      <w:pPr>
        <w:pStyle w:val="BookText"/>
        <w:rPr/>
      </w:pPr>
      <w:r>
        <w:rPr>
          <w:rFonts w:ascii="IRNazanin" w:hAnsi="IRNazanin" w:eastAsia="IRNazanin"/>
          <w:color w:val="111111"/>
          <w:sz w:val="28"/>
          <w:sz w:val="28"/>
          <w:szCs w:val="28"/>
          <w:rtl w:val="true"/>
          <w:lang w:bidi="fa-IR"/>
        </w:rPr>
        <w:t xml:space="preserve">داده اند به آن دسته از زنانی که به خاطر عیبی و یا امری نظیر آن و یا به سبب امر قهری و اجنبی مثل کشف رضاعی بودن و یا زوجینی که به توافق هم متارکه نموده اند مثلا به طلاق خلعی جدا شده اند و اینها را هم در حکم ملحق به غير مدخوله غير مسمی به مهر کرده اند و گفته اند این متعه و هدیه به آنها هم لازم است پرداخت شود، بلکه آن قول مختاری است که از مختلف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بلکه ظاهر کلامی هم که از مبسوط شیخ طوسی حکایت شده تمایل به آن را می رساند، لیکن ما در میان فقهای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موافق این دو قول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سخن و امثال آن در کتابهای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در حالی که برای آن غیر از ادعای تنقیح مناط، دلیلی وجود ندارد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اصلاح کنندگان مقررات طلاق عموما و اعضای محترم مجمع تشخیص مصلحت نظام خصوصا، برای دفاع و پشتیبانی از زنی که در آستانه طلاق قرار گرفته، و فراهم نمودن زمینه برای رسیدن او به مالی زیادتر از مهریه و نفقات واجبه و نصف دارایی که مرد در کنار آن زن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ضمن عقد نکاح یا عقد خارج لازم مطرح و قبول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قرآن کریم می رفتند و توجه به اطلاق استحبابی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لِلْمُطَلَّقاتِ مَتاعُ بِالْمَعْرُوفِ حَقًّا عَلَى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به آیه کریمه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جَزاءُ الْإِحْسانِ الَّا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ظهور استقلالی و پیام عمومی آن بنابر آنچه از روایت عیاشی به نقل از امام صادق مستفاد می شود، توجه می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خداوند درباره کافر و مؤمن نیکوکار و بدکار جاری می شود و هر کس به او نیکی </w:t>
      </w:r>
      <w:bookmarkStart w:id="119" w:name="pg6894_74502"/>
    </w:p>
    <w:p>
      <w:pPr>
        <w:pStyle w:val="BookText"/>
        <w:rPr/>
      </w:pPr>
      <w:bookmarkEnd w:id="119"/>
      <w:r>
        <w:rPr>
          <w:rFonts w:ascii="IRNazanin" w:hAnsi="IRNazanin" w:eastAsia="IRNazanin"/>
          <w:color w:val="111111"/>
          <w:sz w:val="28"/>
          <w:sz w:val="28"/>
          <w:szCs w:val="28"/>
          <w:rtl w:val="true"/>
          <w:lang w:bidi="fa-IR"/>
        </w:rPr>
        <w:t>شود، باید جبران کند، و راه جبران، این نیست که به اندازه او نیکی کنی، بلکه باید بیش از آن باشد؛ زیرا اگر همانند آن باشد، نیکی او برتر است؛ چرا که او آغازگر بوده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 آن وقت در قالب یک توصیه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که در ظاهر، مقام قانونگذاری غیر از کرسی وعظ و ارشاد است؛ ولی نهاد خانواده و زیر مجموعه های آن مؤانست بیشتری با ارزشهای اخلاقی دارند تا فرامین و احکام الزامی و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استثنا هم مورد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پرهیز از کلمات تحکم آمیز و الزام آور شوهر و زوج را ترغیب به اعطای هدیه و بخششی متناسب با شأن خود و همسرش به عنوان مصداقی از احسان می کردند راه صوابی را پیموده بودند و پشتوانه قوی و مستحکمی هم در مقام استدلال داشتند، از قبیل آیات ذکر شده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زیادی که در آنها به مرد سفارش می شود که پس از طلاق متاعی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احسان و اکرام با زن مطلقه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پایان به عنوان حسن ختام، نوشتارمان را به چند نمونه این روایات مزین می کنیم</w:t>
      </w:r>
      <w:r>
        <w:rPr>
          <w:rFonts w:eastAsia="IRNazanin" w:cs="IRNazanin"/>
          <w:color w:val="111111"/>
          <w:sz w:val="28"/>
          <w:szCs w:val="28"/>
          <w:rtl w:val="true"/>
          <w:lang w:bidi="fa-IR"/>
        </w:rPr>
        <w:t>.</w:t>
      </w:r>
    </w:p>
    <w:p>
      <w:pPr>
        <w:pStyle w:val="Heading6"/>
        <w:numPr>
          <w:ilvl w:val="5"/>
          <w:numId w:val="1"/>
        </w:numPr>
        <w:rPr/>
      </w:pPr>
      <w:bookmarkStart w:id="120" w:name="__RefHeading___Toc1440314_372815092"/>
      <w:bookmarkStart w:id="121" w:name="_Toc43"/>
      <w:bookmarkEnd w:id="120"/>
      <w:r>
        <w:rPr>
          <w:rtl w:val="true"/>
        </w:rPr>
        <w:t>هدیه دادن به زن پس از طلاق از دید روایات</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حر عاملی از ثقة الاسلام کلینی به اسناد حفص بن بختری روایت کرده که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که زنش را طلاق می دهد به او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و هدیه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 دارد که از احسان کنندگان باشد و آیا نمی پسندد که در زمره متقین قرار گیرد؟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الشيعه از مرحوم شیخ طوسی به اسناد جابر که امام باقر علیه السلام پیرامون فرمایش حق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فَمَتِّعُوهُنَّ وَ سَرِّحُوهُنَّ سَراحاً جَمِيلاً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 ها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بهره مند سازید و با خوشی و خرمی رهایشان سازید،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برخوردار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 دنیوی مالی به آنها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 توانمندیتان با خیر و خوشی و خرمی و زیبایی با آنها رفتار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ارزشهای معنوی و اخلاقی را فراموش و دریغ نکنید؛ زیرا آنها با دلتنگی و خجالت و شرم و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غصه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سرزنش دشمنان از خانه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اهل خود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و بزرگوار است و حیا می کند از این حالی که برای زن پیش آمده و حیاپیشگان را هم دوست می دارد، در حقیقت ارجمندترین شما در نزد او احسان کننده ترین شما به همسرانشان می 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يعقوب به اسناد حلبی روایت شده که امام صادق علیه السلام درباره کلام خداوند باریتعالى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للمطلقات متاع بالمعروف حقا على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پرهیزگاران حق و سزاوار است که با زنان مطلقه خود هدیه شایسته ای را همراه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و متاع زن بعد از اینکه عده او تمام شد بر زوج متمکن به اندازه توانایی اش و بر شوهر تنگدست هم به مقدار وسعش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از نظر مالی در سعه بود، غلامی و کنیزی به او ببخشد و اگر در تنگنا بود، گندمی یا کشمشی یا لباسی و وجه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حسن بن علي عليهما السلام أمه و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همسرش فراهم می کرد و زنی را هم طلاق نداد مگر اینکه او را برخوردار و بهره مند از مال ساخت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22" w:name="pg6894_74504"/>
    </w:p>
    <w:p>
      <w:pPr>
        <w:pStyle w:val="Heading4"/>
        <w:numPr>
          <w:ilvl w:val="3"/>
          <w:numId w:val="1"/>
        </w:numPr>
        <w:rPr/>
      </w:pPr>
      <w:bookmarkStart w:id="123" w:name="__RefHeading___Toc1440316_372815092"/>
      <w:bookmarkStart w:id="124" w:name="_Toc44"/>
      <w:bookmarkEnd w:id="122"/>
      <w:bookmarkEnd w:id="123"/>
      <w:r>
        <w:rPr>
          <w:rtl w:val="true"/>
        </w:rPr>
        <w:t>خاتمه</w:t>
      </w:r>
      <w:bookmarkEnd w:id="124"/>
    </w:p>
    <w:p>
      <w:pPr>
        <w:pStyle w:val="BookText"/>
        <w:rPr/>
      </w:pPr>
      <w:r>
        <w:rPr>
          <w:rFonts w:ascii="IRNazanin" w:hAnsi="IRNazanin" w:eastAsia="IRNazanin"/>
          <w:color w:val="111111"/>
          <w:sz w:val="28"/>
          <w:sz w:val="28"/>
          <w:szCs w:val="28"/>
          <w:rtl w:val="true"/>
          <w:lang w:bidi="fa-IR"/>
        </w:rPr>
        <w:t xml:space="preserve">وقتی از زاویه دید فقه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فقیه به قانون اصلاح مقررات طلاق نگاهی کنیم بدوا اصل را بر این میگذاریم که قانونگذاران خصوصا فقهای محترم شورای نگهبان در حد امکان سعی خود را به کار برده اند که در عین دفاع و تأمین حقوق زنان مستأصلی که در آستانه طلاق قرار می گیرند، ضوابط شرعی و مقررات دینی را هم رعایت کرده باشند، همچنان که این نکته در قسمت های زیادی از این قانون مشهود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که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شش را مطابق با موازین ندیدند، در مقابل آن ایستادگی و مقاومت کردند که منجر به عدم امضای آن قانون در شورای نگهبان و ارسال آن به مجمع تشخیص مصلحت نظام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نهاد محترم هم با همه مصلحت سنجیها برای جامعه و دلسوزی برای زنانی که در آستانه جدایی قرار گرفته اند، در عین حال، نتوانسته است طرح معقول و جامعی را ارائه دهد، بلکه بین یک امر مستحب به نام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الزام کردن مرد به پرداخت آن جمع کرده و بعید است که تباین این دو بر کسی پوشیده بماند و شاید عدم تأیید آن قانون در شورای نگهبان هم به همین خاطر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مجمع تشخیص مصلحت هم اصلاحاتی بر مصوبه مجلس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حداقل بر ذیل قانون اصلاح مقررات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ب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ایراد وارد است و ما نتوانستیم برای آن مبنا یا توجیه شرعی بیابیم و ظاهرا با احکام اولیه شرع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قانونگذار با توجه به عناوین ثانوی این بخشش را الزامی کرده باید اشاره ای به آن عنوان می کردند نه این که تحت عنوان نحله و بخشش بیاورد که تخییر بر انجام و ترک را همراه خود دارد و با الزام و اجبار،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مباحث گذشته به این برداشت رسیدیم که اگر بتوانیم قسمتهای مورد تأمل این قانون را به نحوی توجیه کنیم که ما چنین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شرعی نیست، پس متولیان امر تقنین و قضا باید به فکر بازنگری و اصلاح آن برای تأمین رضا و نظر شارع مقدس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اللهم علمنا ما لانعلم و وفقنا للعمل بما علمتنا به</w:t>
      </w:r>
      <w:r>
        <w:rPr>
          <w:rFonts w:eastAsia="IRNazanin" w:cs="IRNazanin"/>
          <w:color w:val="111111"/>
          <w:sz w:val="28"/>
          <w:szCs w:val="28"/>
          <w:rtl w:val="true"/>
          <w:lang w:bidi="fa-IR"/>
        </w:rPr>
        <w:t xml:space="preserve">» </w:t>
      </w:r>
      <w:bookmarkStart w:id="125" w:name="pg6894_74505"/>
    </w:p>
    <w:p>
      <w:pPr>
        <w:pStyle w:val="Heading4"/>
        <w:numPr>
          <w:ilvl w:val="3"/>
          <w:numId w:val="1"/>
        </w:numPr>
        <w:rPr/>
      </w:pPr>
      <w:bookmarkStart w:id="126" w:name="__RefHeading___Toc1440318_372815092"/>
      <w:bookmarkStart w:id="127" w:name="_Toc45"/>
      <w:bookmarkEnd w:id="125"/>
      <w:bookmarkEnd w:id="126"/>
      <w:r>
        <w:rPr>
          <w:rtl w:val="true"/>
        </w:rPr>
        <w:t>کتاب نامه</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بینو، دار صادر،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کنگره بزرگداشت شیخ، ایران،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العاملی،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تصحیح محمد رازی و تعلیق شیخ ابوالحسن شعرانی،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چاپ پنجم، دار احیاء التراث العربی، لبنان،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الاحکام،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چاپ چهارم، دفتر آية الله سید عبدالاعلى سبزواری و مؤسسة المنار،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القرآن، ترجمه موسوی همدانی،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انتشارات جامعه مدرسین، ایران،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و چاپ پنجم، دفتر انتشارات اسلامی،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چاپ چهارم، انتشارات ناصر خسرو،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في تفسير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دفتر تبلیغات اسلامی، ایران،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في فقه الاماميه،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دوم، مكتبة المرتضویه،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بهاء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بینو، انتشارات فراهانی،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یازدهم، دار الكتب الاسلامیه،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کاتوزیان،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مدنی خانواده،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چهارم، شرکت انتشار،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چاپ سوم، دار صعب و دار التعارف،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سوم، دار الكتب الاسلامیه،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الخویی،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سوم، عائلة الفقيه،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چاپ هفتم، دار احیاء التراث،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28" w:name="pg6894_74506"/>
    </w:p>
    <w:p>
      <w:pPr>
        <w:pStyle w:val="Heading3"/>
        <w:numPr>
          <w:ilvl w:val="2"/>
          <w:numId w:val="1"/>
        </w:numPr>
        <w:rPr/>
      </w:pPr>
      <w:bookmarkStart w:id="129" w:name="__RefHeading___Toc1440320_372815092"/>
      <w:bookmarkStart w:id="130" w:name="_Toc46"/>
      <w:bookmarkEnd w:id="128"/>
      <w:bookmarkEnd w:id="129"/>
      <w:r>
        <w:rPr>
          <w:rtl w:val="true"/>
        </w:rPr>
        <w:t>طلاق حاکم از دیدگاه فقیهان متأخر</w:t>
      </w:r>
      <w:bookmarkEnd w:id="130"/>
    </w:p>
    <w:p>
      <w:pPr>
        <w:pStyle w:val="Heading4"/>
        <w:numPr>
          <w:ilvl w:val="3"/>
          <w:numId w:val="1"/>
        </w:numPr>
        <w:rPr/>
      </w:pPr>
      <w:bookmarkStart w:id="131" w:name="__RefHeading___Toc1440322_372815092"/>
      <w:bookmarkStart w:id="132" w:name="_Toc47"/>
      <w:bookmarkEnd w:id="131"/>
      <w:r>
        <w:rPr>
          <w:rtl w:val="true"/>
        </w:rPr>
        <w:t>پیشگفتار</w:t>
      </w:r>
      <w:bookmarkEnd w:id="132"/>
    </w:p>
    <w:p>
      <w:pPr>
        <w:pStyle w:val="BookText"/>
        <w:rPr/>
      </w:pPr>
      <w:r>
        <w:rPr>
          <w:rFonts w:ascii="IRNazanin" w:hAnsi="IRNazanin" w:eastAsia="IRNazanin"/>
          <w:color w:val="111111"/>
          <w:sz w:val="28"/>
          <w:sz w:val="28"/>
          <w:szCs w:val="28"/>
          <w:rtl w:val="true"/>
          <w:lang w:bidi="fa-IR"/>
        </w:rPr>
        <w:t xml:space="preserve">طلاق به وسیله حاکم شرع، از مسائل مورد توجه جوامع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جامعه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مشترک زوجین است که از صدر اسلام تا کنون، رهبران دینی و فقهای اسلام، به صراحت و یا تلویح از آن سخن به میان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طلاق را مباح دانسته و اختیار آن را به شوهر واگذار نموده است و برای این که مردان از طلاق نابجا سود نبرند و زنان، بی جهت به ستم گرفته نشوند، با منطقی حکیمانه، راه حل شایسته ای فراپیش نهاده است؛ زیرا اسلام هدف از پیوند مقدس زناشویی را دریافت آرامش روحی در سایه مودت و رحمت می داند و برای زنی که از سرپرستی شوهر و برخورداری از امکانات زندگی محروم گردیده و در عسر و حرج قرار گرفته، حق شکوه و کسب تکلیف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امری مهم است و باید هر نوع اظهار نظر قطعی درباره آن، به وسیله فقیهان صورت پذیرد تا اقدامی ناروا انجام نگیرد و از آن جا که فقهای متأخر، بیش از متقدمان در این باب سخن گفته اند، شایسته است که این مسأله را از منظر این عالمان دین،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را با طرح و کاوش سه محور ذیل پی 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راه حل مشکلات زنانی که به خاطر محرومیت از نفقه، در تنگنا قرار</w:t>
      </w:r>
      <w:bookmarkStart w:id="133" w:name="pg6894_74507"/>
    </w:p>
    <w:p>
      <w:pPr>
        <w:pStyle w:val="BookText"/>
        <w:rPr/>
      </w:pPr>
      <w:bookmarkEnd w:id="133"/>
      <w:r>
        <w:rPr>
          <w:rFonts w:ascii="IRNazanin" w:hAnsi="IRNazanin" w:eastAsia="IRNazanin"/>
          <w:color w:val="111111"/>
          <w:sz w:val="28"/>
          <w:sz w:val="28"/>
          <w:szCs w:val="28"/>
          <w:rtl w:val="true"/>
          <w:lang w:bidi="fa-IR"/>
        </w:rPr>
        <w:t>می گیرند و به حاکم شرع مراجعه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کاوشی فقهی و قانونی برای چاره جویی و رفع تنگناهایی که بعضی از زنان به</w:t>
      </w:r>
    </w:p>
    <w:p>
      <w:pPr>
        <w:pStyle w:val="BookText"/>
        <w:rPr/>
      </w:pPr>
      <w:r>
        <w:rPr>
          <w:rFonts w:ascii="IRNazanin" w:hAnsi="IRNazanin" w:eastAsia="IRNazanin"/>
          <w:color w:val="111111"/>
          <w:sz w:val="28"/>
          <w:sz w:val="28"/>
          <w:szCs w:val="28"/>
          <w:rtl w:val="true"/>
          <w:lang w:bidi="fa-IR"/>
        </w:rPr>
        <w:t>خاطر حبس یا فقدان شوهرانشان با آن مواجه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فقهی درباره مطلق مواردی که ادامه زندگی مشترک برای زن، مشقت آور است و زن را به تقاضای طلاق وامی دارد و شوهر به هیچ وجه، حتی به طلاق خلع هم راضی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تکرار برخی نکات در هر موردی، با رویکردی ویژه و حکمی</w:t>
      </w:r>
    </w:p>
    <w:p>
      <w:pPr>
        <w:pStyle w:val="BookText"/>
        <w:rPr/>
      </w:pPr>
      <w:r>
        <w:rPr>
          <w:rFonts w:ascii="IRNazanin" w:hAnsi="IRNazanin" w:eastAsia="IRNazanin"/>
          <w:color w:val="111111"/>
          <w:sz w:val="28"/>
          <w:sz w:val="28"/>
          <w:szCs w:val="28"/>
          <w:rtl w:val="true"/>
          <w:lang w:bidi="fa-IR"/>
        </w:rPr>
        <w:t>خاص بوده است</w:t>
      </w:r>
      <w:r>
        <w:rPr>
          <w:rFonts w:eastAsia="IRNazanin" w:cs="IRNazanin"/>
          <w:color w:val="111111"/>
          <w:sz w:val="28"/>
          <w:szCs w:val="28"/>
          <w:rtl w:val="true"/>
          <w:lang w:bidi="fa-IR"/>
        </w:rPr>
        <w:t>.</w:t>
      </w:r>
    </w:p>
    <w:p>
      <w:pPr>
        <w:pStyle w:val="Heading4"/>
        <w:numPr>
          <w:ilvl w:val="3"/>
          <w:numId w:val="1"/>
        </w:numPr>
        <w:rPr/>
      </w:pPr>
      <w:bookmarkStart w:id="134" w:name="__RefHeading___Toc1440324_372815092"/>
      <w:bookmarkStart w:id="135" w:name="_Toc48"/>
      <w:bookmarkEnd w:id="134"/>
      <w:r>
        <w:rPr>
          <w:rtl w:val="true"/>
        </w:rPr>
        <w:t>کلیات</w:t>
      </w:r>
      <w:bookmarkEnd w:id="135"/>
    </w:p>
    <w:p>
      <w:pPr>
        <w:pStyle w:val="Heading5"/>
        <w:numPr>
          <w:ilvl w:val="4"/>
          <w:numId w:val="1"/>
        </w:numPr>
        <w:rPr/>
      </w:pPr>
      <w:bookmarkStart w:id="136" w:name="__RefHeading___Toc1440326_372815092"/>
      <w:bookmarkStart w:id="137" w:name="_Toc49"/>
      <w:bookmarkEnd w:id="136"/>
      <w:r>
        <w:rPr>
          <w:rtl w:val="true"/>
        </w:rPr>
        <w:t>تعریف طلاق</w:t>
      </w:r>
      <w:bookmarkEnd w:id="137"/>
    </w:p>
    <w:p>
      <w:pPr>
        <w:pStyle w:val="BookText"/>
        <w:rPr/>
      </w:pPr>
      <w:r>
        <w:rPr>
          <w:rFonts w:ascii="IRNazanin" w:hAnsi="IRNazanin" w:eastAsia="IRNazanin"/>
          <w:color w:val="111111"/>
          <w:sz w:val="28"/>
          <w:sz w:val="28"/>
          <w:szCs w:val="28"/>
          <w:rtl w:val="true"/>
          <w:lang w:bidi="fa-IR"/>
        </w:rPr>
        <w:t>طلاق در لغت به معنای رها کردن و ترک آمده است و از نظر شرع، گسستن پیمان ازدواج و جدا شدن زن و شوهر از یکدیگر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از نظر ریشه، ممکن است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درد طاقت فرسای زایمان می باشد، </w:t>
      </w:r>
      <w:r>
        <w:rPr>
          <w:rStyle w:val="FootnoteAnchor"/>
          <w:rtl w:val="true"/>
        </w:rPr>
        <w:footnoteReference w:id="44"/>
      </w:r>
      <w:r>
        <w:rPr>
          <w:rFonts w:ascii="IRNazanin" w:hAnsi="IRNazanin" w:eastAsia="IRNazanin"/>
          <w:color w:val="111111"/>
          <w:sz w:val="28"/>
          <w:sz w:val="28"/>
          <w:szCs w:val="28"/>
          <w:rtl w:val="true"/>
          <w:lang w:bidi="fa-IR"/>
        </w:rPr>
        <w:t>برگردد و شاید وجه این که جدایی زن از شوهر را طلاق نامیده اند، بی مناسبت نباشد؛ یعنی چه بسا که تحمل درد این جدایی به اندازه درد هنگام زایمان، سخت باشد، و به معنای گسستن پیمان ازدواج نیز گرفته شده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به معانی دیگری نیز نزدیک به همین مضامین آمده است، ولی در واقع، برگشت همه به حقیقت واحدی است که رها شدن زن از قید زوجیت و سلطه شوهرش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اهل شرع و مسلمانان، به خصوص مفسران و فقها، به معنای طلاق</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برکنار کردن زوجه از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به </w:t>
      </w:r>
    </w:p>
    <w:p>
      <w:pPr>
        <w:pStyle w:val="BookText"/>
        <w:rPr/>
      </w:pPr>
      <w:r>
        <w:rPr>
          <w:rFonts w:ascii="Amiri" w:hAnsi="Amiri" w:eastAsia="Amiri" w:cs="Amiri"/>
          <w:color w:val="111111"/>
          <w:sz w:val="28"/>
          <w:sz w:val="28"/>
          <w:szCs w:val="28"/>
          <w:rtl w:val="true"/>
          <w:lang w:bidi="ar-SA"/>
        </w:rPr>
        <w:t xml:space="preserve">معنای تطليق است؛ مثل کلام و سلام به معنای تکلیم و تسلیم و 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در جای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باز کردن عقد نکاح است از جانب زوج به علتی </w:t>
      </w:r>
      <w:r>
        <w:rPr>
          <w:rStyle w:val="FootnoteAnchor"/>
          <w:rtl w:val="true"/>
        </w:rPr>
        <w:footnoteReference w:id="49"/>
      </w:r>
      <w:r>
        <w:rPr>
          <w:rFonts w:ascii="IRNazanin" w:hAnsi="IRNazanin" w:eastAsia="IRNazanin"/>
          <w:color w:val="111111"/>
          <w:sz w:val="28"/>
          <w:sz w:val="28"/>
          <w:szCs w:val="28"/>
          <w:rtl w:val="true"/>
          <w:lang w:bidi="fa-IR"/>
        </w:rPr>
        <w:t>، و در قرآن کریم هم از این مسأله به تعابیر مختلفی یاد شده است؛ زیرا گاهی پروردگار عالم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سَرِّحُوهُنَّ سَراحاً جَمِيلاً </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الفاظ مختلف به کار برده شده، ممکن است که در عین تقارن و عدم تفاوت، خالی از فایده و تنبه به آثار طلاق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انقطاع شرعی رابطه زوجیت و انحلال نکاح، از راه اسبابی همچون فسخ، طلاق،</w:t>
      </w:r>
    </w:p>
    <w:p>
      <w:pPr>
        <w:pStyle w:val="BookText"/>
        <w:rPr/>
      </w:pPr>
      <w:r>
        <w:rPr>
          <w:rFonts w:ascii="IRNazanin" w:hAnsi="IRNazanin" w:eastAsia="IRNazanin"/>
          <w:color w:val="111111"/>
          <w:sz w:val="28"/>
          <w:sz w:val="28"/>
          <w:szCs w:val="28"/>
          <w:rtl w:val="true"/>
          <w:lang w:bidi="fa-IR"/>
        </w:rPr>
        <w:t>بذل مدت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اینها دارای ماهیت حقوقی متفاوت با</w:t>
      </w:r>
    </w:p>
    <w:p>
      <w:pPr>
        <w:pStyle w:val="BookText"/>
        <w:rPr/>
      </w:pPr>
      <w:r>
        <w:rPr>
          <w:rFonts w:ascii="IRNazanin" w:hAnsi="IRNazanin" w:eastAsia="IRNazanin"/>
          <w:color w:val="111111"/>
          <w:sz w:val="28"/>
          <w:sz w:val="28"/>
          <w:szCs w:val="28"/>
          <w:rtl w:val="true"/>
          <w:lang w:bidi="fa-IR"/>
        </w:rPr>
        <w:t>دیگری می باشد و هر کدام آثار و شرایط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جا ذکر چند مورد از مختصات طلاق را لازم می دانیم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در حالتی درست است که زن در طهر غير مواقعه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از حیض و نفاسی که بعد از آن، شوهر با او نزدیکی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طلاق زن در مدت عادت ماهانه یا پاک نشدن از نفاس، صحیح نیست، ولی فسخ نکاح در این دوران ممکن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منوط به رعایت تشریفات خاصی است؛ مثل این که باید به صیغه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زوجتي يا 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دو مرد عادل واقع شود، ولی فسخ و بذل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خاصی ندارد و تنها به اراده صاحب حق، صورت می گیرد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طلاق رجعی، شوهر در زمان عده حق رجوع دارد، اما درباره دیگر اسباب </w:t>
      </w:r>
      <w:bookmarkStart w:id="138" w:name="pg6894_74509"/>
    </w:p>
    <w:p>
      <w:pPr>
        <w:pStyle w:val="BookText"/>
        <w:rPr/>
      </w:pPr>
      <w:bookmarkEnd w:id="138"/>
      <w:r>
        <w:rPr>
          <w:rFonts w:ascii="IRNazanin" w:hAnsi="IRNazanin" w:eastAsia="IRNazanin"/>
          <w:color w:val="111111"/>
          <w:sz w:val="28"/>
          <w:sz w:val="28"/>
          <w:szCs w:val="28"/>
          <w:rtl w:val="true"/>
          <w:lang w:bidi="fa-IR"/>
        </w:rPr>
        <w:t>انحلال نکاح، چنین نیست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محدود است؛ زیرا بعد از سه بار، دیگر نمی توانند بدون محلل، با هم</w:t>
      </w:r>
    </w:p>
    <w:p>
      <w:pPr>
        <w:pStyle w:val="BookText"/>
        <w:rPr/>
      </w:pPr>
      <w:r>
        <w:rPr>
          <w:rFonts w:ascii="IRNazanin" w:hAnsi="IRNazanin" w:eastAsia="IRNazanin"/>
          <w:color w:val="111111"/>
          <w:sz w:val="28"/>
          <w:sz w:val="28"/>
          <w:szCs w:val="28"/>
          <w:rtl w:val="true"/>
          <w:lang w:bidi="fa-IR"/>
        </w:rPr>
        <w:t>ازدواج کنند، ولی در فسخ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مخصوص ازدواج دائم است و شامل عقد ازدواج منقطع نمی شود؛ زیرا</w:t>
      </w:r>
    </w:p>
    <w:p>
      <w:pPr>
        <w:pStyle w:val="BookText"/>
        <w:rPr/>
      </w:pPr>
      <w:r>
        <w:rPr>
          <w:rFonts w:ascii="IRNazanin" w:hAnsi="IRNazanin" w:eastAsia="IRNazanin"/>
          <w:color w:val="111111"/>
          <w:sz w:val="28"/>
          <w:sz w:val="28"/>
          <w:szCs w:val="28"/>
          <w:rtl w:val="true"/>
          <w:lang w:bidi="fa-IR"/>
        </w:rPr>
        <w:t xml:space="preserve">جدایی در آن به وسیله بذل مدت با اتمام آن انجام می شود </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39" w:name="__RefHeading___Toc1440328_372815092"/>
      <w:bookmarkStart w:id="140" w:name="_Toc50"/>
      <w:bookmarkEnd w:id="139"/>
      <w:r>
        <w:rPr>
          <w:rtl w:val="true"/>
        </w:rPr>
        <w:t>ضرورت طلاق، به رغم ناخوشایندی آن</w:t>
      </w:r>
      <w:bookmarkEnd w:id="140"/>
    </w:p>
    <w:p>
      <w:pPr>
        <w:pStyle w:val="BookText"/>
        <w:rPr/>
      </w:pPr>
      <w:r>
        <w:rPr>
          <w:rFonts w:ascii="IRNazanin" w:hAnsi="IRNazanin" w:eastAsia="IRNazanin"/>
          <w:color w:val="111111"/>
          <w:sz w:val="28"/>
          <w:sz w:val="28"/>
          <w:szCs w:val="28"/>
          <w:rtl w:val="true"/>
          <w:lang w:bidi="fa-IR"/>
        </w:rPr>
        <w:t>عقد ازدواج از جمله عقودی است که باید قابل انحلال باشد؛ چرا که گاه عللی پیش</w:t>
      </w:r>
    </w:p>
    <w:p>
      <w:pPr>
        <w:pStyle w:val="BookText"/>
        <w:rPr/>
      </w:pPr>
      <w:r>
        <w:rPr>
          <w:rFonts w:ascii="IRNazanin" w:hAnsi="IRNazanin" w:eastAsia="IRNazanin"/>
          <w:color w:val="111111"/>
          <w:sz w:val="28"/>
          <w:sz w:val="28"/>
          <w:szCs w:val="28"/>
          <w:rtl w:val="true"/>
          <w:lang w:bidi="fa-IR"/>
        </w:rPr>
        <w:t>می آید که ادامه زندگی مشترک زوجین را غیر ممکن یا طاقت فرسا و مملو از مفاسد می کند و اگر اصرار داشته باشیم که این قرارداد تا ابد بماند، سرچشمه مشکلات زیادی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با اصل طلاق موافقت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نتیجه ممنوع بودن کامل طلاق را در جوامع مسیحی ملاحظه می کنیم که</w:t>
      </w:r>
    </w:p>
    <w:p>
      <w:pPr>
        <w:pStyle w:val="BookText"/>
        <w:rPr/>
      </w:pPr>
      <w:r>
        <w:rPr>
          <w:rFonts w:ascii="IRNazanin" w:hAnsi="IRNazanin" w:eastAsia="IRNazanin"/>
          <w:color w:val="111111"/>
          <w:sz w:val="28"/>
          <w:sz w:val="28"/>
          <w:szCs w:val="28"/>
          <w:rtl w:val="true"/>
          <w:lang w:bidi="fa-IR"/>
        </w:rPr>
        <w:t xml:space="preserve">چگونه زنان و مردان زیادی هستند که به حکم قانون تحریف یافته مذهب مسیح علیه السلام طلاق را ممنوع می شمرند </w:t>
      </w:r>
      <w:r>
        <w:rPr>
          <w:rStyle w:val="FootnoteAnchor"/>
          <w:rtl w:val="true"/>
        </w:rPr>
        <w:footnoteReference w:id="58"/>
      </w:r>
      <w:r>
        <w:rPr>
          <w:rFonts w:ascii="IRNazanin" w:hAnsi="IRNazanin" w:eastAsia="IRNazanin"/>
          <w:color w:val="111111"/>
          <w:sz w:val="28"/>
          <w:sz w:val="28"/>
          <w:szCs w:val="28"/>
          <w:rtl w:val="true"/>
          <w:lang w:bidi="fa-IR"/>
        </w:rPr>
        <w:t>و قانونا همسر یکدیگرند، ولی در عمل، جدا از یکدیگر زندگی می کنند و حتی هر کدام برای خود، همسری غیررسمی انتخاب کرده اند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علت این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زوجین توافق اخلاقی نداشته باشند یا علل دیگری در میان باشد و یکی از دیگری تنفر داشته باشد، تحریم طلاق و عدم اجازه جدایی، موجب از بین رفتن آزادی و رفاه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عقل و وجدانی به بقا و استمرار چنین جهنم سوزانی حکم نمی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قانون و دینی که طلاق را تحریم کند، بر خلاف فطرت بشر قدم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اسلام با آنکه طلاق را مکروه می داند، آن را امضا کرده است، با آن که سبب جدایی دو </w:t>
      </w:r>
      <w:bookmarkStart w:id="141" w:name="pg6894_74510"/>
    </w:p>
    <w:p>
      <w:pPr>
        <w:pStyle w:val="BookText"/>
        <w:rPr/>
      </w:pPr>
      <w:bookmarkEnd w:id="141"/>
      <w:r>
        <w:rPr>
          <w:rFonts w:ascii="IRNazanin" w:hAnsi="IRNazanin" w:eastAsia="IRNazanin"/>
          <w:color w:val="111111"/>
          <w:sz w:val="28"/>
          <w:sz w:val="28"/>
          <w:szCs w:val="28"/>
          <w:rtl w:val="true"/>
          <w:lang w:bidi="fa-IR"/>
        </w:rPr>
        <w:t xml:space="preserve">رکن و پایه مهم خانواده می شود و به موجب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ابغض الحلال عند الله</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است، ولی چاره ای از تجویز آن نیست و وجودش از ضروریات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 با طلاق مخالف است و آن را تحریم می کند، اما چون این تحریم با فطرت بشر سازگاری ندارد، در دنیای مسیحیت می بینیم که سالانه حکم هزاران طلاق صادر می شود و این نیست مگر به آن جهت که طلاق، ضروری فطرت بشر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 ضرورتی که باید به حداقل ممکن تقلیل یابد و تا آنجا که راهی برای ادامه زوجیت است، کسی سراغ آن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اسلام صلی الله علیه واله نقل گردیده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من شيء أبغض إلى الله عز و جل من بيت يخرب في الإسلام بالفرقة، يعني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پیشگاه خداوند، چیزی منفورتر از این نیست که خانه ای با طلاق ویران گردد</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142" w:name="__RefHeading___Toc1440330_372815092"/>
      <w:bookmarkStart w:id="143" w:name="_Toc51"/>
      <w:bookmarkEnd w:id="142"/>
      <w:r>
        <w:rPr>
          <w:rtl w:val="true"/>
        </w:rPr>
        <w:t>امر طلاق به دست مرد است</w:t>
      </w:r>
      <w:bookmarkEnd w:id="143"/>
    </w:p>
    <w:p>
      <w:pPr>
        <w:pStyle w:val="BookText"/>
        <w:rPr/>
      </w:pPr>
      <w:r>
        <w:rPr>
          <w:rFonts w:ascii="IRNazanin" w:hAnsi="IRNazanin" w:eastAsia="IRNazanin"/>
          <w:color w:val="111111"/>
          <w:sz w:val="28"/>
          <w:sz w:val="28"/>
          <w:szCs w:val="28"/>
          <w:rtl w:val="true"/>
          <w:lang w:bidi="fa-IR"/>
        </w:rPr>
        <w:t xml:space="preserve">به اتفاق فقهای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طلاق به دست شوهر است؛ زیرا اولا خطابهای قرآنی در این ظهور دارد که طلاق زنان به دست شوهران آنهاست و آیات ذیل گواه بر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نَكَحْتُمُ الْمُؤْمِناتِ ثُمَّ طَلَّقْتُمُوهُنَّ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فَمَتِّعُوهُنَّ وَ سَرِّحُوهُنَّ سَراحاً جَمِيلاً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سَرِّحُوهُنَّ بِمَعْرُوفٍ </w:t>
      </w:r>
      <w:r>
        <w:rPr>
          <w:rFonts w:eastAsia="Amiri" w:cs="Amiri" w:ascii="Amiri" w:hAnsi="Amiri"/>
          <w:color w:val="111111"/>
          <w:sz w:val="28"/>
          <w:szCs w:val="28"/>
          <w:rtl w:val="true"/>
          <w:lang w:bidi="ar-SA"/>
        </w:rPr>
        <w:t xml:space="preserve">. . . » </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 xml:space="preserve">. . . » </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حديث مشهوری از پیامبر اسلام صلی الله علیه واله رسیده است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الطلاق بيد </w:t>
      </w:r>
    </w:p>
    <w:p>
      <w:pPr>
        <w:pStyle w:val="BookText"/>
        <w:rPr/>
      </w:pPr>
      <w:r>
        <w:rPr>
          <w:rFonts w:ascii="IRNazanin" w:hAnsi="IRNazanin" w:eastAsia="IRNazanin"/>
          <w:color w:val="111111"/>
          <w:sz w:val="28"/>
          <w:sz w:val="28"/>
          <w:szCs w:val="28"/>
          <w:rtl w:val="true"/>
          <w:lang w:bidi="fa-IR"/>
        </w:rPr>
        <w:t>من أخذ بالساق</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بنا بر نقل مرحوم حاجی نوری در مستدرک الوسائل، این حدیث از ابن أبي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ابراهيم بن أبي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درر اللالی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ایشان، مرحوم شیخ طوسی هم در الخلاف </w:t>
      </w:r>
      <w:r>
        <w:rPr>
          <w:rStyle w:val="FootnoteAnchor"/>
          <w:rtl w:val="true"/>
        </w:rPr>
        <w:footnoteReference w:id="68"/>
      </w:r>
      <w:r>
        <w:rPr>
          <w:rFonts w:ascii="IRNazanin" w:hAnsi="IRNazanin" w:eastAsia="IRNazanin"/>
          <w:color w:val="111111"/>
          <w:sz w:val="28"/>
          <w:sz w:val="28"/>
          <w:szCs w:val="28"/>
          <w:rtl w:val="true"/>
          <w:lang w:bidi="fa-IR"/>
        </w:rPr>
        <w:t>آن را با اندک تفاوتی آورده است و همچنین شهید ثانی در شرح لمعه دمشقیه آن مضمون را ذکر کرده اند و معمولا سایر فقها هم در مباحث طلاق به آن مضمون اشاره می کنند و بلکه به آن استناد می جویند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جوامع حدیثی اهل سنت نیز از ابن عباس روایت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أتى النبي صلی الله علیه واله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سیدی زوجني أمته و هو يريد أن يفرق بینی و بينها،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رسول الله صلی الله علیه واله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ما بال أحدكم یزوج عبده أمته، ثم يريد أن يفرق بينهما، إنما الطلاق لمن أخذ بالساق</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احادیث دیگری هم که در بعضی از کتب روایی و تفسیری شیعه ذكر شده است،</w:t>
      </w:r>
    </w:p>
    <w:p>
      <w:pPr>
        <w:pStyle w:val="BookText"/>
        <w:rPr/>
      </w:pPr>
      <w:r>
        <w:rPr>
          <w:rFonts w:ascii="IRNazanin" w:hAnsi="IRNazanin" w:eastAsia="IRNazanin"/>
          <w:color w:val="111111"/>
          <w:sz w:val="28"/>
          <w:sz w:val="28"/>
          <w:szCs w:val="28"/>
          <w:rtl w:val="true"/>
          <w:lang w:bidi="fa-IR"/>
        </w:rPr>
        <w:t>می توان به عنوان مؤید این مطلب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خبری است که علامه</w:t>
      </w:r>
    </w:p>
    <w:p>
      <w:pPr>
        <w:pStyle w:val="BookText"/>
        <w:rPr/>
      </w:pPr>
      <w:r>
        <w:rPr>
          <w:rFonts w:ascii="IRNazanin" w:hAnsi="IRNazanin" w:eastAsia="IRNazanin"/>
          <w:color w:val="111111"/>
          <w:sz w:val="28"/>
          <w:sz w:val="28"/>
          <w:szCs w:val="28"/>
          <w:rtl w:val="true"/>
          <w:lang w:bidi="fa-IR"/>
        </w:rPr>
        <w:t>مجلسی به نقل از خصال صدوق بیان کرده است و در بخشی از آن به این موضوع تصریح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حماد حارثی از امام صادق علیه السلام روایت می کند که پیامبر اسلام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دعایشان مستجاب نمی شود، یکی مردی است که خداوند طلاق زنش را به دست او گذارده است و در حالی که همسرش او را اذیت میکند و او هم قادر بر پرداخت مخارج می باشد، او را رها نمیکند</w:t>
      </w:r>
      <w:r>
        <w:rPr>
          <w:rFonts w:eastAsia="IRNazanin" w:cs="IRNazanin"/>
          <w:color w:val="111111"/>
          <w:sz w:val="28"/>
          <w:szCs w:val="28"/>
          <w:rtl w:val="true"/>
          <w:lang w:bidi="fa-IR"/>
        </w:rPr>
        <w:t xml:space="preserve">... </w:t>
      </w:r>
      <w:r>
        <w:rPr>
          <w:rStyle w:val="FootnoteAnchor"/>
          <w:rtl w:val="true"/>
        </w:rPr>
        <w:footnoteReference w:id="71"/>
      </w:r>
      <w:bookmarkStart w:id="144" w:name="pg6894_74512"/>
    </w:p>
    <w:p>
      <w:pPr>
        <w:pStyle w:val="BookText"/>
        <w:rPr/>
      </w:pPr>
      <w:bookmarkEnd w:id="144"/>
      <w:r>
        <w:rPr>
          <w:rFonts w:ascii="IRNazanin" w:hAnsi="IRNazanin" w:eastAsia="IRNazanin"/>
          <w:color w:val="111111"/>
          <w:sz w:val="28"/>
          <w:sz w:val="28"/>
          <w:szCs w:val="28"/>
          <w:rtl w:val="true"/>
          <w:lang w:bidi="fa-IR"/>
        </w:rPr>
        <w:t>و دیگر حدیثی است که محدث نوری از تفسیر امام حسن عسکری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دسته دعایشان مورد پذیرش خداوند قرار نمی گیرد، بلکه پروردگار عالم بر آنها سخت می گیرد و مورد سرزنششان قرار می دهد، از آن جمله است مردی که دارای همسر بدرفتاری است و آن زن او را اذیت میکند و به او خسارت مادی یا معنوی می رساند و دنیا را بر او ناپسند کرده و بر شوهر خشم می کند و از او خرسند نیست و آخرت مرد را خراب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گرفتاریهایی که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برمی دارد و فقط میگوید خدایا مرا از دست این زن رهایی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مرد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او رهایی دادم؛ طلاقش را به دست تو قرار دادم و نجات از دست او، طلاقش می باشد، و دور کن او را از خودت، همچنان که جوراب کهنه و پاره را به دور می افکنی</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145" w:name="__RefHeading___Toc1440332_372815092"/>
      <w:bookmarkStart w:id="146" w:name="_Toc52"/>
      <w:bookmarkEnd w:id="145"/>
      <w:r>
        <w:rPr>
          <w:rtl w:val="true"/>
        </w:rPr>
        <w:t>انواع طلاق</w:t>
      </w:r>
      <w:bookmarkEnd w:id="146"/>
    </w:p>
    <w:p>
      <w:pPr>
        <w:pStyle w:val="BookText"/>
        <w:rPr/>
      </w:pPr>
      <w:r>
        <w:rPr>
          <w:rFonts w:ascii="IRNazanin" w:hAnsi="IRNazanin" w:eastAsia="IRNazanin"/>
          <w:color w:val="111111"/>
          <w:sz w:val="28"/>
          <w:sz w:val="28"/>
          <w:szCs w:val="28"/>
          <w:rtl w:val="true"/>
          <w:lang w:bidi="fa-IR"/>
        </w:rPr>
        <w:t>جداییهایی که در قالب طلاق بین زن و شوهر ممکن است اتفاق بیفتد، دارای چند صورت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شوهر به میل و تصمیم خود، همسرش را با تأدیه تمام حقوق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زن به خاطر خصوصیات ظاهری یا بد اخلاقی شوهر یا فقر او یا ازدواج با زن دیگر و یا به جای نیاوردن حقوق واجب و یا حتی مستحب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شوهرش ناخوشنود گردیده، از او تقاضای طلاق می کند، ولی چون زوج علاقه مند به همسرش می باشد، ابتدا با درخواست او موافقت نمی کند، تا این که زن مقداری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مهریه اش باشد یا مال دیگری کمتر یا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بذل می کند، آن وقت، مرد </w:t>
      </w:r>
    </w:p>
    <w:p>
      <w:pPr>
        <w:pStyle w:val="BookText"/>
        <w:rPr/>
      </w:pPr>
      <w:r>
        <w:rPr>
          <w:rFonts w:ascii="IRNazanin" w:hAnsi="IRNazanin" w:eastAsia="IRNazanin"/>
          <w:color w:val="111111"/>
          <w:sz w:val="28"/>
          <w:sz w:val="28"/>
          <w:szCs w:val="28"/>
          <w:rtl w:val="true"/>
          <w:lang w:bidi="fa-IR"/>
        </w:rPr>
        <w:t>راضی شده، او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طلاق را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 خلعی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 به خاطر اموری از قبیل آنچه گذشت، از همدیگر تنفر دارند، ولی</w:t>
      </w:r>
    </w:p>
    <w:p>
      <w:pPr>
        <w:pStyle w:val="BookText"/>
        <w:rPr/>
      </w:pPr>
      <w:r>
        <w:rPr>
          <w:rFonts w:ascii="IRNazanin" w:hAnsi="IRNazanin" w:eastAsia="IRNazanin"/>
          <w:color w:val="111111"/>
          <w:sz w:val="28"/>
          <w:sz w:val="28"/>
          <w:szCs w:val="28"/>
          <w:rtl w:val="true"/>
          <w:lang w:bidi="fa-IR"/>
        </w:rPr>
        <w:t xml:space="preserve">شوهر باز هم از طلاق خودداری می کند و زن برای نیل به مفارقت از زوج،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مهریه اش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بخشد تا او را کاملا راضی بر طلاق کند و مرد هم بعد از اخذ آن مال، زن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از جمله طلاقهای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طلاقها هم به تقاضای زن، ولی با استفاده او از وکالت مطلق و یا مشروط که در ضمن عقد نکاح یا عقد خارج لازم دیگری که از شوهر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 که این هم به نظر مشهور، طلاق رجعی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یادآوری است که تمام این چهار صورت، از موضوع مباحث این نوشتار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پنجم، زنانی هستند که مشمول هیچ یک از موارد فوق نمی باشند، ولی در</w:t>
      </w:r>
    </w:p>
    <w:p>
      <w:pPr>
        <w:pStyle w:val="BookText"/>
        <w:rPr/>
      </w:pPr>
      <w:r>
        <w:rPr>
          <w:rFonts w:ascii="IRNazanin" w:hAnsi="IRNazanin" w:eastAsia="IRNazanin"/>
          <w:color w:val="111111"/>
          <w:sz w:val="28"/>
          <w:sz w:val="28"/>
          <w:szCs w:val="28"/>
          <w:rtl w:val="true"/>
          <w:lang w:bidi="fa-IR"/>
        </w:rPr>
        <w:t>طول زندگی، به علل گوناگونی دچار مشکل شده اند؛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شوهر یا رفتارها و کردارهای ناشایست او از قبیل فحاشی با رعایت نکردن حقوق واجب زن در امر خوراک، پوشاک، مسکن، حضور در منزل، تهیه نکردن حداقل امکانات اولیه و لازم برای زندگی و امرار معاش زن و یا دوری و غیبت طولانی غیرموجه شوهر یا به حبس طولانی گرفتار شدن او و یا مفقودالاثر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بدین گونه در عسر و حرج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تمایل و اصرار به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نموده و از او الزام شوهر به انجام تکالیف همسرداری را طلب کنند و در صورت سرپیچی زوج از دستور حاکم، وی به عنوان ولی ممتنع، می تواند آن زن را طلاق دهد؛ همچنان که درباره زوج مفقودالاثر هم بعد از طی مراحل شرعی و قانونی و سپری شدن مدت لازم و جستجوی به قدر کافی، چنین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فقها این نوع طلاق را رجعی می دانند، ولی آية الله خویی رحمة الله درباره طلاق حاکم، قائل به تفصیل شده است؛ زیرا در جایی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ولی یا حاکم، رجعی است و زن در دوران عده، واجب النفقة شوهر است و اگر زوج در بین عده حاضر شد، حق رجوع دارد و نیز اگر یکی از زن و شوهر در زمان عده </w:t>
      </w:r>
      <w:bookmarkStart w:id="147" w:name="pg6894_74514"/>
    </w:p>
    <w:p>
      <w:pPr>
        <w:pStyle w:val="BookText"/>
        <w:rPr/>
      </w:pPr>
      <w:bookmarkEnd w:id="147"/>
      <w:r>
        <w:rPr>
          <w:rFonts w:ascii="IRNazanin" w:hAnsi="IRNazanin" w:eastAsia="IRNazanin"/>
          <w:color w:val="111111"/>
          <w:sz w:val="28"/>
          <w:sz w:val="28"/>
          <w:szCs w:val="28"/>
          <w:rtl w:val="true"/>
          <w:lang w:bidi="fa-IR"/>
        </w:rPr>
        <w:t>بمیرد، دیگری از او ارث می برد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در جای دیگر درباره زوج ممتنع از انفاق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می تواند زوج مستنکف از پرداخت نفقه را امر به انفاق و یا طلاق کند و اگر از دستورش سرپیچی کرد، زوجه او را طلاق دهد و ظاهر این است که این طلاق بائن می باشد و شوهر حق رجوع به آن زن را در بین عده ندارد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هر حال، این نوع طلاق است که در این نوشتار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پرداختن به اصل موضوع، این گروه از زنان را چنین دسته بندی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شوهرانشان حاضرند و دستیابی به آنها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شوهرانشان غایبند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خود به دو گروه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زنهایی که به خاطر نرسیدن نفقه، در عسر و حرج به سر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صرف نظر از نفقه، به علل دیگری همچون بدرفتاری و سوء معاشرت شوهر در تنگنا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از دو حال بیرون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بر پرداخت نفقه همسرش قادر است، ولی استنکاف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 ناتوان و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بحث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موارد طلاق به وسیله حاکم، به نظر جمعی از فقهای</w:t>
      </w:r>
    </w:p>
    <w:p>
      <w:pPr>
        <w:pStyle w:val="BookText"/>
        <w:rPr/>
      </w:pPr>
      <w:r>
        <w:rPr>
          <w:rFonts w:ascii="IRNazanin" w:hAnsi="IRNazanin" w:eastAsia="IRNazanin"/>
          <w:color w:val="111111"/>
          <w:sz w:val="28"/>
          <w:sz w:val="28"/>
          <w:szCs w:val="28"/>
          <w:rtl w:val="true"/>
          <w:lang w:bidi="fa-IR"/>
        </w:rPr>
        <w:t>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آنها به درخواست طلاق این گونه زنان می پردازیم</w:t>
      </w:r>
      <w:r>
        <w:rPr>
          <w:rFonts w:eastAsia="IRNazanin" w:cs="IRNazanin"/>
          <w:color w:val="111111"/>
          <w:sz w:val="28"/>
          <w:szCs w:val="28"/>
          <w:rtl w:val="true"/>
          <w:lang w:bidi="fa-IR"/>
        </w:rPr>
        <w:t>.</w:t>
      </w:r>
    </w:p>
    <w:p>
      <w:pPr>
        <w:pStyle w:val="Heading4"/>
        <w:numPr>
          <w:ilvl w:val="3"/>
          <w:numId w:val="1"/>
        </w:numPr>
        <w:rPr/>
      </w:pPr>
      <w:bookmarkStart w:id="148" w:name="__RefHeading___Toc1440334_372815092"/>
      <w:bookmarkStart w:id="149" w:name="_Toc53"/>
      <w:bookmarkEnd w:id="148"/>
      <w:r>
        <w:rPr>
          <w:rtl w:val="true"/>
        </w:rPr>
        <w:t>امتناع یا عجز شوهر از تهیه نفقه</w:t>
      </w:r>
      <w:bookmarkEnd w:id="149"/>
    </w:p>
    <w:p>
      <w:pPr>
        <w:pStyle w:val="Heading5"/>
        <w:numPr>
          <w:ilvl w:val="4"/>
          <w:numId w:val="1"/>
        </w:numPr>
        <w:rPr/>
      </w:pPr>
      <w:bookmarkStart w:id="150" w:name="__RefHeading___Toc1440336_372815092"/>
      <w:bookmarkStart w:id="151" w:name="_Toc54"/>
      <w:bookmarkEnd w:id="150"/>
      <w:r>
        <w:rPr>
          <w:rtl w:val="true"/>
        </w:rPr>
        <w:t>اشاره</w:t>
      </w:r>
      <w:bookmarkEnd w:id="15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پوشاک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بر عهده شوهر است و اگر تهیه نکند، </w:t>
      </w:r>
      <w:bookmarkStart w:id="152" w:name="pg6894_74515"/>
    </w:p>
    <w:p>
      <w:pPr>
        <w:pStyle w:val="BookText"/>
        <w:rPr/>
      </w:pPr>
      <w:bookmarkEnd w:id="152"/>
      <w:r>
        <w:rPr>
          <w:rFonts w:ascii="IRNazanin" w:hAnsi="IRNazanin" w:eastAsia="IRNazanin"/>
          <w:color w:val="111111"/>
          <w:sz w:val="28"/>
          <w:sz w:val="28"/>
          <w:szCs w:val="28"/>
          <w:rtl w:val="true"/>
          <w:lang w:bidi="fa-IR"/>
        </w:rPr>
        <w:t>همسرش می تواند از قاضی شرع، الزام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تهیه نکردن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شوهر، زنده و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 توانایی دارد و استنكاف می کند یا این که فقیر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مطالب این فصل را در دو بخش زیر ارائه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حاکم شرع در مقابل زوج ممتنع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حاکم شرع در مسأله زوج عاجز از نفقه</w:t>
      </w:r>
      <w:r>
        <w:rPr>
          <w:rFonts w:eastAsia="IRNazanin" w:cs="IRNazanin"/>
          <w:color w:val="111111"/>
          <w:sz w:val="28"/>
          <w:szCs w:val="28"/>
          <w:rtl w:val="true"/>
          <w:lang w:bidi="fa-IR"/>
        </w:rPr>
        <w:t>.</w:t>
      </w:r>
    </w:p>
    <w:p>
      <w:pPr>
        <w:pStyle w:val="Heading5"/>
        <w:numPr>
          <w:ilvl w:val="4"/>
          <w:numId w:val="1"/>
        </w:numPr>
        <w:rPr/>
      </w:pPr>
      <w:bookmarkStart w:id="153" w:name="__RefHeading___Toc1440338_372815092"/>
      <w:bookmarkStart w:id="154" w:name="_Toc55"/>
      <w:bookmarkEnd w:id="153"/>
      <w:r>
        <w:rPr>
          <w:rtl w:val="true"/>
        </w:rPr>
        <w:t>وظیفه حاکم شرع در مقابل زوج ممتنع</w:t>
      </w:r>
      <w:bookmarkEnd w:id="154"/>
    </w:p>
    <w:p>
      <w:pPr>
        <w:pStyle w:val="BookText"/>
        <w:rPr/>
      </w:pPr>
      <w:r>
        <w:rPr>
          <w:rFonts w:ascii="IRNazanin" w:hAnsi="IRNazanin" w:eastAsia="IRNazanin"/>
          <w:color w:val="111111"/>
          <w:sz w:val="28"/>
          <w:sz w:val="28"/>
          <w:szCs w:val="28"/>
          <w:rtl w:val="true"/>
          <w:lang w:bidi="fa-IR"/>
        </w:rPr>
        <w:t xml:space="preserve">مناسب است در آغاز، این نوشتار را به سخنی از گفتار امام باقر علیه السلام در این باره زینت بخشیم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باقر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همسری است که همراه اوست و به اندازه کافی برای او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پوشش تن و حافظ عفاف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که رمق ایستادن روی پای خود داشته باشد، تهیه نکند، بر امام است که بین چنین زن و شوهری جدایی افکند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به ظاهر یکی از مؤيدات، بلکه مستندات فقهایی که در این مسأله اظهار نظر کرده اند، این قبیل روایات است که با توجه به آنها و تمسک به بعضی از قواعد عقلی و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ولا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ارائه راه حل برای نجات این دسته از زنان اقدام کرده اند و ذیلا به خلاصه گفتار شماری از آنان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قمی رحمة الله در پاسخ پرسشی در این موضوع، چنین نوشته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در این که چنانکه زوج را حقوقی چند بر زوجه است که در تخلف از آنها زوجه ناشزه است، همچنین زوجه را بر زوج حقوقی چند هست که در تخلف آن، زوج ناشز می شود و حقوق زوجه بر زوج این است که نفقه و کسوه را موافق شریعت مقدسه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زوج تخلف کرد از حقوق زوجه و مطالبه او نفعی نکرد، به حاکم شرع </w:t>
      </w:r>
    </w:p>
    <w:p>
      <w:pPr>
        <w:pStyle w:val="BookText"/>
        <w:rPr/>
      </w:pPr>
      <w:r>
        <w:rPr>
          <w:rFonts w:ascii="IRNazanin" w:hAnsi="IRNazanin" w:eastAsia="IRNazanin"/>
          <w:color w:val="111111"/>
          <w:sz w:val="28"/>
          <w:sz w:val="28"/>
          <w:szCs w:val="28"/>
          <w:rtl w:val="true"/>
          <w:lang w:bidi="fa-IR"/>
        </w:rPr>
        <w:t>رجوع می کند و بعد از ثبوت در نزد حاکم، او را الزام و اجبار میکند بر وفای حقوق و اگر تخلف کرد، تعزیر میکند و هرگاه زوجه راضی نمی شود بر بقای بر تحمل نشوز زوج، حاکم زوج را الزام می کند بر رعایت حقوق، یا بر طلاق دادن زوجه و هرگاه برای حاکم علم حاصل شود به این که زوج سلوک به معروف نمیکند و وفای به حقوق زوجه نمی کند، او را اجبار میکند بر طلاق و این اجبار منافی صحت طلاق نیست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سید محمدکاظم طباطبایی یزدی رضوان الله تعالی علیه نیز در این باره</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حاکم شرع بتواند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که حاضر است، ولی معسر است و زن هم نمی تواند بر این حال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درخواست زن،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ظاهر کلمات فقها، عدم جواز این امر است؛ زیرا طلاق به دست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ولی ممکن است گفته شود به استناد قاعده نفی ضرر و حرج؛ بویژه اگر زن، جوان باشد و صبر کردنش مستلزم مشقت شدید برای او باشد، حاکم شرع می تواند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بیان چند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استفاده می شود که در صورت ندادن نفقه، شوهر مجبور به طلاق می گردد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 حسین کاشف الغطاء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یادآور شده اند و از دلیلهای عام و خاص فراوانی نیز به دست می آید که اگر استمرار زندگی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نرسیدن نفقه لازم به زن؛ خواه به علت عسر شوهر باشد یا امتناع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در مشقت شدید و مواجه با ضرر قرار دهد، برای حاکم شرع است که اگر شوهری زن خود را به آمرحاکم طلاق نداد، حاکم از باب اعمال ولایت، او را طلاق دهد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خویی رحمة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شوهر از نفقه همسرش خودداری نماید، با این که زن استحقاق دریافت نفقه را داشته باشد، حاکم شرع، شوهر را وامی دارد که نفقه زوجه اش را بپردازد و در غیر آن صورت، طلاقش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از انجام این حکم سرباز زد، خود حاکم شرع آن زن را طلاق می دهد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آية الله شیخ حسین حلی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صلاحیت حاکم شرع برای اجبار مرد بر طلاق دادن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و یا در صورت خودداری زوج، اقدام خود حاکم بر طلاق همسر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ولایت بر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بحوث الفقهيه چنین منعکس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آیات شریفه </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آیه دوم سوره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ظهور دارد، این است که این آیات در صدد بيان حكم كبرای کلی است که هر شخصی در زندگی مشترک خود باید یکی از دو راه را بپیماید، یا همه حقوق همسرش را از نفقه گرفته تا سایر حقوق دیگری که بر عهده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کامل ادا کند و امساک به معروف نماید یا به خوبی رهایش کند و پیوند زناشویی را از هم بگسلد تا زن، خود مستقلا زندگی بهتری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تُمْسِكُوهُنَّ ضِراراً لِتَعْتَدُوا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برای زیان رساندن نگاه مدارید تا به حقوقشان تعی کنید را هم مؤید برای این که بیش از این دو راه راه دیگری به روی مرد باز نمی باشد، قرار داده است و این احتمال می رود که این جمله از آیه شریفه برای تأكید همان حكم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امساک به معروف یا تسریح به احسان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توجه و دقت کافی در آیات شریفه وارده در این موضوع، خصوصا فقرات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يَخافا أَلاَّ يُقِيما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خِفْتُمْ أَلَّا يُقِيما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يَتَعَدَّ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ظَنَّا أَنْ يُقِيما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حُدُودُ اللَّهِ یبینها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روشن می گردد که در صورت اضرار و عسر و حرج بر زوجه، باید راه طلاق به روی او باز باشد؛ زیرا مراد از حدود در موارد فوق، احکام تکلیفی و مقررات نظم بخشنده به زندگی زناشویی و گرمابخش به کانون خانواده می باشد و همه اینها حکایت از اهتمام شارع بر اجرا و رعایت شدن این حدود، و برقرار شدن یک زندگی سعادتمند برای زن و شوهر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مقدار به تنهایی برای باز گذاشتن دست حاکم شرع بر اجبار زوج بر طلاق همسرش یا اقدام مستقیم خود او بر طلاق دادن زن مردی، کفایت نمی کند، مگر از این باب که حاکم شرع را ولی ممتنع بدانیم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علاوه بر این، روایت ابی بصیر از امام باقر علیه السلام نیز که در ابتدای مقاله ترجمه آن را ذکر کردیم همین مطلب را بیان می کند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گلپایگانی رحمة الله هم در پاسخ سؤالی چنین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زوج، متمکن از انفاق بر زوجه باشد و انفاق نکند و زن به مجتهد جامع الشرایط مراجعه نماید، مجتهد زوج را ملزم به انفاق یا طلاق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هر دو امتناع نمود و انفاق از مال زوج به زوجه یا اجبار زوج بر طلاق ممکن نشد، چنانچه زن میل به طلاق داشته باشد، مجتهد می تواند او را طلاق بدهد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اراکی رحمة الله نیز در مقام پاسخ به استفتایی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طلاق با زوج است و مفروض سؤال که زوج نفقه نمی دهد، اگر زوجه به وظایف زوجیت عمل کرد و ناشزه نبود و زوج هم قادر به انفاق بود، در صورت امکان، او را اجبار می کند به طلاق یا انفاق و در صورت عدم امکان، زوجه مراجعه می کند به حاکم شرع یا مجاز از طرف او، و حاکم شرع در صورت امتناع زوج از انفاق یا طلاق، زن را طلاق می دهد و البته در صورت تقاضای زن</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رحمة الله هم در پاسخ سؤال فقهای شورای نگهبان درباره این موضوع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احتياط آن است که زوج را با نصيحت والا با الزام، وادار به طلاق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میسر نشدن، به اذن حاکم شرع، طلاق داده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55" w:name="pg6894_74519"/>
    </w:p>
    <w:p>
      <w:pPr>
        <w:pStyle w:val="BookText"/>
        <w:rPr/>
      </w:pPr>
      <w:bookmarkEnd w:id="155"/>
      <w:r>
        <w:rPr>
          <w:rFonts w:ascii="IRNazanin" w:hAnsi="IRNazanin" w:eastAsia="IRNazanin"/>
          <w:color w:val="111111"/>
          <w:sz w:val="28"/>
          <w:sz w:val="28"/>
          <w:szCs w:val="28"/>
          <w:rtl w:val="true"/>
          <w:lang w:bidi="fa-IR"/>
        </w:rPr>
        <w:t xml:space="preserve">بنابراین فتواها، طبیعی است که در ماده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جمهوری اسلامی ایران که برگرفته شده از فقه امامیه است، این مسأله چنین منعکس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استنکاف شوهر از دادن نفقه و عدم امکان اجرای حکم محکمه و الزام او به دادن نفقه، زن می تواند برای طلاق به حاکم رجوع کند و حاکم شوهر را اجبار به طلاق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امتثال امر حاکم نکرد، ممکن است موضوع حرجی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به استناد ماده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خود حاکم، طلاق می دهد</w:t>
      </w:r>
      <w:r>
        <w:rPr>
          <w:rFonts w:eastAsia="IRNazanin" w:cs="IRNazanin"/>
          <w:color w:val="111111"/>
          <w:sz w:val="28"/>
          <w:szCs w:val="28"/>
          <w:rtl w:val="true"/>
          <w:lang w:bidi="fa-IR"/>
        </w:rPr>
        <w:t>.</w:t>
      </w:r>
    </w:p>
    <w:p>
      <w:pPr>
        <w:pStyle w:val="Heading5"/>
        <w:numPr>
          <w:ilvl w:val="4"/>
          <w:numId w:val="1"/>
        </w:numPr>
        <w:rPr/>
      </w:pPr>
      <w:bookmarkStart w:id="156" w:name="__RefHeading___Toc1440340_372815092"/>
      <w:bookmarkStart w:id="157" w:name="_Toc56"/>
      <w:bookmarkEnd w:id="156"/>
      <w:r>
        <w:rPr>
          <w:rtl w:val="true"/>
        </w:rPr>
        <w:t>وظیفه حاکم شرع در مقابل زوج عاجز از نفقه</w:t>
      </w:r>
      <w:bookmarkEnd w:id="157"/>
    </w:p>
    <w:p>
      <w:pPr>
        <w:pStyle w:val="BookText"/>
        <w:rPr/>
      </w:pPr>
      <w:r>
        <w:rPr>
          <w:rFonts w:ascii="IRNazanin" w:hAnsi="IRNazanin" w:eastAsia="IRNazanin"/>
          <w:color w:val="111111"/>
          <w:sz w:val="28"/>
          <w:sz w:val="28"/>
          <w:szCs w:val="28"/>
          <w:rtl w:val="true"/>
          <w:lang w:bidi="fa-IR"/>
        </w:rPr>
        <w:t>در موردی که شوهر از دادن نفقه همسرش ناتوان باشد و زن دچار عسر و حرج گردد، آیا در فرض تقاضای طلاق از ناحیه زن، حاکم شرع می تواند مرد را مجبور به طلاق همسرش کند؟ و یا در صورت استنکاف مرد، آیا مجاز است که خود حاکم به عنوان ولی ممتنع، زن متقاضی را مطلقه سازد؟</w:t>
      </w:r>
    </w:p>
    <w:p>
      <w:pPr>
        <w:pStyle w:val="BookText"/>
        <w:rPr/>
      </w:pPr>
      <w:r>
        <w:rPr>
          <w:rFonts w:ascii="IRNazanin" w:hAnsi="IRNazanin" w:eastAsia="IRNazanin"/>
          <w:color w:val="111111"/>
          <w:sz w:val="28"/>
          <w:sz w:val="28"/>
          <w:szCs w:val="28"/>
          <w:rtl w:val="true"/>
          <w:lang w:bidi="fa-IR"/>
        </w:rPr>
        <w:t>در خلال سخن مرحوم سید محمدکاظم طباطبایی یزدی درباره زوج غایب مفقود الاثر به حکم این دسته از زنان هم اشاره ای شده است؛ زیرا در ادامه کلامش می 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حاکم شرع بتواند در مورد شوهر مفقودی که زنده بودن او معلوم است، ولی همسرش نمی تواند صبر کند و انتظار بکشد، در صورت درخواست زن،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شوهری که حاضر است، ولی معسر است و توانایی دادن نفقه را ندارد و زن هم نمی تواند بر این حال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ظاهر کلمات فقها این است که حاکم نمی تواند زن را مطلقه و رهای از قید زوجیت کند؛ زیرا طلاق به دست زوج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ممکن است به استناد قاعدة نفي ضرر و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اگر زن، جوان باشد و صبر کردنش مستلزم مشقت شدید برای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شرع بتواند او را طلاق دهد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آية الله شیخ حسین حلی قدس سره برای این مطلب که در صورت عجز شوهر و عدم تقصیر او، حاکم می تواند در صورت تقاضای زن، شوهر را مجبور به طلاق همسرش کند نیز به صحیح فضیل بن يسار و ربعی از امام صادق علیه السلام استدلال می کند که در تبیین فرمایش حق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قُدِرَ عَلَيْهِ رِزْقُهُ فَلْيُنْفِقْ مِمَّا آتاهُ اللَّهُ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أَنْفَقَ عَلَيْهَا مَا يُقِيمُ ظَهْرَهَا مَعَ كِسْوَةٍ وَ إِلَّا فُرِّقَ بَيْنَهُمَا </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یعنی اگر غذا و پوشاک کافی از شوهر به زن رسید، باید زندگی کند، در غیر این صورت، از هم جدا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روایت ابن ابی عمیر استناد کرده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جميل بن دراج درباره نفقه زن پرسیدم،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از امام صادق عليه السلام روایت کرد که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شوهر پوشاک کافی برای زنش فراهم کند و به اندازه لازم غذا برایش تهیه کند، زن با آن زوج زندگی می کند؛ در غیر این صورت، مرد آن زوجه را رها سازد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مرحوم شیخ حسین حلی قدس سره بعد از نقل این دو روایت صحیح فرموده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روایت برای ما روشن می شود که تأخیر شوهر از پرداخت نفقه به همسرش موجب گشوده شدن باب طلاق اجباری به روی حاکم شرع می شود؛ زیرا او در مقابل به خطرافتادن حقوق زن، مسؤول است و شرعا موظف به پیشگیری از تضییع حق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محتوای بعضی از روایات دیگر فهمیده می شود 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مستثنا شده است و این مسأله حق اجبار برای حاکم، مربوط به شوهر متمکنی است که از پرداخت نفقه همسرش استنکاف می ورزد؛ چون در خبری آمده است </w:t>
      </w:r>
      <w:r>
        <w:rPr>
          <w:rStyle w:val="FootnoteAnchor"/>
          <w:rtl w:val="true"/>
        </w:rPr>
        <w:footnoteReference w:id="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از شوهرش، خدمت حضرت امیر علیه السلام شکایت نمود که نفقه به او نمی دهد و شوهرش هم ناتوان از تهیه آن بود، حضرت علی علیه السلام از محبوس کردن آن مرد خودداری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با هر سختی و مشقتی، آسانی هم در پی خواهد بود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بنابراین، نباید به تقاضای زن، مردی را که از فراهم کردن نفقه همسرش ناتوان است، مجبور به 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اشکال، توجیه اخلاقی دارد، ولی از آنجا که دامنه حقوق، محدود است و حوزه کار آن به وسعت دامنه اخلاق نیست، جای تأمل و ایراد بر آن هست و لذا مرحوم شیخ حسین حلی بدین صورت به آن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مذکور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زنی از امام درخواست کرده باشد که شوهرش را مجبور به طلاق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تا کسی به امتناع حضرت امیر علیه السلام از حبس کردن آن زوج استدلال کند و بگوید پس نمی شود شوهری را به خاطر عجز از تهیه نفقه همسرش مجبور به طلاق دادن کرد؛ زیرا زنی آمده محضر امیر مؤمنان علیه السلام و از شوهرش که فقیر بود و نفقه او را فراهم نمی کرد شکایت کرد، به یک معنا زن طلبکار بوده و از حضرت على علیه السلام خواست که از راه حبس و زندانی کردن زوج مديونش او را تحت فشار قرار دهد تا دنبال کار و کسب و تهیه روزی برود، پس تقاضای طلاق را نداشته، بلکه او به عنوان یک طلبکار از حاکم اسلامی خواسته است که شوهر مدیونش را از راه زندان کردن، وادارد که دنبال کار و تلاش و تهیه نمودن نفقه برای عیالات واجب النفقه اش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که امام با استفسار و توجه به اوضاع و احوال موجود، کشف کرده بود که زن، متقاضی طلاق نیست و راضی به ادامه زوجیت است، ولی از امام، واداشتن شوهرش به کار و تلاش برای تحصیل نفقه خانواده اش را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عدم انفاق و اصرار بر استمرار به آن، موجب فتح باب برای اعمال طلاق اجباری از ناحیه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درخواست طلاق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باشد؛ بدون این که از نظر عسر و حرج، به موقعیت زوج توجه شود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بنابراین، چه بسا مسأله عسر و حرج شوهر با عسر و حرج زن، متعارض شود و در جلوگیری از اجرای حکم طلاق اجباری، بی تأثیر نباشد و بعد به اطلاق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قاعده لاضرر که مستخرج از حدیث شریف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ضرر ولا ضرار </w:t>
      </w:r>
    </w:p>
    <w:p>
      <w:pPr>
        <w:pStyle w:val="BookText"/>
        <w:rPr/>
      </w:pPr>
      <w:r>
        <w:rPr>
          <w:rFonts w:ascii="Amiri" w:hAnsi="Amiri" w:eastAsia="Amiri" w:cs="Amiri"/>
          <w:color w:val="111111"/>
          <w:sz w:val="28"/>
          <w:sz w:val="28"/>
          <w:szCs w:val="28"/>
          <w:rtl w:val="true"/>
          <w:lang w:bidi="ar-SA"/>
        </w:rPr>
        <w:t>في الاسلام</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که در منابع مختلفی </w:t>
      </w:r>
      <w:r>
        <w:rPr>
          <w:rStyle w:val="FootnoteAnchor"/>
          <w:rtl w:val="true"/>
        </w:rPr>
        <w:footnoteReference w:id="93"/>
      </w:r>
      <w:r>
        <w:rPr>
          <w:rFonts w:ascii="IRNazanin" w:hAnsi="IRNazanin" w:eastAsia="IRNazanin"/>
          <w:color w:val="111111"/>
          <w:sz w:val="28"/>
          <w:sz w:val="28"/>
          <w:szCs w:val="28"/>
          <w:rtl w:val="true"/>
          <w:lang w:bidi="fa-IR"/>
        </w:rPr>
        <w:t>با تفاوتهایی آمده است، استناد می شود که عنایت به این و توجه به ضابطه فوق، مبنای آرای جمعی از فقها در این باره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نظر شیخ انصاری رحمة الله است که درباره زنی که شوهرش مریضی جذام دارد و ادامه زندگی با چنان شوهری برای زن موجب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 تواند برای نجات خود، به حاکم شرع مراجعه کند و او در صورت تشخیص ضرر و حرج بر زن، شوهر را مجبور بر طلاق میکند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سید محمد کاظم یزدی قدس سره نیز در ادامه کلامشان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دیدی وسیعتر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شوهری که حاضر است، ولی معسر است و قدرت فراهم آوردن نفقه همسرش را ندارد و زن او هم نمی تواند بر این حال صبر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قاعده نفی ضرر و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اگر زن، جوان باشد و صبر کردنش مستلزم مشقت شدید بر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حاکم شرع می تواند او را طلاق دهد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همچنین علامه شیخ محمد حسین کاشف الغطاء هم در این باره قریب به همین</w:t>
      </w:r>
    </w:p>
    <w:p>
      <w:pPr>
        <w:pStyle w:val="BookText"/>
        <w:rPr/>
      </w:pPr>
      <w:r>
        <w:rPr>
          <w:rFonts w:ascii="IRNazanin" w:hAnsi="IRNazanin" w:eastAsia="IRNazanin"/>
          <w:color w:val="111111"/>
          <w:sz w:val="28"/>
          <w:sz w:val="28"/>
          <w:szCs w:val="28"/>
          <w:rtl w:val="true"/>
          <w:lang w:bidi="fa-IR"/>
        </w:rPr>
        <w:t>مضمون را بیان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عامه و خاصه بسیاری داریم مبنی بر این که حاکم شرع در صور عدیده ای ولایت بر طلاق دارد که قدر جامع آنها مواردی است که از بقا و ادامه زوجیت، ضرر و مشقت شدید بر زن لازم بیاید </w:t>
      </w:r>
      <w:r>
        <w:rPr>
          <w:rFonts w:eastAsia="IRNazanin" w:cs="IRNazanin"/>
          <w:color w:val="111111"/>
          <w:sz w:val="28"/>
          <w:szCs w:val="28"/>
          <w:rtl w:val="true"/>
          <w:lang w:bidi="fa-IR"/>
        </w:rPr>
        <w:t>....</w:t>
      </w:r>
      <w:r>
        <w:rPr>
          <w:rStyle w:val="FootnoteAnchor"/>
          <w:rtl w:val="true"/>
        </w:rPr>
        <w:footnoteReference w:id="9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شیخ حسین حلی رحمة الله برای این مسأله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لاتمسكوهن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استناد جسته است که این خود می تواند دلیل بر این مطلب باشد که ادامه زندگی زناشویی که موجب ضرر بر زن باشد، ناپسند و ممنوع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ایشان در نهایت می فرمایند</w:t>
      </w:r>
      <w:r>
        <w:rPr>
          <w:rFonts w:eastAsia="IRNazanin" w:cs="IRNazanin"/>
          <w:color w:val="111111"/>
          <w:sz w:val="28"/>
          <w:szCs w:val="28"/>
          <w:rtl w:val="true"/>
          <w:lang w:bidi="fa-IR"/>
        </w:rPr>
        <w:t xml:space="preserve">: </w:t>
      </w:r>
      <w:bookmarkStart w:id="158" w:name="pg6894_74523"/>
    </w:p>
    <w:p>
      <w:pPr>
        <w:pStyle w:val="BookText"/>
        <w:rPr/>
      </w:pPr>
      <w:bookmarkEnd w:id="158"/>
      <w:r>
        <w:rPr>
          <w:rFonts w:ascii="IRNazanin" w:hAnsi="IRNazanin" w:eastAsia="IRNazanin"/>
          <w:color w:val="111111"/>
          <w:sz w:val="28"/>
          <w:sz w:val="28"/>
          <w:szCs w:val="28"/>
          <w:rtl w:val="true"/>
          <w:lang w:bidi="fa-IR"/>
        </w:rPr>
        <w:t xml:space="preserve">بنابراین، به صرف عدم انفاق و اصرار بر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از ناحیه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باب طلاق اجباری به روی حاکم شرع باز خواهد شد، بدون این که او بخواهد به وضعیت و موقعیت شوهر نگاه کند که او تمکن بر پرداخت نفقه همسرش دارد و نمی دهد یا معسر و ناتوان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البته در پایان، تذکر این نکته خالی از لطف نیست که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بر طلاق و یا</w:t>
      </w:r>
    </w:p>
    <w:p>
      <w:pPr>
        <w:pStyle w:val="BookText"/>
        <w:rPr/>
      </w:pPr>
      <w:r>
        <w:rPr>
          <w:rFonts w:ascii="IRNazanin" w:hAnsi="IRNazanin" w:eastAsia="IRNazanin"/>
          <w:color w:val="111111"/>
          <w:sz w:val="28"/>
          <w:sz w:val="28"/>
          <w:szCs w:val="28"/>
          <w:rtl w:val="true"/>
          <w:lang w:bidi="fa-IR"/>
        </w:rPr>
        <w:t>اجرای طلاق به عنوان ولی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شؤون آن قاضی و حاکمی است که دارای شرایط شرعی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عملا، عداله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والا چه بسا که موجب افساد در زندگیها و اختلاط انساب و تحریم حلال و تحلیل حرام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توجه به همین مسأله است که حتی الامکان در محاکم جمهوری اسلامی سعی می شود که دعاوی خانوادگی و مسائل مربوط به ازدواج و طلاق و اثبات نسبت، به دادگاههای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شود</w:t>
      </w:r>
      <w:r>
        <w:rPr>
          <w:rFonts w:eastAsia="IRNazanin" w:cs="IRNazanin"/>
          <w:color w:val="111111"/>
          <w:sz w:val="28"/>
          <w:szCs w:val="28"/>
          <w:rtl w:val="true"/>
          <w:lang w:bidi="fa-IR"/>
        </w:rPr>
        <w:t>.</w:t>
      </w:r>
    </w:p>
    <w:p>
      <w:pPr>
        <w:pStyle w:val="Heading4"/>
        <w:numPr>
          <w:ilvl w:val="3"/>
          <w:numId w:val="1"/>
        </w:numPr>
        <w:rPr/>
      </w:pPr>
      <w:bookmarkStart w:id="159" w:name="__RefHeading___Toc1440342_372815092"/>
      <w:bookmarkStart w:id="160" w:name="_Toc57"/>
      <w:bookmarkEnd w:id="159"/>
      <w:r>
        <w:rPr>
          <w:rtl w:val="true"/>
        </w:rPr>
        <w:t>فقها و مواجه شدن زن با عسر و حرج</w:t>
      </w:r>
      <w:bookmarkEnd w:id="16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دیدگاهها و فتاوایی که در سابق مطرح شد، می توان تا حدی برای این مبحث هم بهره جست، ولی از آنجا که روایاتی درباره وظیفه حاکم در مقابل زوج ناتوان از نفقه وجود دارد و ظن قوی می رود که فتاوای علما علاوه بر قواعد نفی عسر و حرج و لاضرر، مستند به همان روایات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در بعضی از آن نظرها، اشاره ای کوتاه به آن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مسأله مشقت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است، لکن از انصراف و ظهور آنها چیزی زاید 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شد، استفاده نمی شود؛ مگر از راه تنقیح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 تعميم علت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از قاعده نفی عسر و حرج و لاضرر، علاوه بر ترک انفاق، در سایر مواردی که زن در دام مشکلاتی از قبیل بد اخلاقی و سوء معاشرت زوج و یا ابتلای او به بیماریهای صعب العلاج و یا مسری؛ همچون هاری، جنون، جذام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از مصادیق بارز ضرر است، اسیر می شود، کمک گرفت و برای زن حق مراجعه به حاکم شرع را قائل شد تا از آن طریق، شوهر مجبور به طلاق زن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آن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اثبات حرجی بودن موضوع و تشخیص این که استمرار زوجیت، چه بسا موجب ضرر مادی و یا معنوی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شرع به عنوان ولی ممتنع و یا متولی امور حسبی </w:t>
      </w:r>
      <w:r>
        <w:rPr>
          <w:rStyle w:val="FootnoteAnchor"/>
          <w:rtl w:val="true"/>
        </w:rPr>
        <w:footnoteReference w:id="99"/>
      </w:r>
      <w:r>
        <w:rPr>
          <w:rFonts w:ascii="IRNazanin" w:hAnsi="IRNazanin" w:eastAsia="IRNazanin"/>
          <w:color w:val="111111"/>
          <w:sz w:val="28"/>
          <w:sz w:val="28"/>
          <w:szCs w:val="28"/>
          <w:rtl w:val="true"/>
          <w:lang w:bidi="fa-IR"/>
        </w:rPr>
        <w:t>می تواند آن زن را طلاق دهد؛ هرچند که شوهر او راضی نباشد؛ زیرا خداوند راضی نیست بنده ای از بندگانش که در دام طوفان مهلکی گرفتار آمده است، همچنان در آن گرفتاری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ناجی و چاره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از مباحث فصل قبل، پاسخ این مسأله هم روشن می شود، ولی برای تبیین و تأكید بیشتر آن، در این جا هم به بخشهای دیگری از آرای ذکر شده جمعی از فقهای متأخر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میرزای قمی در پاسخ سوالی درباره بدرفتاری و اذیت و آزار شدید شوهر و این که، حاکم شرع می تواند زوج را اجبار به طلاق نماید یا خیر، می 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در این که چنانکه زوج را حقوقی چند بر زوجه است که در تخلف از آنها زوجه ناشزه می شود، همچنین زوجه را بر زوج حقوقی چند است که در تخلف از آن، زوج ناشز می شود و حقوق زوجه بر زوج این است که نفقه و کسوه را موافق شریعت مقدسه بدهد و با او بدون وجه شرعی، کج خلقی نکند و او را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زوج تخلف کرد از حقوق زوجه و مطالبه زوجه نفعی نکرد، به حاکم شرع رجوع میکند و بعد از ثبوت در نزد حاکم، او را الزام و اجبار میکند بر وفای حقوق و اگر تخلف کرد، </w:t>
      </w:r>
    </w:p>
    <w:p>
      <w:pPr>
        <w:pStyle w:val="BookText"/>
        <w:rPr/>
      </w:pPr>
      <w:r>
        <w:rPr>
          <w:rFonts w:ascii="IRNazanin" w:hAnsi="IRNazanin" w:eastAsia="IRNazanin"/>
          <w:color w:val="111111"/>
          <w:sz w:val="28"/>
          <w:sz w:val="28"/>
          <w:szCs w:val="28"/>
          <w:rtl w:val="true"/>
          <w:lang w:bidi="fa-IR"/>
        </w:rPr>
        <w:t>تعزیر میکند و هرگاه زوجه راضی نمی شود بر بقای بر تحمل نشوز زوج، حاكم الزام می کند زوج را بر رعایت حقوق یا طلاق دادن زوجه، و هرگاه برای حاکم علم حاصل شود به این که زوج سلوک به معروف نمیکند و وفای به حقوق زوجه نمی کند، او را اجبار میکند بر طلاق و این اجبار، منافی صحت طلاق نیست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البته آن طور که از سخن ایشان در باب قضا فهمیده می شود، تمایلی به این که حاکم خودش مباشرتأ حق طلاق دادن زن کسی را داشته باشد، به دست نمی آید و حتی وقتی سخن از مسأله عسر و حرج به میان می آید به عنوان مثال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زوج مفقود، اگر فحص ممکن نشد، زوجه اش حق ندارد با دیگری ازدواج کند؛ هرچند گرفتار عسر و مشقت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قاعده نفی حرج و لاضرر در این مورد، غفلت از تحقیق و اثبات حق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مرتضی انصاری رضوان الله تعالی علیه هم در مبحث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نکاح، در ضمن به میان آوردن بحث از این که فرض اگر زوج مبتلا به مرض جذام شد، آیا زوجه او می تواند با تمسک به آن عیب، نکاح را فسخ کند؛ همچنان که اگر زن گرفتار جذام باشد، شوهر می تواند عقد نکاح را فسخ کند، یا خیر؟ ابتدا اشاره می کند که در مسأله، دو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علما قائلند که وجود این عیب در مرد، موجب خیار فسخ برای زن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قاضی و اسکافی و شهید ثانی حکایت شده است که موجب خیار فسخ برای زن می شود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مرحوم شیخ انصاری در ضمن بیان وجه رد قول دوم،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زن از معاشرت با او ضرر ببیند، می تواند اجبار او را بر طلاق، از حاکم بخواهد و رهایی آن زن و نجات او از این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ضرری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مجبور شدن </w:t>
      </w:r>
    </w:p>
    <w:p>
      <w:pPr>
        <w:pStyle w:val="BookText"/>
        <w:rPr/>
      </w:pPr>
      <w:r>
        <w:rPr>
          <w:rFonts w:ascii="IRNazanin" w:hAnsi="IRNazanin" w:eastAsia="IRNazanin"/>
          <w:color w:val="111111"/>
          <w:sz w:val="28"/>
          <w:sz w:val="28"/>
          <w:szCs w:val="28"/>
          <w:rtl w:val="true"/>
          <w:lang w:bidi="fa-IR"/>
        </w:rPr>
        <w:t>زوج به وسیله حاکم بر طلاق، ممکن می شود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البته همچنان که از ظاهر فرمایش شیخ هویداست، ایشان فقط مسأله طلاق از طریق مجبور شدن مرد توسط حاکم را مطرح کرد و ممکن دانست، ولی این مطلب به دست نمی آید که طلاق خود حاکم را هم در صورت استنکاف و امتناع مرد از دستور حاکم، جایز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محمدکاظم طباطبایی یزدی قدس سره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ظاهر کلمات فقها عدم تجویز این امر است، زیرا طلاق به دست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بيد من اخذ بالساق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ممکن است گفته شود به استناد قاعده نفی ضرر و حرج، مخصوصا اگر زن، جوان باشد و صبر کردنش مستلزم مشقت شدید برای او باشد، حاکم شرع می تواند او را طلاق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بقا و استمرار زوجیت موجب گردد که زن به گناه افتد، به طریق اولی، بلکه لازم است که حاکم، آن زن را طلاق دهد تا از ارتکاب معصیت محفوظ بماند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 حسین کاشف الغطاء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دلیلهای عام و خاص فراوانی دلالت دارد بر این که حاکم شرع در موارد مختلفی، بر طلاق زوجه فرد دیگر ولایت دارد که جامع آنها این است که باقی ماندن زن بر زوجیت شوهرش موجب مشقت شدید و ضرر رسیدن بر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برای حاکم شرع ثابت شود که باقی ماندن زنی بر زوجیت مردی، موجب ضرر شدید و در تنگنا قرار گرفتن او خواهد شد و خود زن هم حاضر به تحمل آن مشکل نباشد، بلکه تقاضای طلاق بکند، حاکم شرع شوهر او را مجبور به طلاقش می کند، اگر از امتثال امر حاکم شرع سر برتافت، آن وقت برای خود حاکم رواست که آن زن را طلاق دهد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شیخ حسین حلی هم درباره این مسأله و نظایر آن، بحث مفصلی را ارائه کرده است و در پایان، 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تُمْسِكُوهُنَّ ضِراراً لِتَعْتَدُوا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مؤیدی برای</w:t>
      </w:r>
    </w:p>
    <w:p>
      <w:pPr>
        <w:pStyle w:val="BookText"/>
        <w:rPr/>
      </w:pPr>
      <w:r>
        <w:rPr>
          <w:rFonts w:ascii="IRNazanin" w:hAnsi="IRNazanin" w:eastAsia="IRNazanin"/>
          <w:color w:val="111111"/>
          <w:sz w:val="28"/>
          <w:sz w:val="28"/>
          <w:szCs w:val="28"/>
          <w:rtl w:val="true"/>
          <w:lang w:bidi="fa-IR"/>
        </w:rPr>
        <w:t>مدعایش استناد جسته،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جمله از آیه شریفه، تأكید همان حكم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به معروف یا تسریح به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مطلوب ما هم همین است و بعد از نظر به آیات شریفه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و آیه دوم سوره طلاق، این مطلب واضح می شود که در صورت اضرار و توجه عسر و حرج بر زوجه، باید راه طلاق به روی او باز باشد؛ زیرا مراد از حدود در این موارد، قوانین آمره برگشت کننده به افراد به تنهایی نمی باشد، بلکه مراد، قوانین و مقررات تنظیم کننده و الفت بخشنده به زندگی زناشویی می باشد؛ هرچند به عنوان مصداقی از حدودالله باشد و همه اینها دلالت بر اهتمام شارع دارد بر محافظت و رعایت این حدود برای استواری و پایداری یک زندگی سعادتمندانه برای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مقدار به تنهایی مجوز برای گشوده شدن راه طلاق زن به روی حاکم شرع نمی شود تا او بتواند حتی با اکراه و الزام، مرد را مجبور به طلاق دادن زوجه اش کند؛ مگر از این روی که او را ولی ممتنع بدانیم و مجاز به انجام 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روایت ابوبصیر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الأمام أن يفرق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را می رساند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استفتا و پرسش فقهای محترم شورای نگهبان قانون اساسی جمهوری اسلامی ایران از محضر رهبر کبیر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در زمان اصلاح قانون مدنی و مورد بحث قرار گرفتن ماده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به عمل آوردند، و پاسخ ابراز شده به آن، چنین به دست می آید که مرحوم امام خمینی رحمة الله بر این عقیده بوده اند که اگر ادامه زندگی زناشویی برای زن، موجب عسر و حرج باشد، وی می تواند از دادگاه درخواست طلاق نماید و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احراز عسر و حرجی بودن ادامه زوجيت بر آن زن، می تواند به آن زن اجازه طلاق دهد که ما به خاطر بهره جویی بیشتر، سؤال و جواب فوق را ذیلا نقل می 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مبارک رهبر عالیقدر انقلاب اسلامی ایران حضرت آية الله العظمی امام خمینی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و اهداء تحیت، پاره ای از مسائل در شورای نگهبان مورد اختلاف قرار میگیرد، و بالنهایه نظر شریف متبع است، من جمله از این مسائل، موادی </w:t>
      </w:r>
    </w:p>
    <w:p>
      <w:pPr>
        <w:pStyle w:val="BookText"/>
        <w:rPr/>
      </w:pPr>
      <w:r>
        <w:rPr>
          <w:rFonts w:ascii="IRNazanin" w:hAnsi="IRNazanin" w:eastAsia="IRNazanin"/>
          <w:color w:val="111111"/>
          <w:sz w:val="28"/>
          <w:sz w:val="28"/>
          <w:szCs w:val="28"/>
          <w:rtl w:val="true"/>
          <w:lang w:bidi="fa-IR"/>
        </w:rPr>
        <w:t>است از قانون مدنی که اخیرا مورد بررسی و اصلاح قرار گرفته است که یکی از مواد مربوط به طلاق،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ادامه زندگی زناشویی برای زن، موجب عسر و حرج باشد، می تواند با مراجعه به حاکم شرع تقاضای طلاق کند و حاکم پس از بررسی و ثبوت موضوع، شوهر را اجبار به طلاق کند و چنانچه مرد از طلاق ابا کند، حاکم شخصا اقدام به طلاق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بعضی از فقهای شورا نظر منفی دارند و میگویند آنچه مستلزم حرج است، لزوم عقد در نکاح است و بر فرض که ادله حرج در این جا حاکم باشد، می تواند لزوم عقد را بردارد و برای زن حق فسخ ایجاد کند و با توجه به اینکه موارد فسخ، اجماعا محدود است و این مورد جزء آن موارد نیست، پس حق فسخ قهرأ منتفی می شود، عده ای از فقها می گویند که علت حرج در این جا تنها لزوم عقد نیست، بلکه انحصار طلاق به دست مرد، منشأ حرج است و ما به ادله حرج، این انحصار را بر می داریم و با مراجعه به حاکم احتیاط و ثبوت موضوع در نزد حاکم، مرد مجبور به طلاق می شود و یا حاکم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نظرات، نظر مبارک را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 پاسخ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احتياط آن است که زوج را با نصیحت والا با الزام وادار به طلاق نمایند و در صورت میسر نشدن، به اذن حاکم شرع طلاق داده شود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خویی رضوان الله علیه نیز چنین بیان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و شوهر از همدیگر کراهت داشتند، حاکم شرع، آنها را به داوری و دو نفر از خویشاوندان هریک ارجاع می دهد و در صورت عدم موفقیت آنها و استمرار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ناسازگاری، اگر زن عامل اختلاف بود و یا تقصیر به هر دو نفر از زن و شوهر متوجه باشد، زن باید صبر کند و اما اگر شوهر، عامل و فراهم آورنده شقاق و ناخرسندی باشد، زن می تواند به حاکم شرع، مرافعه و شکایت ببرد و او مرد را به ادای حقوق و به نیک انجام دادن وظایفش و یا طلاق دادن زن الزام میکند و اگر زوج هیچ یک از این دو راه را </w:t>
      </w:r>
      <w:bookmarkStart w:id="161" w:name="pg6894_74529"/>
    </w:p>
    <w:p>
      <w:pPr>
        <w:pStyle w:val="BookText"/>
        <w:rPr/>
      </w:pPr>
      <w:bookmarkEnd w:id="161"/>
      <w:r>
        <w:rPr>
          <w:rFonts w:ascii="IRNazanin" w:hAnsi="IRNazanin" w:eastAsia="IRNazanin"/>
          <w:color w:val="111111"/>
          <w:sz w:val="28"/>
          <w:sz w:val="28"/>
          <w:szCs w:val="28"/>
          <w:rtl w:val="true"/>
          <w:lang w:bidi="fa-IR"/>
        </w:rPr>
        <w:t xml:space="preserve">نپذیرفت،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طلاق میدهد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بعید نیست که توجه به همین فتاوا، بخصوص عنایت به پاسخ مرحوم امام خمینی</w:t>
      </w:r>
    </w:p>
    <w:p>
      <w:pPr>
        <w:pStyle w:val="BookText"/>
        <w:rPr/>
      </w:pPr>
      <w:r>
        <w:rPr>
          <w:rFonts w:ascii="IRNazanin" w:hAnsi="IRNazanin" w:eastAsia="IRNazanin"/>
          <w:color w:val="111111"/>
          <w:sz w:val="28"/>
          <w:sz w:val="28"/>
          <w:szCs w:val="28"/>
          <w:rtl w:val="true"/>
          <w:lang w:bidi="fa-IR"/>
        </w:rPr>
        <w:t>در جواب به پرسش و استفتای شورای محترم نگهبان از ایشان، قوه مقننه جمهوری</w:t>
      </w:r>
    </w:p>
    <w:p>
      <w:pPr>
        <w:pStyle w:val="BookText"/>
        <w:rPr/>
      </w:pPr>
      <w:r>
        <w:rPr>
          <w:rFonts w:ascii="IRNazanin" w:hAnsi="IRNazanin" w:eastAsia="IRNazanin"/>
          <w:color w:val="111111"/>
          <w:sz w:val="28"/>
          <w:sz w:val="28"/>
          <w:szCs w:val="28"/>
          <w:rtl w:val="true"/>
          <w:lang w:bidi="fa-IR"/>
        </w:rPr>
        <w:t xml:space="preserve">اسلامی را بر آن داشت که در بازنگری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را به این صورت اصلاح و تصویب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زیر، زن می تواند به حاکم شرع مراجعه و تقاضای طلاق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محکمه ثابت شود که دوام زوجیت موجب عسر و حرج است، می تواند برای جلوگیری از ضرر و حرج، زوج را اجبار به طلاق نماید و در صورت میسر نشدن، به اذن حاکم شرع طلاق داده می شود</w:t>
      </w:r>
      <w:r>
        <w:rPr>
          <w:rFonts w:eastAsia="IRNazanin" w:cs="IRNazanin"/>
          <w:color w:val="111111"/>
          <w:sz w:val="28"/>
          <w:szCs w:val="28"/>
          <w:rtl w:val="true"/>
          <w:lang w:bidi="fa-IR"/>
        </w:rPr>
        <w:t>.</w:t>
      </w:r>
    </w:p>
    <w:p>
      <w:pPr>
        <w:pStyle w:val="Heading4"/>
        <w:numPr>
          <w:ilvl w:val="3"/>
          <w:numId w:val="1"/>
        </w:numPr>
        <w:rPr/>
      </w:pPr>
      <w:bookmarkStart w:id="162" w:name="__RefHeading___Toc1440344_372815092"/>
      <w:bookmarkStart w:id="163" w:name="_Toc58"/>
      <w:bookmarkEnd w:id="162"/>
      <w:r>
        <w:rPr>
          <w:rtl w:val="true"/>
        </w:rPr>
        <w:t>فقدان یا حبس شوهر</w:t>
      </w:r>
      <w:bookmarkEnd w:id="163"/>
    </w:p>
    <w:p>
      <w:pPr>
        <w:pStyle w:val="Heading5"/>
        <w:numPr>
          <w:ilvl w:val="4"/>
          <w:numId w:val="1"/>
        </w:numPr>
        <w:rPr/>
      </w:pPr>
      <w:bookmarkStart w:id="164" w:name="__RefHeading___Toc1440346_372815092"/>
      <w:bookmarkStart w:id="165" w:name="_Toc59"/>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زنانی که شوهرانشان مفقودالاثر یا محبوس به زندان ابد گردیده اند، از دو حال بیرون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رغم فقدان یا زندانی بودن شوهر، از نظر نفقه، با مشکلی مواجه نیستند؛ چون فرضا شوهرانشان متمکنند و اندوخته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یا غیر نقدی دارند و تحصیل نفقه خانواده اش از آن طریق میسور و مقدور است یا اگر از خود شوهر مالی در دست نیست، کس دیگری حاضر است مخارج خانواده او را بدهد، در چنین صورتی، دیگر مستمسکی برای زن بر تقاضای طلاق وجود نخواهد داشت، به خصوص در نظام اسلامی که با امکان ملاقات خصوصی بین زندانی و همسرش، مشقت فراهم آمده از غریزه جنسی هم کاسته خواهد شد و حق واجب ادا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شوهر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 و یا 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نداشته باشد و کسی هم </w:t>
      </w:r>
    </w:p>
    <w:p>
      <w:pPr>
        <w:pStyle w:val="BookText"/>
        <w:rPr/>
      </w:pPr>
      <w:r>
        <w:rPr>
          <w:rFonts w:ascii="IRNazanin" w:hAnsi="IRNazanin" w:eastAsia="IRNazanin"/>
          <w:color w:val="111111"/>
          <w:sz w:val="28"/>
          <w:sz w:val="28"/>
          <w:szCs w:val="28"/>
          <w:rtl w:val="true"/>
          <w:lang w:bidi="fa-IR"/>
        </w:rPr>
        <w:t>نباشد که به هر عنوانی، نفقه عيال واجب النفقه او را بدهد و خود زن هم از خویش مالی نداشته باشد و امکان اشتغال او برای تحصیل درآمد مورد نیاز زندگی اش نیز فراهم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از گفتار جمعی از فقها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با مراجعه به حاکم شرع، از او کمک بگیرد و در نهایت، با اجازه حاکم شرع و بلکه توسط او به ولایت از شوهر زن مطلقه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نظر شماری از فقها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سید محمدکاظم یزدی قدس سره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حاکم شرع بتواند در مورد شوهر مفقودی که زنده بودن او معلوم است، ولی همسرش نمی تواند صبر کند، در صورت درخواست زن،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شوهری که در حبس ابد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معسر است و توانایی دادن نفقه را ندارد و زن هم نمی تواند بر این حال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ظاهر کلمات فقها بر عدم جواز این امر است؛ زیرا طلاق به دست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قاعده نفی حرج و لاضرر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اگر زن جوان باشد و صبر کردنش موجب مشقت شدید بر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می تواند او را طلاق دهد و به خاطر آنچه از بعضی روایات؛ مثل صحیح ربعی و فضیل بن يسار، و صحیح ابن ابی عمیر از جمیل بن دراج از عنبسه و صحیح ابن بصیر از امام باقر علیه السلام و آنچه از امام صادق علیه السلام به نقل از پیامبر اسلام صلی الله علیه واله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هر مؤمنی از خودش سزاوارترم و بعد از من هم على علیه السلام أولای از آنها به امورشان خواهد بود، و از معنای این کلام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دین و عیالی به جای گذارد، پس بر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 و فتق امرش و تعیین تکلیف زوجه اش و اگر مالی از خود به جای گذاشت، برای ورثه 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اخبار استفاده می شود که اگر زوج نفقه نداد، حاکم او را اجبار بر طلاق همسرش میکند و اگر مرد حضور نداشت و تا اجبارش کنند امام علیه السلام و یا حاکم شرع به نیابت از او متولی امر خواهد شد و اگر باقی گذاردن زن بر زوجیت چنین شوهری، موجب گردد که او قهرا و یا به اختیار خود مرتكب حرام شود، به طریق اولی، بلکه از جهت محافظت او و پیشگیری از افتادنش به دامن گناه، طلاق دادن او لازم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آية الله 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 از 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موارد طلاق حاکم، نزدیک به رأي و استدلال مرحوم سید محمدکاظم یزدی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تحرير المجله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اینکه فقه شیعه را در مقابل قوانین حاکم بر قلمرو عثمانی بیان می کند که حدی بیانگر آراء و استنباطهای شخصی و مبانی فقهی ایشان هم می باشد، ۔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بیان داشته اند که وقتی از زوج غایب مفقودالاثر اطلاعی حاصل نشد و کسی هم حاضر نشد نفقه زوجه اش را بدهد، زن می تواند به حاکم شرع مراجعه کند و ایشان هم فحص لازم را درباره سرنوشت شوهرش انجام میدهد و بعد از سپری شدن مدت مقرر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امید شدن از او، همسرش را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به وسیله حاکم شرع را فقها فقط به همین مورد منحصر کرده اند و آن هم بدین کیفیت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دلیلهای عام و خاص فراوانی دلالت دارد بر اینکه حاکم شرع در موارد مختلفی ولایت بر طلاق دادن زن دیگران دارد که جامع آن موارد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زن بر زوجیت شوهر موجب مشقت شدید و متضرر شدن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شوهر غایبی که جا و مكان او معلوم است، ولی از پرداخت نفقه زوجه اش امتناع می کند؛ خواه که خودداری او از روی ظلم و تعدی باشد و یا عدم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حکم حتی درباره زوج حاضری که از ادای نفقه همسرش استنکاف می کند،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درباره مرد زندانی که به حبس ابد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بلکه کمتر از آن محکوم شده است، در صورتی که مالی ندارد که حاکم شرع بتواند از آن، مخارج لازم همسر او را بدهد و کس دیگری هم نباشد که از راه قرض به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تبرعا نفقه عيال او را فراهم کند و خود زن هم قدرت بر تحصیل معاشش از راه انجام کارهای مناسب با شؤون خود را نداشته باشد نیز این حکم جاری است و حاکم شرع می تواند آن زن را با طلاق، از عسر و حرج و ضرر خارج کند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خویی رحمة الله نظرشان تا حدودی با نظر مرحوم سید محمدکاظم یزدی و سخن</w:t>
      </w:r>
    </w:p>
    <w:p>
      <w:pPr>
        <w:pStyle w:val="BookText"/>
        <w:rPr/>
      </w:pPr>
      <w:r>
        <w:rPr>
          <w:rFonts w:ascii="IRNazanin" w:hAnsi="IRNazanin" w:eastAsia="IRNazanin"/>
          <w:color w:val="111111"/>
          <w:sz w:val="28"/>
          <w:sz w:val="28"/>
          <w:szCs w:val="28"/>
          <w:rtl w:val="true"/>
          <w:lang w:bidi="fa-IR"/>
        </w:rPr>
        <w:t>علامه کاشف الغطاء در تحرير المجله متفاوت است؛ زیرا ایشان در منهاج الصالحين نسبت به مرد غایبی که زنده و محل زندگی او معلوم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چنین مردی باید صبر کند و اگر اطلاعی از او در دست نباشد و ولی زوج از مال او یا از مال خودش نفقه زن را بدهد، باز هم باید صبر کند و اگر برای شخص غایب مالی نبود و ولی او هم از مال خودش نفقه زن او را نداد، در این فرض اگر زن صبر کرد، مشکلی نیست، و اگر حاضر نشد با این وضعیت بسازد، نظر مشهور فقها این است که زن می تواند به حاکم شرع مراجعه کند و او چهار سال به این زن مهلت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از او فرصت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این مدت، نسبت به شوهر او تحقیق و تفحص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که زنده است، باز زن باید صبر کند و اگر اطلاع حاصل شد که مرده است، عده وفات نگه می دارد، و اگر قضیه در پرده ابهام باقی ماند و مدت سپری شد، حاکم به ولی آن مرد دستور می دهد که آن زن را طلاق دهد و اگر او از امتثال این امر سرپیچی کرد، حاکم شرع او را مجبور می کند، و اگر برای آن زوج مفقودالاثر، ولی نبود یا بود، اما اجبار او بر طلاق همسر مولی علیهش ممکن نشد، حاکم شرع، خودش آن زن را طلاق می دهد و زن عده وفات نگه می دارد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مغایرت مبنا و رأی ایشان با دیدگاه آن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سخن مرحوم صاحب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آشکار می شود؛ زیرا می گوید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ایشان، مرحوم سید محمدکاظم یزدی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مفقودی که زنده بودن او معلوم است، در صورتی که زنش نتواند صبر کند، حاکم شرع می تواند او را طلاق دهد، و همچنین زندانی ابدی که آزادی او به هیچ وجه ممکن نیست، اگر زنش راضی به تحمل و صبر بر این حالت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می تواند زن او را طلاق دهد، ولی این فرمایش، بعید به نظر می آید و بعید تر از آن، این کلام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چهار سال صبر کردن و تحقیق و تفحص موجب شود که زن در آن مدت مرتکب گناه بشود، حاکم شرع می تواند بدون رعایت تشریفات و قبل از به سر آمدن چهار سال، مبادرت به طلاق زوجه آن فرد مفقودالاثر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سخن، این است </w:t>
      </w:r>
    </w:p>
    <w:p>
      <w:pPr>
        <w:pStyle w:val="BookText"/>
        <w:rPr/>
      </w:pPr>
      <w:r>
        <w:rPr>
          <w:rFonts w:ascii="IRNazanin" w:hAnsi="IRNazanin" w:eastAsia="IRNazanin"/>
          <w:color w:val="111111"/>
          <w:sz w:val="28"/>
          <w:sz w:val="28"/>
          <w:szCs w:val="28"/>
          <w:rtl w:val="true"/>
          <w:lang w:bidi="fa-IR"/>
        </w:rPr>
        <w:t>که هر وقت بر حال زنی خوف آن رفت که اگر مطلقه نشود، گرفتار معصیت گردد، بتوان او را بدون اجازه شوهرش طلاق داد، و إعدم صحت این مطلب، چنان است که می بینید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البته اگر مشکل همسر مرد مفقودالاثر، نرسیدن نفقه باشد، بعید نیست که از فحوای</w:t>
      </w:r>
    </w:p>
    <w:p>
      <w:pPr>
        <w:pStyle w:val="BookText"/>
        <w:rPr/>
      </w:pPr>
      <w:r>
        <w:rPr>
          <w:rFonts w:ascii="IRNazanin" w:hAnsi="IRNazanin" w:eastAsia="IRNazanin"/>
          <w:color w:val="111111"/>
          <w:sz w:val="28"/>
          <w:sz w:val="28"/>
          <w:szCs w:val="28"/>
          <w:rtl w:val="true"/>
          <w:lang w:bidi="fa-IR"/>
        </w:rPr>
        <w:t>پاسخ ایشان به استفتایی که درباره زوج غایب معلوم الاثر و المكان شده است که از</w:t>
      </w:r>
    </w:p>
    <w:p>
      <w:pPr>
        <w:pStyle w:val="BookText"/>
        <w:rPr/>
      </w:pPr>
      <w:r>
        <w:rPr>
          <w:rFonts w:ascii="IRNazanin" w:hAnsi="IRNazanin" w:eastAsia="IRNazanin"/>
          <w:color w:val="111111"/>
          <w:sz w:val="28"/>
          <w:sz w:val="28"/>
          <w:szCs w:val="28"/>
          <w:rtl w:val="true"/>
          <w:lang w:bidi="fa-IR"/>
        </w:rPr>
        <w:t>پرداخت نفقه به همسرش خودداری می کرده و طلاقش هم نمی داده، محل اختلاف نظر وی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حاکم شرع و وكيل مأذون از طرف او، حق طلاق دادن چنین زنی و حل مشکل آن را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دلیل اولویت می توان استفاده کرد که درباره زوج مفقودالاثر هم اگر مشکل زوجه اش از جهت نفقه و دریافت نکردن خوراک و پوشاک لازم باشد و کسی هم متكفل پرداخت آن نشود، زن می تواند با مراجعه به حاکم شرع یا وکیل مجاز به دخالت در امور حسبیه او، به دست وی مطلقه شود؛ مضاف بر این که درباره نفقه، نص خاص هم وجود دارد که قبلا ذکرش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اختلاف ایشان با مرحوم صاحب عروه، منحصر به این فرض می شود که صاحب عروه، صرف نظر از مشکل مالی و آمر نفقه، مسأله خوف از افتادن زن به حرام را نیز موجب باز شدن باب طلاق به دست حاکم می دانست، ولی مرحوم آیة الله خویی این را نپذیرفت و به فرمایش سید معترض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عین آن استفتا و پاسخ به آن را متذکر می شویم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شوهرش او را بدون مجوز شرعی ترک کرده و سالیانی چند است که غایب</w:t>
      </w:r>
    </w:p>
    <w:p>
      <w:pPr>
        <w:pStyle w:val="BookText"/>
        <w:rPr/>
      </w:pP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زنده و معلوم المكان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پرداخت نفقه همسرش</w:t>
      </w:r>
    </w:p>
    <w:p>
      <w:pPr>
        <w:pStyle w:val="BookText"/>
        <w:rPr/>
      </w:pPr>
      <w:r>
        <w:rPr>
          <w:rFonts w:ascii="IRNazanin" w:hAnsi="IRNazanin" w:eastAsia="IRNazanin"/>
          <w:color w:val="111111"/>
          <w:sz w:val="28"/>
          <w:sz w:val="28"/>
          <w:szCs w:val="28"/>
          <w:rtl w:val="true"/>
          <w:lang w:bidi="fa-IR"/>
        </w:rPr>
        <w:t>نمی باشد و با تقاضای او مبنی بر مطلقه ساختنش هم موافقت نمیکند و زن هم به</w:t>
      </w:r>
    </w:p>
    <w:p>
      <w:pPr>
        <w:pStyle w:val="BookText"/>
        <w:rPr/>
      </w:pPr>
      <w:r>
        <w:rPr>
          <w:rFonts w:ascii="IRNazanin" w:hAnsi="IRNazanin" w:eastAsia="IRNazanin"/>
          <w:color w:val="111111"/>
          <w:sz w:val="28"/>
          <w:sz w:val="28"/>
          <w:szCs w:val="28"/>
          <w:rtl w:val="true"/>
          <w:lang w:bidi="fa-IR"/>
        </w:rPr>
        <w:t>دلایلی مثل عدم دسترسی نمی تواند از حاکم شرع کمک بطلبد، چه بکند؟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 اگر می خواهد خودش را از این تنگنا رهایی ببخشد، حکمش این است که از آن </w:t>
      </w:r>
      <w:bookmarkStart w:id="166" w:name="pg6894_74534"/>
    </w:p>
    <w:p>
      <w:pPr>
        <w:pStyle w:val="BookText"/>
        <w:rPr/>
      </w:pPr>
      <w:bookmarkEnd w:id="166"/>
      <w:r>
        <w:rPr>
          <w:rFonts w:ascii="IRNazanin" w:hAnsi="IRNazanin" w:eastAsia="IRNazanin"/>
          <w:color w:val="111111"/>
          <w:sz w:val="28"/>
          <w:sz w:val="28"/>
          <w:szCs w:val="28"/>
          <w:rtl w:val="true"/>
          <w:lang w:bidi="fa-IR"/>
        </w:rPr>
        <w:t>مرد نفقه اش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خوبی جواب داد که چه بهتر، در غیر این صورت، زن از حاکم شرع می خواهد که او را به طلاقش وابدارد، و اگر آن مرد هر دو امر را رد کرد، حاکم شرع آن زن را طلاق می دهد، و اما اگر مراجعه به حاکم میسور نبود، زن باید بر آن حالی که دچار آن گردیده، پایداری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 دسترسی نداشتن به خود حاکم شرع، رجوع به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 در امور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رفع مشکلش کافی خواهد بود</w:t>
      </w:r>
      <w:r>
        <w:rPr>
          <w:rFonts w:eastAsia="IRNazanin" w:cs="IRNazanin"/>
          <w:color w:val="111111"/>
          <w:sz w:val="28"/>
          <w:szCs w:val="28"/>
          <w:rtl w:val="true"/>
          <w:lang w:bidi="fa-IR"/>
        </w:rPr>
        <w:t xml:space="preserve">. </w:t>
      </w:r>
      <w:r>
        <w:rPr>
          <w:rStyle w:val="FootnoteAnchor"/>
          <w:rtl w:val="true"/>
        </w:rPr>
        <w:footnoteReference w:id="113"/>
      </w:r>
    </w:p>
    <w:p>
      <w:pPr>
        <w:pStyle w:val="Heading5"/>
        <w:numPr>
          <w:ilvl w:val="4"/>
          <w:numId w:val="1"/>
        </w:numPr>
        <w:rPr/>
      </w:pPr>
      <w:bookmarkStart w:id="167" w:name="__RefHeading___Toc1440348_372815092"/>
      <w:bookmarkStart w:id="168" w:name="_Toc60"/>
      <w:bookmarkEnd w:id="167"/>
      <w:r>
        <w:rPr>
          <w:rtl w:val="true"/>
        </w:rPr>
        <w:t>نظر امام خمینی قدس سره و مشهور فقها درباره شوهران مفقود شده</w:t>
      </w:r>
      <w:bookmarkEnd w:id="168"/>
    </w:p>
    <w:p>
      <w:pPr>
        <w:pStyle w:val="BookText"/>
        <w:rPr/>
      </w:pPr>
      <w:r>
        <w:rPr>
          <w:rFonts w:ascii="IRNazanin" w:hAnsi="IRNazanin" w:eastAsia="IRNazanin"/>
          <w:color w:val="111111"/>
          <w:sz w:val="28"/>
          <w:sz w:val="28"/>
          <w:szCs w:val="28"/>
          <w:rtl w:val="true"/>
          <w:lang w:bidi="fa-IR"/>
        </w:rPr>
        <w:t>از آنجا که اطلاع از نظر مشهور فقها لازم است، در پایان این مبحث با ذکر دیدگاه امام خمینی قدس سره که موافق با قول مشهور فقهاست، به این مقصود نیز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درباره زوج غایب مفقودالاثری که اطلاعی از او در دست نیست، می 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مالی از زوج باقی مانده باشد، باید مخارج همسرش از همان مال تهیه گردد، و یا اگر ولی ای برای اداره امور آن مرد وجود دارد و عهده دار پرداخت نفقه زوجه او می گردد، یا شخص متبرعی پیدا شد و هزینه زندگی آن زن را تأمین کرد، بر او واجب است که صبر کند و منتظر بماند و به هیچ وجه مجاز به ازدواج نمی باشد تا این که يقين به مرگ شوهرش یا مطلقه شدن خود از ناحیه زوجش پیدا کند و اگر چنین نبود و صبر کرد، پس بر او باکی نیست و اگر صبر نکرد و خواست ازدواج کند، باید به حاکم شرع مراجعه کند و از زمان مراجعه، حاکم چهار سال منظور می کند و در آن مدت به جستجوی آن مرد مفقودالاثر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مهلت، اگر اطلاعی از او به دست نیامد، و فرد غایب دارای ولی بود، حاکم شرع به او دستور می دهد زن مولی علیه یا موکلش را طلاق دهد و اگر او اقدام نکرد، حاکم او را بر انجام طلاق مجبور می کند، و اگر برای آن مرد، ولی نبود یا بود اما اجبارش بر طلاق آن زن ممکن نشد، حاکم شرع او را طلاق میدهد</w:t>
      </w:r>
      <w:r>
        <w:rPr>
          <w:rFonts w:eastAsia="IRNazanin" w:cs="IRNazanin"/>
          <w:color w:val="111111"/>
          <w:sz w:val="28"/>
          <w:szCs w:val="28"/>
          <w:rtl w:val="true"/>
          <w:lang w:bidi="fa-IR"/>
        </w:rPr>
        <w:t xml:space="preserve">. </w:t>
      </w:r>
      <w:r>
        <w:rPr>
          <w:rStyle w:val="FootnoteAnchor"/>
          <w:rtl w:val="true"/>
        </w:rPr>
        <w:footnoteReference w:id="114"/>
      </w:r>
      <w:bookmarkStart w:id="169" w:name="pg6894_74535"/>
    </w:p>
    <w:p>
      <w:pPr>
        <w:pStyle w:val="BookText"/>
        <w:rPr/>
      </w:pPr>
      <w:bookmarkEnd w:id="169"/>
      <w:r>
        <w:rPr>
          <w:rFonts w:ascii="IRNazanin" w:hAnsi="IRNazanin" w:eastAsia="IRNazanin"/>
          <w:color w:val="111111"/>
          <w:sz w:val="28"/>
          <w:sz w:val="28"/>
          <w:szCs w:val="28"/>
          <w:rtl w:val="true"/>
          <w:lang w:bidi="fa-IR"/>
        </w:rPr>
        <w:t xml:space="preserve">در قانون مدنی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پیروی از قول مشهور</w:t>
      </w:r>
    </w:p>
    <w:p>
      <w:pPr>
        <w:pStyle w:val="BookText"/>
        <w:rPr/>
      </w:pPr>
      <w:r>
        <w:rPr>
          <w:rFonts w:ascii="IRNazanin" w:hAnsi="IRNazanin" w:eastAsia="IRNazanin"/>
          <w:color w:val="111111"/>
          <w:sz w:val="28"/>
          <w:sz w:val="28"/>
          <w:szCs w:val="28"/>
          <w:rtl w:val="true"/>
          <w:lang w:bidi="fa-IR"/>
        </w:rPr>
        <w:t>فقها اشاره ای کوتاه به این مسأله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شخصی چهار سال تمام غایب مفقودالاثر باشد، زن او می تواند تقاضای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رعایت ماده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حاكم او را طلاق میدهد</w:t>
      </w:r>
      <w:r>
        <w:rPr>
          <w:rFonts w:eastAsia="IRNazanin" w:cs="IRNazanin"/>
          <w:color w:val="111111"/>
          <w:sz w:val="28"/>
          <w:szCs w:val="28"/>
          <w:rtl w:val="true"/>
          <w:lang w:bidi="fa-IR"/>
        </w:rPr>
        <w:t>.</w:t>
      </w:r>
    </w:p>
    <w:p>
      <w:pPr>
        <w:pStyle w:val="Heading4"/>
        <w:numPr>
          <w:ilvl w:val="3"/>
          <w:numId w:val="1"/>
        </w:numPr>
        <w:rPr/>
      </w:pPr>
      <w:bookmarkStart w:id="170" w:name="__RefHeading___Toc1440350_372815092"/>
      <w:bookmarkStart w:id="171" w:name="_Toc61"/>
      <w:bookmarkEnd w:id="170"/>
      <w:r>
        <w:rPr>
          <w:rtl w:val="true"/>
        </w:rPr>
        <w:t>چکیده مطالب</w:t>
      </w:r>
      <w:bookmarkEnd w:id="171"/>
    </w:p>
    <w:p>
      <w:pPr>
        <w:pStyle w:val="BookText"/>
        <w:rPr/>
      </w:pPr>
      <w:r>
        <w:rPr>
          <w:rFonts w:ascii="IRNazanin" w:hAnsi="IRNazanin" w:eastAsia="IRNazanin"/>
          <w:color w:val="111111"/>
          <w:sz w:val="28"/>
          <w:sz w:val="28"/>
          <w:szCs w:val="28"/>
          <w:rtl w:val="true"/>
          <w:lang w:bidi="fa-IR"/>
        </w:rPr>
        <w:t xml:space="preserve">می توان مواردی را که حاکم شرع می تواند زنی را به رغم نظر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انجام امر حسبی و یا به وظیفه و حق ولایی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دهد، به صور ذیل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شوهر او با وجود تمکن مالی و غیر ناشزه بودن زن، نفقه او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اتفاق نظر است که حاکم شرع می تواند زوج را الزام به پرداخت نفقه همسرش بنماید و اگر فرمان قاضی مؤثر واقع نشد، آن زن به اذن حاكم، مطلقه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عاجز و ناتوان و فقیری که نمی تواند نفقه همسرش را فراهم کند، اگر</w:t>
      </w:r>
    </w:p>
    <w:p>
      <w:pPr>
        <w:pStyle w:val="BookText"/>
        <w:rPr/>
      </w:pPr>
      <w:r>
        <w:rPr>
          <w:rFonts w:ascii="IRNazanin" w:hAnsi="IRNazanin" w:eastAsia="IRNazanin"/>
          <w:color w:val="111111"/>
          <w:sz w:val="28"/>
          <w:sz w:val="28"/>
          <w:szCs w:val="28"/>
          <w:rtl w:val="true"/>
          <w:lang w:bidi="fa-IR"/>
        </w:rPr>
        <w:t>زوجه او تقاضای طلاق بکند، در نظر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زن باید صبر کند و حاکم شرع نمی تواند آن زن را مطلقه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 صورت هم اگر زن متقاضی طلاق باشد و</w:t>
      </w:r>
    </w:p>
    <w:p>
      <w:pPr>
        <w:pStyle w:val="BookText"/>
        <w:rPr/>
      </w:pPr>
      <w:r>
        <w:rPr>
          <w:rFonts w:ascii="IRNazanin" w:hAnsi="IRNazanin" w:eastAsia="IRNazanin"/>
          <w:color w:val="111111"/>
          <w:sz w:val="28"/>
          <w:sz w:val="28"/>
          <w:szCs w:val="28"/>
          <w:rtl w:val="true"/>
          <w:lang w:bidi="fa-IR"/>
        </w:rPr>
        <w:t>راه دیگری برای تحصیل نفقه آن زن پیدا نشود، حاکم شرع می تواند شوهر او را الزام به طلاق دادن زوجه اش کند و اگر مرد بر این امر قاضی گردن ننهاد، حاکم فقیه آن زن را مطلقه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زنی که شوهرش مفقود و یا زندانی شده است، اگر تنها مشکلی که موجب مشقت بار شدن زندگی اش گردیده است، محرومیت از نفقه باشد و کسی به اعم از ولی مفقود، متبرع یا مرجع دیگری هم کمکی به او نکند نیز در نظر فوق جاری است، ولی در این جا بعضی این نکته را هم اضافه کرده اند که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 که حق طلاق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آن زن را هم از بیت المال باید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مشکلات زن از جهات دیگری باشد؛ مثلا زن به خاطر دوری شوهر، در معرض تهمت،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bookmarkStart w:id="172" w:name="pg6894_74536"/>
    </w:p>
    <w:p>
      <w:pPr>
        <w:pStyle w:val="BookText"/>
        <w:rPr/>
      </w:pPr>
      <w:bookmarkEnd w:id="172"/>
      <w:r>
        <w:rPr>
          <w:rFonts w:ascii="IRNazanin" w:hAnsi="IRNazanin" w:eastAsia="IRNazanin"/>
          <w:color w:val="111111"/>
          <w:sz w:val="28"/>
          <w:sz w:val="28"/>
          <w:szCs w:val="28"/>
          <w:rtl w:val="true"/>
          <w:lang w:bidi="fa-IR"/>
        </w:rPr>
        <w:t xml:space="preserve">گرفته باشد، در این فرض نسبت به زنانی که شوهران آنها مفقودند، فقها متفقند که بعد از رعایت تشریفات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و تفحص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ولی زوج را الزام به طلاق زوجه مولی علیه او می کند و اگر ولی قهری نداشت، خود حاکم، آن زن را به ولایت از زوج، طلاق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آن دسته زنانی که از جهات مختلف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 دو مورد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شوهرانشان مشکل دارند و در عسر و حرج و مشقت افتاده اند؛ مثل این که شوهر مبتلا به امراض مسری یا مرتکب رفتار و اعمال ناشایست شده باشد که موجب هتک زن و یا افساد او شود، در این فرض نیز جمعی از فقها بر این باورند که اگر حرجی بودن موضوع و مشقت آور بودنش برای حاکم محرز باشد، حاکم می تواند زوج را الزام به طلاق و در فرض اجرا نشدن آن فرمان، خود قاضی، آن زن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نفس مصداق عسر و حرج و کمیت و کیفیت آن نیز دیدگاههای متفاوتی هست که زمینه را برای اختلاف نظر جزئی در این مسأله فراهم آورده است</w:t>
      </w:r>
      <w:r>
        <w:rPr>
          <w:rFonts w:eastAsia="IRNazanin" w:cs="IRNazanin"/>
          <w:color w:val="111111"/>
          <w:sz w:val="28"/>
          <w:szCs w:val="28"/>
          <w:rtl w:val="true"/>
          <w:lang w:bidi="fa-IR"/>
        </w:rPr>
        <w:t>.</w:t>
      </w:r>
    </w:p>
    <w:p>
      <w:pPr>
        <w:pStyle w:val="Heading4"/>
        <w:numPr>
          <w:ilvl w:val="3"/>
          <w:numId w:val="1"/>
        </w:numPr>
        <w:rPr/>
      </w:pPr>
      <w:bookmarkStart w:id="173" w:name="__RefHeading___Toc1440352_372815092"/>
      <w:bookmarkStart w:id="174" w:name="_Toc62"/>
      <w:bookmarkEnd w:id="173"/>
      <w:r>
        <w:rPr>
          <w:rtl w:val="true"/>
        </w:rPr>
        <w:t>نتیجه گیری</w:t>
      </w:r>
      <w:bookmarkEnd w:id="174"/>
    </w:p>
    <w:p>
      <w:pPr>
        <w:pStyle w:val="BookText"/>
        <w:rPr/>
      </w:pPr>
      <w:r>
        <w:rPr>
          <w:rFonts w:ascii="IRNazanin" w:hAnsi="IRNazanin" w:eastAsia="IRNazanin"/>
          <w:color w:val="111111"/>
          <w:sz w:val="28"/>
          <w:sz w:val="28"/>
          <w:szCs w:val="28"/>
          <w:rtl w:val="true"/>
          <w:lang w:bidi="fa-IR"/>
        </w:rPr>
        <w:t>پس از بررسی، دقت و مطالعه کتاب، سنت و نظریات فقهی جمعی از فقهای متأخر و معاصر، به این نتیجه می رسیم که اسلام، اختیار طلاق را به دست مرد نهاده است، اما از طرف دیگر، برای جلوگیری و رفع مشکلات مختلفی که پیش می آید، احکام و مقررات کلی دیگری وضع نموده است؛ مثلا ممکن است بعضی از مردها از این حق به صورت ظالمانه ای استفاده کنند و حتی در جایی که شرعا و عرفا مصلحت طلاق، به حال زوجین نافعتر است، ولی مرد به رغم اصرار زن بر جدایی از شوهر، او را طلاق نمی دهد و پافشاری مرد بر استمرار زندگی مشترک ممکن است گاهی به حدی بر زن مشقت آور شود که بعضی از افراد کم ظرفیت و ضعیف الایمان، به اقدامات مهلک نفس و نسل و حیثیت خانوادگی خود و شوهر دست زنند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پیشگیری از بروز چنین فجایعی، احکام و مقررات کلی دیگری نیز دارد که عنایت به آنها برای نجات از این قبیل مسائل،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لاضرر از </w:t>
      </w:r>
    </w:p>
    <w:p>
      <w:pPr>
        <w:pStyle w:val="BookText"/>
        <w:rPr/>
      </w:pPr>
      <w:r>
        <w:rPr>
          <w:rFonts w:ascii="IRNazanin" w:hAnsi="IRNazanin" w:eastAsia="IRNazanin"/>
          <w:color w:val="111111"/>
          <w:sz w:val="28"/>
          <w:sz w:val="28"/>
          <w:szCs w:val="28"/>
          <w:rtl w:val="true"/>
          <w:lang w:bidi="fa-IR"/>
        </w:rPr>
        <w:t>آن جمله است که فقهای اسلام آن را از مجموع آیات و روایات وارد در این باب انتزاع کرده اند که قاعده ای سودمند و دارای کاربرد وسیعی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جا که اسلام، دین رحمت است و خداوند عالم، پیامبرش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للعالمين</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خوانده است، نمی تواند نظاره گر این باشد که کسی دستوری از</w:t>
      </w:r>
    </w:p>
    <w:p>
      <w:pPr>
        <w:pStyle w:val="BookText"/>
        <w:rPr/>
      </w:pPr>
      <w:r>
        <w:rPr>
          <w:rFonts w:ascii="IRNazanin" w:hAnsi="IRNazanin" w:eastAsia="IRNazanin"/>
          <w:color w:val="111111"/>
          <w:sz w:val="28"/>
          <w:sz w:val="28"/>
          <w:szCs w:val="28"/>
          <w:rtl w:val="true"/>
          <w:lang w:bidi="fa-IR"/>
        </w:rPr>
        <w:t>مقررات آن را مستمسک خود قرار دهد و از آن سوء استفاده نماید، بلکه در اسلام،</w:t>
      </w:r>
    </w:p>
    <w:p>
      <w:pPr>
        <w:pStyle w:val="BookText"/>
        <w:rPr/>
      </w:pPr>
      <w:r>
        <w:rPr>
          <w:rFonts w:ascii="IRNazanin" w:hAnsi="IRNazanin" w:eastAsia="IRNazanin"/>
          <w:color w:val="111111"/>
          <w:sz w:val="28"/>
          <w:sz w:val="28"/>
          <w:szCs w:val="28"/>
          <w:rtl w:val="true"/>
          <w:lang w:bidi="fa-IR"/>
        </w:rPr>
        <w:t>مقررات دیگری نیز وضع شده است تا در صورت پیدا شدن مشکلی و در تنگنا قرار</w:t>
      </w:r>
    </w:p>
    <w:p>
      <w:pPr>
        <w:pStyle w:val="BookText"/>
        <w:rPr/>
      </w:pPr>
      <w:r>
        <w:rPr>
          <w:rFonts w:ascii="IRNazanin" w:hAnsi="IRNazanin" w:eastAsia="IRNazanin"/>
          <w:color w:val="111111"/>
          <w:sz w:val="28"/>
          <w:sz w:val="28"/>
          <w:szCs w:val="28"/>
          <w:rtl w:val="true"/>
          <w:lang w:bidi="fa-IR"/>
        </w:rPr>
        <w:t>گرفتن جمعی، عسرت و دشواری آنها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از این قانون به قاعده نفی عسر و حرج تعبیر نموده اند؛ اما با توجه به این که تشخیص مصادیق ضرر و عسر و حرج، اگر مشکلتر از صدور و تعیین حکم شرعی نباشد، آسانتر نخواهد بود، شارع مقدس چنین مقرر کرده است که برای تشخیص حکمی و موضوعی این گونه موارد به خصوص در مسأله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به امام معصوم یا نایب خاص و یا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مراجعه گردد؛ زیرا گاهی عدم شناخت صحیح از نفس موضوعات، موجب توقف در اعلام نظر و یا تمسک به احتیاط می شود، و یا بر عکس، باعث صدور فتاوا و نظریات سطحي و سهل المؤنه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می شود، اما بعد از شناخت صحیح از موضوع در کنار علم، عدالت، تقوا، کیاست و مردم شناسی که معمولا انتظار می رود در مجتهد متصدی امر قضا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اطمینان به صحت عمل و اقدامات قضایی او بسیار بالا می رود؛ لذا فقهایی که دیدگاههایشان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اختلافی در تعابیر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که حاکم می تواند از راه قاعده لاضرر و نفی عسر و حرج و یا از باب اعمال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مستأصل متقاضی طلاق، رفع مشکل و جلوگیری از ضرر کند، اتفاق نظر دارند؛ بدین وسیله که شوهر آن زن را مجبور به طلاق دادن زوجه اش نماید و اگر</w:t>
      </w:r>
    </w:p>
    <w:p>
      <w:pPr>
        <w:pStyle w:val="BookText"/>
        <w:rPr/>
      </w:pPr>
      <w:r>
        <w:rPr>
          <w:rFonts w:ascii="IRNazanin" w:hAnsi="IRNazanin" w:eastAsia="IRNazanin"/>
          <w:color w:val="111111"/>
          <w:sz w:val="28"/>
          <w:sz w:val="28"/>
          <w:szCs w:val="28"/>
          <w:rtl w:val="true"/>
          <w:lang w:bidi="fa-IR"/>
        </w:rPr>
        <w:t>نپذیرفت، خود، او را طلاق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فقهای معاصر، نظر خود را همراه با ذکر مبانی آن بیان کرده اند و دسته ای دیگر هم به روشنی فتوا داده اند که خود آن هم بیانگر دست یابی مجتهد به مدرکی معتبر و اتمام حجت بر او می باشد</w:t>
      </w:r>
      <w:r>
        <w:rPr>
          <w:rFonts w:eastAsia="IRNazanin" w:cs="IRNazanin"/>
          <w:color w:val="111111"/>
          <w:sz w:val="28"/>
          <w:szCs w:val="28"/>
          <w:rtl w:val="true"/>
          <w:lang w:bidi="fa-IR"/>
        </w:rPr>
        <w:t xml:space="preserve">. </w:t>
      </w:r>
      <w:bookmarkStart w:id="175" w:name="pg6894_74538"/>
    </w:p>
    <w:p>
      <w:pPr>
        <w:pStyle w:val="Heading4"/>
        <w:numPr>
          <w:ilvl w:val="3"/>
          <w:numId w:val="1"/>
        </w:numPr>
        <w:rPr/>
      </w:pPr>
      <w:bookmarkStart w:id="176" w:name="__RefHeading___Toc1440354_372815092"/>
      <w:bookmarkStart w:id="177" w:name="_Toc63"/>
      <w:bookmarkEnd w:id="175"/>
      <w:bookmarkEnd w:id="176"/>
      <w:r>
        <w:rPr>
          <w:rtl w:val="true"/>
        </w:rPr>
        <w:t>کتاب نامه</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دار صادر و دار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اراکی،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نشر معروف،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لجنة تحقيق تراث الشيخ الاعظم، چاپ اول،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الفقهية، السيد عزالدین بحرالعلوم، چاپ چهارم، المنار،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چهارم، مكتبة الاعتماد، تهران،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فی شرح العروة الوثقی، میرزاعلى الغروى التبریزی،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مؤسسه آل البيت، ایران، قم، بی تا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الشرعیه،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 مؤسسة الامام الخویی و مؤسسة المنار، بیروت،</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پنجم، مطبعة العلميه و چاپ بیست و هشتم، مدينة العلم،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 الأوطار،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دار احیاء التراث العربي و مؤسسة التاريخ العربي، لبنان،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الموسوی الخراسانی، دار صعب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عروة الوثقی، چاپخانه حیدری،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ابوالقاسم گرجی، چاپ دوم، دانشگاه تهران و مرکز مدیریت حوزه علمیه قم، تهران،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چهارم، انتشارات ناصر خسرو،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الموسوی الخراسانی،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میرزا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چاپ تهران،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الغطاء،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المجله،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مكتبة النجاح، طهران، و مكتبة الفيروزآبادی،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چاپ سوم، دار صعب و دارالتعارف،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گلپایگانی،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دار القرآن الكريم، ایران،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ج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چاپ سوم،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چاپ دوازدهم، دار الكتب الاسلامیه،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مهرپور،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جدید در مسائل حقوقی، چاپ اول، مؤسسه اطلاعات،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جواهرالکلام،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چاپ ششم، دار الكتب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میرزاحسین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چاپ دوم، مؤسسة آل البيت لاحياء التراث،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78" w:name="pg6894_74539"/>
    </w:p>
    <w:p>
      <w:pPr>
        <w:pStyle w:val="Heading2"/>
        <w:numPr>
          <w:ilvl w:val="1"/>
          <w:numId w:val="1"/>
        </w:numPr>
        <w:rPr/>
      </w:pPr>
      <w:bookmarkStart w:id="179" w:name="__RefHeading___Toc1440356_372815092"/>
      <w:bookmarkStart w:id="180" w:name="_Toc64"/>
      <w:bookmarkEnd w:id="178"/>
      <w:bookmarkEnd w:id="179"/>
      <w:r>
        <w:rPr>
          <w:rtl w:val="true"/>
        </w:rPr>
        <w:t>بخش دوم</w:t>
      </w:r>
      <w:r>
        <w:rPr>
          <w:rtl w:val="true"/>
        </w:rPr>
        <w:t xml:space="preserve">: </w:t>
      </w:r>
      <w:r>
        <w:rPr>
          <w:rtl w:val="true"/>
        </w:rPr>
        <w:t>حقوق جزا</w:t>
      </w:r>
      <w:bookmarkEnd w:id="180"/>
    </w:p>
    <w:p>
      <w:pPr>
        <w:pStyle w:val="Heading3"/>
        <w:numPr>
          <w:ilvl w:val="2"/>
          <w:numId w:val="1"/>
        </w:numPr>
        <w:rPr/>
      </w:pPr>
      <w:bookmarkStart w:id="181" w:name="__RefHeading___Toc1440358_372815092"/>
      <w:bookmarkStart w:id="182" w:name="_Toc65"/>
      <w:bookmarkEnd w:id="181"/>
      <w:r>
        <w:rPr>
          <w:rtl w:val="true"/>
        </w:rPr>
        <w:t>اشاره</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محاربه و افساد فی الارض در فقه و قوانین کیفری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احمد سجادی نژاد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6894_74541"/>
      <w:bookmarkStart w:id="184" w:name="pg6894_74541"/>
      <w:bookmarkEnd w:id="184"/>
    </w:p>
    <w:p>
      <w:pPr>
        <w:pStyle w:val="Heading3"/>
        <w:numPr>
          <w:ilvl w:val="2"/>
          <w:numId w:val="1"/>
        </w:numPr>
        <w:rPr/>
      </w:pPr>
      <w:bookmarkStart w:id="185" w:name="pg6894_74541"/>
      <w:bookmarkStart w:id="186" w:name="__RefHeading___Toc1440360_372815092"/>
      <w:bookmarkStart w:id="187" w:name="_Toc66"/>
      <w:bookmarkEnd w:id="185"/>
      <w:bookmarkEnd w:id="186"/>
      <w:r>
        <w:rPr>
          <w:rtl w:val="true"/>
        </w:rPr>
        <w:t>محاربه و افساد فی الارض در فقه و قوانین کیفری</w:t>
      </w:r>
      <w:bookmarkEnd w:id="187"/>
    </w:p>
    <w:p>
      <w:pPr>
        <w:pStyle w:val="Heading4"/>
        <w:numPr>
          <w:ilvl w:val="3"/>
          <w:numId w:val="1"/>
        </w:numPr>
        <w:rPr/>
      </w:pPr>
      <w:bookmarkStart w:id="188" w:name="__RefHeading___Toc1440362_372815092"/>
      <w:bookmarkStart w:id="189" w:name="_Toc67"/>
      <w:bookmarkEnd w:id="188"/>
      <w:r>
        <w:rPr>
          <w:rtl w:val="true"/>
        </w:rPr>
        <w:t>محاربه در فقه</w:t>
      </w:r>
      <w:bookmarkEnd w:id="189"/>
    </w:p>
    <w:p>
      <w:pPr>
        <w:pStyle w:val="Heading5"/>
        <w:numPr>
          <w:ilvl w:val="4"/>
          <w:numId w:val="1"/>
        </w:numPr>
        <w:rPr/>
      </w:pPr>
      <w:bookmarkStart w:id="190" w:name="__RefHeading___Toc1440364_372815092"/>
      <w:bookmarkStart w:id="191" w:name="_Toc68"/>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 xml:space="preserve">أَنَّما جَزاءُ الَّذِينَ يُحارِبُونَ اللَّهَ وَ رَسُولَهُ وَ يَسْعَوْنَ فِي الارض فَساداً أَنْ يُقَتَّلُوا أَوْ يُصَلَّبُوا أَوْ تُقَطَّعَ ایدیهم وَ أَرْجُلُهُمْ مِنْ خِلافٍ أَوْ يُنْفَوْا مِنَ الْأَرْضِ ذلِكَ لَهُمْ خِزْيُ فِي الدُّنْيا وَ لَهُمْ فِي الْآخِرَةِ عَذابُ عَظِيمُ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440366_372815092"/>
      <w:bookmarkStart w:id="193" w:name="_Toc69"/>
      <w:bookmarkEnd w:id="192"/>
      <w:r>
        <w:rPr>
          <w:rtl w:val="true"/>
        </w:rPr>
        <w:t>لغت محاربه</w:t>
      </w:r>
      <w:bookmarkEnd w:id="1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محاربه از باب مفاعله به معنای مقاتله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بلاد كفار و مشرکان گویند که بین آنها و مسلمانان، صلح برقرار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 کوش در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حرب لمن حاربنی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کسی که با من در جنگ و دشمن است، دشمنم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از دست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مجلس و یا خانه است و به معنای قبله و مكان امام جماعت نیز آمده است</w:t>
      </w:r>
      <w:r>
        <w:rPr>
          <w:rFonts w:eastAsia="IRNazanin" w:cs="IRNazanin"/>
          <w:color w:val="111111"/>
          <w:sz w:val="28"/>
          <w:szCs w:val="28"/>
          <w:rtl w:val="true"/>
          <w:lang w:bidi="fa-IR"/>
        </w:rPr>
        <w:t xml:space="preserve">. </w:t>
      </w:r>
      <w:r>
        <w:rPr>
          <w:rStyle w:val="FootnoteAnchor"/>
          <w:rtl w:val="true"/>
        </w:rPr>
        <w:footnoteReference w:id="117"/>
      </w:r>
      <w:bookmarkStart w:id="194" w:name="pg6894_74542"/>
    </w:p>
    <w:p>
      <w:pPr>
        <w:pStyle w:val="Heading5"/>
        <w:numPr>
          <w:ilvl w:val="4"/>
          <w:numId w:val="1"/>
        </w:numPr>
        <w:rPr/>
      </w:pPr>
      <w:bookmarkStart w:id="195" w:name="__RefHeading___Toc1440368_372815092"/>
      <w:bookmarkStart w:id="196" w:name="_Toc70"/>
      <w:bookmarkEnd w:id="194"/>
      <w:bookmarkEnd w:id="195"/>
      <w:r>
        <w:rPr>
          <w:rtl w:val="true"/>
        </w:rPr>
        <w:t>شأن نزول و مفهوم آیه محاربه</w:t>
      </w:r>
      <w:bookmarkEnd w:id="196"/>
    </w:p>
    <w:p>
      <w:pPr>
        <w:pStyle w:val="BookText"/>
        <w:rPr/>
      </w:pPr>
      <w:r>
        <w:rPr>
          <w:rFonts w:ascii="IRNazanin" w:hAnsi="IRNazanin" w:eastAsia="IRNazanin"/>
          <w:color w:val="111111"/>
          <w:sz w:val="28"/>
          <w:sz w:val="28"/>
          <w:szCs w:val="28"/>
          <w:rtl w:val="true"/>
          <w:lang w:bidi="fa-IR"/>
        </w:rPr>
        <w:t>مفسران درباره شأن نزول آیه شریفه محاربه اختلاف شدید دارند و بسیاری به این</w:t>
      </w:r>
    </w:p>
    <w:p>
      <w:pPr>
        <w:pStyle w:val="BookText"/>
        <w:rPr/>
      </w:pPr>
      <w:r>
        <w:rPr>
          <w:rFonts w:ascii="IRNazanin" w:hAnsi="IRNazanin" w:eastAsia="IRNazanin"/>
          <w:color w:val="111111"/>
          <w:sz w:val="28"/>
          <w:sz w:val="28"/>
          <w:szCs w:val="28"/>
          <w:rtl w:val="true"/>
          <w:lang w:bidi="fa-IR"/>
        </w:rPr>
        <w:t>اختلاف اشاره نموده اند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مرحوم شیخ طوسی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اختلاف است که درباره اهل کتاب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ذمه را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عرینیه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قطاع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فقهای اهل سنت به آن قائلند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ماوردی در الحاوی، کفار محارب و اخبار به حکم خدا را هم اضافه نموده است و</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در بین فقها این است که آیه درباره قطاع الطريق است؛ زیرا حکم اهل کتاب، مرتدین و قواعد جنگ با کار در غیر این آیه آمده است، پس باید آیه بیان کننده حكم جدیدی باشد و مراد از محاربه با خدا و رسول، محاربه با اولیای خدا و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محاربه با رسول کفر است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مراد از فساد در زمین شامل هر معصیتی نیست؛ زیرا خداوند احکام آنها را در جاهای خاص خود بیان کرده است، بلکه مراد، قطع طريق و ترساندن راهروان است و فقها نیز بر همین قولند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مرحوم شیخ بعد از اشاره به اختلاف،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w:t>
      </w:r>
    </w:p>
    <w:p>
      <w:pPr>
        <w:pStyle w:val="BookText"/>
        <w:rPr/>
      </w:pPr>
      <w:r>
        <w:rPr>
          <w:rFonts w:ascii="IRNazanin" w:hAnsi="IRNazanin" w:eastAsia="IRNazanin"/>
          <w:color w:val="111111"/>
          <w:sz w:val="28"/>
          <w:sz w:val="28"/>
          <w:szCs w:val="28"/>
          <w:rtl w:val="true"/>
          <w:lang w:bidi="fa-IR"/>
        </w:rPr>
        <w:t>مراد از آیه، قطاع الطريق است، اما عموم اخبار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اسلحه بکشد و مردم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فقها گفته اند، اعتباری ندارد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يحاربون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محاربه با اولیای خدا و رسول است و فساد، همان اشهار سیف و ترساندن مردم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الميزان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بعد از محال بودن معنای حقیقی، </w:t>
      </w:r>
    </w:p>
    <w:p>
      <w:pPr>
        <w:pStyle w:val="BookText"/>
        <w:rPr/>
      </w:pPr>
      <w:r>
        <w:rPr>
          <w:rFonts w:ascii="IRNazanin" w:hAnsi="IRNazanin" w:eastAsia="IRNazanin"/>
          <w:color w:val="111111"/>
          <w:sz w:val="28"/>
          <w:sz w:val="28"/>
          <w:szCs w:val="28"/>
          <w:rtl w:val="true"/>
          <w:lang w:bidi="fa-IR"/>
        </w:rPr>
        <w:t>محاربه با خدا شامل هر نوع مخالفت با حکم خدا و شرع می شود، اما ضمیمه شدن</w:t>
      </w:r>
    </w:p>
    <w:p>
      <w:pPr>
        <w:pStyle w:val="BookText"/>
        <w:rPr/>
      </w:pPr>
      <w:r>
        <w:rPr>
          <w:rFonts w:ascii="IRNazanin" w:hAnsi="IRNazanin" w:eastAsia="IRNazanin"/>
          <w:color w:val="111111"/>
          <w:sz w:val="28"/>
          <w:sz w:val="28"/>
          <w:szCs w:val="28"/>
          <w:rtl w:val="true"/>
          <w:lang w:bidi="fa-IR"/>
        </w:rPr>
        <w:t>محاربه با خدا به محاربه با رسول، نشانگر این است که مراد از آیه شریفه محاربه، اخلال در امنیت عمومی جامعه اسلامی است که بانی و متولی آن جامعه، رسول خدا صلی الله علیه واله بوده است و سپس به امام و حاکم اسلامی محول شده است و مراد از افساد در زمین، قطع طريق است، نه هر نوع معصیت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مرحوم کلینی در کافی به نقل از امام صادق علیه السلام در شأن نزول آیه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قوم بنی ضبه که مریض بودند، خدمت پیامبر صلی الله علیه واله آمدند و حضرت فرمود در مدینه بمانند تا برائت حاصل کنند و آنها را به جنگ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را به خارج مدينه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نزد شتران زکات فرستاد تا از شیر و بول آنها استفاده کنند و سلامت خود را باز یابند، اما وقتی خوب شدند و قدرت گرفتند، سه نفر از افرادی را که با شتران بودند،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صلی الله علیه واله رسید و علی علیه السلام را در پی آنها فرستاد که در مرز یمن متحیر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اسیر کرد و نزد پیامبران آورد و آنگاه آیه نازل شد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روشن است که شأن نزول آیه، هر کس یا هر چه باشد، مخصص ظاهر آیه واقع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نشده و به اطلات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استدلال به ذیل آیه محاربه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في الآخرة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اجرای حد بر مسلمان، کفاره گناه است و از طرف دیگر، آیه محاربه می گوید برای آنها در آخرت عذاب بزرگی است، پس آیه باید راجع به مشرکان باشد که در دنیا و آخرت عذاب می شوند، نه مسلمانان که با اجرای حد، عذاب آخرت از آنها برداشته خواهد شد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صحیح نیست؛ زیرا اجرای حد بر مسلمان نیز بدون توبه نمی تواند کفاره گناه باشد و روایت حمران از امام صادق یا باقر علیهما السلام مبنی بر این که خداوند، کریم است و کسی را که بر او حد جاری شده است، در آخرت عقاب نمی کند </w:t>
      </w:r>
      <w:r>
        <w:rPr>
          <w:rStyle w:val="FootnoteAnchor"/>
          <w:rtl w:val="true"/>
        </w:rPr>
        <w:footnoteReference w:id="126"/>
      </w:r>
      <w:r>
        <w:rPr>
          <w:rFonts w:ascii="IRNazanin" w:hAnsi="IRNazanin" w:eastAsia="IRNazanin"/>
          <w:color w:val="111111"/>
          <w:sz w:val="28"/>
          <w:sz w:val="28"/>
          <w:szCs w:val="28"/>
          <w:rtl w:val="true"/>
          <w:lang w:bidi="fa-IR"/>
        </w:rPr>
        <w:t xml:space="preserve">، حمل بر توبه می شود و نیز استدلال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آیه </w:t>
      </w:r>
      <w:bookmarkStart w:id="197" w:name="pg6894_74544"/>
    </w:p>
    <w:p>
      <w:pPr>
        <w:pStyle w:val="BookText"/>
        <w:rPr/>
      </w:pPr>
      <w:bookmarkEnd w:id="197"/>
      <w:r>
        <w:rPr>
          <w:rFonts w:ascii="IRNazanin" w:hAnsi="IRNazanin" w:eastAsia="IRNazanin"/>
          <w:color w:val="111111"/>
          <w:sz w:val="28"/>
          <w:sz w:val="28"/>
          <w:szCs w:val="28"/>
          <w:rtl w:val="true"/>
          <w:lang w:bidi="fa-IR"/>
        </w:rPr>
        <w:t xml:space="preserve">محاربه مختص به محارب مسلمان است و شامل مشرک نمی شود، </w:t>
      </w:r>
      <w:r>
        <w:rPr>
          <w:rStyle w:val="FootnoteAnchor"/>
          <w:rtl w:val="true"/>
        </w:rPr>
        <w:footnoteReference w:id="127"/>
      </w:r>
      <w:r>
        <w:rPr>
          <w:rFonts w:ascii="IRNazanin" w:hAnsi="IRNazanin" w:eastAsia="IRNazanin"/>
          <w:color w:val="111111"/>
          <w:sz w:val="28"/>
          <w:sz w:val="28"/>
          <w:szCs w:val="28"/>
          <w:rtl w:val="true"/>
          <w:lang w:bidi="fa-IR"/>
        </w:rPr>
        <w:t xml:space="preserve">درست نیست؛ زیرا توبه از مختصات مسلمان گناهکار نیست، بلکه مشرک یا کافر هم که امنیت مردم را بر هم زده است، می تواند قبل از گرفتار شدن، از کفر و افساد و محاربه توبه نماید و دلیل بر این مدعی،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الْمُشْرِكِينَ حَيْثُ وَجَدْتُمُوهُمْ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 تابُوا وَ أَقامُوا الصَّلاةَ وَ آتَوُا الزَّكاةَ فَخَلُّوا سَبِيلَهُمْ انَّ اللَّهَ غَفُورُ رَحِيمُ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مطالب فوق این است که آیه شریفه، مطلق است و شامل هر کسی که اسلحه</w:t>
      </w:r>
    </w:p>
    <w:p>
      <w:pPr>
        <w:pStyle w:val="BookText"/>
        <w:rPr/>
      </w:pPr>
      <w:r>
        <w:rPr>
          <w:rFonts w:ascii="IRNazanin" w:hAnsi="IRNazanin" w:eastAsia="IRNazanin"/>
          <w:color w:val="111111"/>
          <w:sz w:val="28"/>
          <w:sz w:val="28"/>
          <w:szCs w:val="28"/>
          <w:rtl w:val="true"/>
          <w:lang w:bidi="fa-IR"/>
        </w:rPr>
        <w:t>بکشد و به این وسیله موجب فساد در زمین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جرد السلاح لاخافة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فقهای شیعه، اکثر اهل سنت </w:t>
      </w:r>
      <w:r>
        <w:rPr>
          <w:rStyle w:val="FootnoteAnchor"/>
          <w:rtl w:val="true"/>
        </w:rPr>
        <w:footnoteReference w:id="129"/>
      </w:r>
      <w:r>
        <w:rPr>
          <w:rFonts w:ascii="IRNazanin" w:hAnsi="IRNazanin" w:eastAsia="IRNazanin"/>
          <w:color w:val="111111"/>
          <w:sz w:val="28"/>
          <w:sz w:val="28"/>
          <w:szCs w:val="28"/>
          <w:rtl w:val="true"/>
          <w:lang w:bidi="fa-IR"/>
        </w:rPr>
        <w:t>و مفسران فریقین نیز با اندک تفاوتی، محارب را کسی می دانند که برای ترساندن دیگری اسلحه کشیده باشد</w:t>
      </w:r>
      <w:r>
        <w:rPr>
          <w:rFonts w:eastAsia="IRNazanin" w:cs="IRNazanin"/>
          <w:color w:val="111111"/>
          <w:sz w:val="28"/>
          <w:szCs w:val="28"/>
          <w:rtl w:val="true"/>
          <w:lang w:bidi="fa-IR"/>
        </w:rPr>
        <w:t>.</w:t>
      </w:r>
    </w:p>
    <w:p>
      <w:pPr>
        <w:pStyle w:val="Heading5"/>
        <w:numPr>
          <w:ilvl w:val="4"/>
          <w:numId w:val="1"/>
        </w:numPr>
        <w:rPr/>
      </w:pPr>
      <w:bookmarkStart w:id="198" w:name="__RefHeading___Toc1440370_372815092"/>
      <w:bookmarkStart w:id="199" w:name="_Toc71"/>
      <w:bookmarkEnd w:id="198"/>
      <w:r>
        <w:rPr>
          <w:rtl w:val="true"/>
        </w:rPr>
        <w:t>تعریف محاربه از دیدگاه فقهای شیعه</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اصحاب ما روایت کرده اند، این است که هر کس سلاح کشیده، مردم را بترساند، اعم از این که در خشکی یا دریا، در آبادی و یا صحرا باشد، محارب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در نهایه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محارب کسی است که سلاح میکشد و مورد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شهر باشد یا غیر شهر، در بلاد شرک باشد یا بلاد اسلام، شب باشد یا روز</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اسلحه بکشد برای ترساندن مردم، در خشکی باشد یا دریا، در آبادی باشد یا </w:t>
      </w:r>
    </w:p>
    <w:p>
      <w:pPr>
        <w:pStyle w:val="BookText"/>
        <w:rPr/>
      </w:pPr>
      <w:r>
        <w:rPr>
          <w:rFonts w:ascii="IRNazanin" w:hAnsi="IRNazanin" w:eastAsia="IRNazanin"/>
          <w:color w:val="111111"/>
          <w:sz w:val="28"/>
          <w:sz w:val="28"/>
          <w:szCs w:val="28"/>
          <w:rtl w:val="true"/>
          <w:lang w:bidi="fa-IR"/>
        </w:rPr>
        <w:t>صحرا، نزد ما محارب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در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برای ترساندن راهروان اسلحه بکشد؛ در خشکی باشد یا دریا و در شب باشد یا روز، محارب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در نكت النهایه و شرایع الاسلام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اسلحه بکشد؛ زن باشد یا مرد و در هر وقت یا مکان که باشد، محارب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ترساندن مردم اسلحه بکشد، در خشکی باشد و یا دریا، در شب یا روز، در شهر یا غیرشهر، محارب است و مردبودن شرط نیست، بلکه شوکت و غلبه شرط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 کسی است که برای ترساندن اسلحه بکشد، در شهر باشد یا غیر شهر، روز باشد یا شب؛ ولو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 که مورد تهمت باشد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محاربه کشیدن اسلحه است در خشکی یا دریا، برای ترساندن مردم در شهر باشد و یا غیر شهر، مرد باشد یا زن، قوی باشد یا ضعیف، از اهل شک باشد یا نباشد، قصد ترساندن مردم را داشته باشد یا نداشته باشد، بنا بر اصح اقوال به دلیل عموم آیه که شامل تمام موارد فوق می شود</w:t>
      </w:r>
      <w:r>
        <w:rPr>
          <w:rFonts w:eastAsia="IRNazanin" w:cs="IRNazanin"/>
          <w:color w:val="111111"/>
          <w:sz w:val="28"/>
          <w:szCs w:val="28"/>
          <w:rtl w:val="true"/>
          <w:lang w:bidi="fa-IR"/>
        </w:rPr>
        <w:t xml:space="preserve">. </w:t>
      </w:r>
      <w:r>
        <w:rPr>
          <w:rStyle w:val="FootnoteAnchor"/>
          <w:rtl w:val="true"/>
        </w:rPr>
        <w:footnoteReference w:id="137"/>
      </w:r>
      <w:bookmarkStart w:id="200" w:name="pg6894_74546"/>
    </w:p>
    <w:p>
      <w:pPr>
        <w:pStyle w:val="BookText"/>
        <w:rPr/>
      </w:pPr>
      <w:bookmarkEnd w:id="200"/>
      <w:r>
        <w:rPr>
          <w:rFonts w:ascii="IRNazanin" w:hAnsi="IRNazanin" w:eastAsia="IRNazanin"/>
          <w:color w:val="111111"/>
          <w:sz w:val="28"/>
          <w:sz w:val="28"/>
          <w:szCs w:val="28"/>
          <w:rtl w:val="true"/>
          <w:lang w:bidi="fa-IR"/>
        </w:rPr>
        <w:t>و در مسالک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 هر کسی است که اسلحه بکشد و مراد از اسلحه، شامل عصا و سنگ نیز می شود و فرقی بین یک یا چند نفر نیست و نیز فرقی نمیکند مردم ترسیده باشند یا خیر و فرقی نمی کند که محارب، مالی هم برده باشد یا خیر، بلکه همین که به قصد این عمل خارج شده باشد،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خشکی باشد و یا دریا، در شهر باشد یا غیر شهر، حتى اگر اسلحه کشیده و از داخل خانه چیزی گرفته باشد، در شب و یا روز، محارب است و ممکن است در عین حال، سارق هم باشد و فرقی بین زن و مرد نیست، به دلیل عموم آیه و در محارب زن فقط ابن جنید مخالف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ما محارب کسی است که برای ترساندن مردم مسلمان اسلحه نمایان کند و یا غیر اسلحه؛ مثل سنگ و امثال آن؛ در خشکی یا دریا، در شب یا روز، در شهر یا غیر شهر، در بلاد اسلام و یا غیره، به دلیل اطلاق نصوص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بودن شرط نیست، بلکه برای تحقق محاربه، شوکت و افساد شرط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برای ترساندن اسلحه بکشد یا حمل کند، محارب است؛ ولو یک نفر علیه نفر دیگر، بر وجهی که اراده فساد بر آن عمل صادق باشد؛ در خشکی یا دریا، در شب یا روز، در شهر یا غیر شهر</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201" w:name="__RefHeading___Toc1440372_372815092"/>
      <w:bookmarkStart w:id="202" w:name="_Toc72"/>
      <w:bookmarkEnd w:id="201"/>
      <w:r>
        <w:rPr>
          <w:rtl w:val="true"/>
        </w:rPr>
        <w:t>روایات محاربه</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صحيحه محمد بن مسلم از امام باقر عليه السلام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شهر السلاح في مصر من الأمصار فعقر اقتص منه و نفی من تلك البلد و من شهر </w:t>
      </w:r>
    </w:p>
    <w:p>
      <w:pPr>
        <w:pStyle w:val="BookText"/>
        <w:rPr/>
      </w:pPr>
      <w:r>
        <w:rPr>
          <w:rFonts w:ascii="Amiri" w:hAnsi="Amiri" w:eastAsia="Amiri" w:cs="Amiri"/>
          <w:color w:val="111111"/>
          <w:sz w:val="28"/>
          <w:sz w:val="28"/>
          <w:szCs w:val="28"/>
          <w:rtl w:val="true"/>
          <w:lang w:bidi="ar-SA"/>
        </w:rPr>
        <w:t xml:space="preserve">السلاح في مصر من الأمصار و ضرب و عقر و اخذ المال و لم يقتل فهو محارب فجزائه جزاء المحارب و امره الى الامام عليه السلام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محمد بن مسلم از امام باقر علیه السلام نقل نموده است که آن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شهری اسلحه بکشد و دیگری را مجروح کند، قصاص و نفی بلد می شود و اگر مجروح کند و مالی بگیرد و کسی را نکشته باشد، محارب است و مجازات محارب را خواهد داشت و انتخاب آن با امام علیه السلام است که او را بکشد یا یک دست و یک پای او را قطع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ضریس از امام 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حمل السلاح بالليل فهو محارب الا أن يكون رجلا ليس من اهل الريبة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هرکس در شب اسلحه حمل کند، محارب است، مگر این که مورد تهمت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بن كليب از امام صادق علیه السلام سؤال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يخرج من منزله يريد المسجد او يريد الحاجة فيلقاه رجل و يستعقبه فيضربه و</w:t>
      </w:r>
    </w:p>
    <w:p>
      <w:pPr>
        <w:pStyle w:val="BookText"/>
        <w:rPr/>
      </w:pPr>
      <w:r>
        <w:rPr>
          <w:rFonts w:ascii="IRNazanin" w:hAnsi="IRNazanin" w:eastAsia="IRNazanin"/>
          <w:color w:val="111111"/>
          <w:sz w:val="28"/>
          <w:sz w:val="28"/>
          <w:szCs w:val="28"/>
          <w:rtl w:val="true"/>
          <w:lang w:bidi="fa-IR"/>
        </w:rPr>
        <w:t>يأخذ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من اهل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جزاء الذين</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سورة بن کلیب از امام صادق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رفتن به مسجد و یا رفع</w:t>
      </w:r>
    </w:p>
    <w:p>
      <w:pPr>
        <w:pStyle w:val="BookText"/>
        <w:rPr/>
      </w:pPr>
      <w:r>
        <w:rPr>
          <w:rFonts w:ascii="IRNazanin" w:hAnsi="IRNazanin" w:eastAsia="IRNazanin"/>
          <w:color w:val="111111"/>
          <w:sz w:val="28"/>
          <w:sz w:val="28"/>
          <w:szCs w:val="28"/>
          <w:rtl w:val="true"/>
          <w:lang w:bidi="fa-IR"/>
        </w:rPr>
        <w:t>حاجت خود از منزل خارج می شود و کسی او را تعقیب و مضروب نموده و لباسش را می گیرد؟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مشمول آیه محاربه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جعفر از برادرش موسی بن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سألته عن رجل شهر الى صاحبه بالرمح و السكين فقال أن كان يلعب فلا بأس</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سؤال کردم اگر کسی علیه همراه و دوست خود نیزه و یا چاقو بکشد، حکمش</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بازی یا شوخی باشد، اشکال ندارد</w:t>
      </w:r>
      <w:r>
        <w:rPr>
          <w:rFonts w:eastAsia="IRNazanin" w:cs="IRNazanin"/>
          <w:color w:val="111111"/>
          <w:sz w:val="28"/>
          <w:szCs w:val="28"/>
          <w:rtl w:val="true"/>
          <w:lang w:bidi="fa-IR"/>
        </w:rPr>
        <w:t xml:space="preserve">. </w:t>
      </w:r>
      <w:bookmarkStart w:id="203" w:name="pg6894_74548"/>
    </w:p>
    <w:p>
      <w:pPr>
        <w:pStyle w:val="BookText"/>
        <w:rPr/>
      </w:pPr>
      <w:bookmarkEnd w:id="20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سکونی از امام باقر علیه السلام از پدرش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رجل اقبل بنار فاشعلها في دار قوم فاحترقت و احترق متاعهم انه يغرم قيمة الدار و ما فيها ثم يقتل</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زین العابدین علیه السلام درباره کسی که منزل دیگری را آتش زده و خانه و متاع داخل آن را سوزانده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غرامت متاع و خانه را بدهد و آنگاه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 فوق، روایات دیگری در کیفیت مجازات محارب آمده است که</w:t>
      </w:r>
    </w:p>
    <w:p>
      <w:pPr>
        <w:pStyle w:val="BookText"/>
        <w:rPr/>
      </w:pPr>
      <w:r>
        <w:rPr>
          <w:rFonts w:ascii="IRNazanin" w:hAnsi="IRNazanin" w:eastAsia="IRNazanin"/>
          <w:color w:val="111111"/>
          <w:sz w:val="28"/>
          <w:sz w:val="28"/>
          <w:szCs w:val="28"/>
          <w:rtl w:val="true"/>
          <w:lang w:bidi="fa-IR"/>
        </w:rPr>
        <w:t>بیان خواهیم کرد</w:t>
      </w:r>
      <w:r>
        <w:rPr>
          <w:rFonts w:eastAsia="IRNazanin" w:cs="IRNazanin"/>
          <w:color w:val="111111"/>
          <w:sz w:val="28"/>
          <w:szCs w:val="28"/>
          <w:rtl w:val="true"/>
          <w:lang w:bidi="fa-IR"/>
        </w:rPr>
        <w:t>.</w:t>
      </w:r>
    </w:p>
    <w:p>
      <w:pPr>
        <w:pStyle w:val="Heading5"/>
        <w:numPr>
          <w:ilvl w:val="4"/>
          <w:numId w:val="1"/>
        </w:numPr>
        <w:rPr/>
      </w:pPr>
      <w:bookmarkStart w:id="204" w:name="__RefHeading___Toc1440374_372815092"/>
      <w:bookmarkStart w:id="205" w:name="_Toc73"/>
      <w:bookmarkEnd w:id="204"/>
      <w:r>
        <w:rPr>
          <w:rtl w:val="true"/>
        </w:rPr>
        <w:t>نتیجه</w:t>
      </w:r>
      <w:r>
        <w:rPr>
          <w:rtl w:val="true"/>
        </w:rPr>
        <w:t>:</w:t>
      </w:r>
      <w:bookmarkEnd w:id="205"/>
    </w:p>
    <w:p>
      <w:pPr>
        <w:pStyle w:val="Heading6"/>
        <w:numPr>
          <w:ilvl w:val="5"/>
          <w:numId w:val="1"/>
        </w:numPr>
        <w:rPr/>
      </w:pPr>
      <w:bookmarkStart w:id="206" w:name="__RefHeading___Toc1440376_372815092"/>
      <w:bookmarkStart w:id="207" w:name="_Toc74"/>
      <w:bookmarkEnd w:id="206"/>
      <w:r>
        <w:rPr/>
        <w:t>1</w:t>
      </w:r>
      <w:r>
        <w:rPr>
          <w:rtl w:val="true"/>
        </w:rPr>
        <w:t xml:space="preserve">. </w:t>
      </w:r>
      <w:r>
        <w:rPr>
          <w:rtl w:val="true"/>
        </w:rPr>
        <w:t>عنصر اصلی محاربه</w:t>
      </w:r>
      <w:r>
        <w:rPr>
          <w:rtl w:val="true"/>
        </w:rPr>
        <w:t>:</w:t>
      </w:r>
      <w:bookmarkEnd w:id="207"/>
    </w:p>
    <w:p>
      <w:pPr>
        <w:pStyle w:val="BookText"/>
        <w:rPr/>
      </w:pPr>
      <w:r>
        <w:rPr>
          <w:rFonts w:ascii="IRNazanin" w:hAnsi="IRNazanin" w:eastAsia="IRNazanin"/>
          <w:color w:val="111111"/>
          <w:sz w:val="28"/>
          <w:sz w:val="28"/>
          <w:szCs w:val="28"/>
          <w:rtl w:val="true"/>
          <w:lang w:bidi="fa-IR"/>
        </w:rPr>
        <w:t xml:space="preserve">با توجه به آیه شریفه، روایات و تعاریف فقها از محاربه، روشن می شود که عنصر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محاربه، کشیدن یا حمل سلاح برای ترساندن مردم و سلب امنیت آنهاست</w:t>
      </w:r>
      <w:r>
        <w:rPr>
          <w:rFonts w:eastAsia="IRNazanin" w:cs="IRNazanin"/>
          <w:color w:val="111111"/>
          <w:sz w:val="28"/>
          <w:szCs w:val="28"/>
          <w:rtl w:val="true"/>
          <w:lang w:bidi="fa-IR"/>
        </w:rPr>
        <w:t>.</w:t>
      </w:r>
    </w:p>
    <w:p>
      <w:pPr>
        <w:pStyle w:val="Heading6"/>
        <w:numPr>
          <w:ilvl w:val="5"/>
          <w:numId w:val="1"/>
        </w:numPr>
        <w:rPr/>
      </w:pPr>
      <w:bookmarkStart w:id="208" w:name="__RefHeading___Toc1440378_372815092"/>
      <w:bookmarkStart w:id="209" w:name="_Toc75"/>
      <w:bookmarkEnd w:id="208"/>
      <w:r>
        <w:rPr/>
        <w:t>2</w:t>
      </w:r>
      <w:r>
        <w:rPr>
          <w:rtl w:val="true"/>
        </w:rPr>
        <w:t xml:space="preserve">. </w:t>
      </w:r>
      <w:r>
        <w:rPr>
          <w:rtl w:val="true"/>
        </w:rPr>
        <w:t>زمان و مکان در محاربه</w:t>
      </w:r>
      <w:r>
        <w:rPr>
          <w:rtl w:val="true"/>
        </w:rPr>
        <w:t>:</w:t>
      </w:r>
      <w:bookmarkEnd w:id="209"/>
    </w:p>
    <w:p>
      <w:pPr>
        <w:pStyle w:val="BookText"/>
        <w:rPr/>
      </w:pPr>
      <w:r>
        <w:rPr>
          <w:rFonts w:ascii="IRNazanin" w:hAnsi="IRNazanin" w:eastAsia="IRNazanin"/>
          <w:color w:val="111111"/>
          <w:sz w:val="28"/>
          <w:sz w:val="28"/>
          <w:szCs w:val="28"/>
          <w:rtl w:val="true"/>
          <w:lang w:bidi="fa-IR"/>
        </w:rPr>
        <w:t xml:space="preserve">از حیث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یا روز بودن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یا هوا، در خشکی یا دریا، آبادی یا صحرا، داخل خانه یا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نخواهد داشت</w:t>
      </w:r>
      <w:r>
        <w:rPr>
          <w:rFonts w:eastAsia="IRNazanin" w:cs="IRNazanin"/>
          <w:color w:val="111111"/>
          <w:sz w:val="28"/>
          <w:szCs w:val="28"/>
          <w:rtl w:val="true"/>
          <w:lang w:bidi="fa-IR"/>
        </w:rPr>
        <w:t>.</w:t>
      </w:r>
    </w:p>
    <w:p>
      <w:pPr>
        <w:pStyle w:val="Heading6"/>
        <w:numPr>
          <w:ilvl w:val="5"/>
          <w:numId w:val="1"/>
        </w:numPr>
        <w:rPr/>
      </w:pPr>
      <w:bookmarkStart w:id="210" w:name="__RefHeading___Toc1440380_372815092"/>
      <w:bookmarkStart w:id="211" w:name="_Toc76"/>
      <w:bookmarkEnd w:id="210"/>
      <w:r>
        <w:rPr/>
        <w:t>3</w:t>
      </w:r>
      <w:r>
        <w:rPr>
          <w:rtl w:val="true"/>
        </w:rPr>
        <w:t xml:space="preserve">. </w:t>
      </w:r>
      <w:r>
        <w:rPr>
          <w:rtl w:val="true"/>
        </w:rPr>
        <w:t>انگیزه محارب</w:t>
      </w:r>
      <w:r>
        <w:rPr>
          <w:rtl w:val="true"/>
        </w:rPr>
        <w:t>:</w:t>
      </w:r>
      <w:bookmarkEnd w:id="21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کشیدن اسلحه علیه هر کس به قصد سرقت از منزل، محل کار و یا هر جای دیگر و با هر قصد نامشروع دیگر، محاربه است و دلیل آن، اطلاق آیه و روایات، تعاریف فقها و صراحت شهید در مسالک و صریح خبر سکونی است که قبلا به تمام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خسارت وارده در این موارد بیشتر و زشتی عمل نمایانتر است؛ زیرا مأمن هر کس، مسكن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روایات متعددی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اللص </w:t>
      </w:r>
      <w:bookmarkStart w:id="212" w:name="pg6894_74549"/>
    </w:p>
    <w:p>
      <w:pPr>
        <w:pStyle w:val="BookText"/>
        <w:rPr/>
      </w:pPr>
      <w:bookmarkEnd w:id="212"/>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تعدادی از آنها اشاره خواهد شد</w:t>
      </w:r>
      <w:r>
        <w:rPr>
          <w:rFonts w:eastAsia="IRNazanin" w:cs="IRNazanin"/>
          <w:color w:val="111111"/>
          <w:sz w:val="28"/>
          <w:szCs w:val="28"/>
          <w:rtl w:val="true"/>
          <w:lang w:bidi="fa-IR"/>
        </w:rPr>
        <w:t>.</w:t>
      </w:r>
    </w:p>
    <w:p>
      <w:pPr>
        <w:pStyle w:val="Heading6"/>
        <w:numPr>
          <w:ilvl w:val="5"/>
          <w:numId w:val="1"/>
        </w:numPr>
        <w:rPr/>
      </w:pPr>
      <w:bookmarkStart w:id="213" w:name="__RefHeading___Toc1440382_372815092"/>
      <w:bookmarkStart w:id="214" w:name="_Toc77"/>
      <w:bookmarkEnd w:id="213"/>
      <w:r>
        <w:rPr/>
        <w:t>4</w:t>
      </w:r>
      <w:r>
        <w:rPr>
          <w:rtl w:val="true"/>
        </w:rPr>
        <w:t xml:space="preserve">. </w:t>
      </w:r>
      <w:r>
        <w:rPr>
          <w:rtl w:val="true"/>
        </w:rPr>
        <w:t>تحقق اهداف محارب</w:t>
      </w:r>
      <w:r>
        <w:rPr>
          <w:rtl w:val="true"/>
        </w:rPr>
        <w:t>:</w:t>
      </w:r>
      <w:bookmarkEnd w:id="214"/>
    </w:p>
    <w:p>
      <w:pPr>
        <w:pStyle w:val="BookText"/>
        <w:rPr/>
      </w:pPr>
      <w:r>
        <w:rPr>
          <w:rFonts w:ascii="IRNazanin" w:hAnsi="IRNazanin" w:eastAsia="IRNazanin"/>
          <w:color w:val="111111"/>
          <w:sz w:val="28"/>
          <w:sz w:val="28"/>
          <w:szCs w:val="28"/>
          <w:rtl w:val="true"/>
          <w:lang w:bidi="fa-IR"/>
        </w:rPr>
        <w:t>اطلاقات مزبور، هر نوع انگیزه نامشروع، اعم از سلب مال، ناموس، جان و آسایش مردم را شامل می شود، ولو محارب به هدف خود نرسیده باشد</w:t>
      </w:r>
      <w:r>
        <w:rPr>
          <w:rFonts w:eastAsia="IRNazanin" w:cs="IRNazanin"/>
          <w:color w:val="111111"/>
          <w:sz w:val="28"/>
          <w:szCs w:val="28"/>
          <w:rtl w:val="true"/>
          <w:lang w:bidi="fa-IR"/>
        </w:rPr>
        <w:t>.</w:t>
      </w:r>
    </w:p>
    <w:p>
      <w:pPr>
        <w:pStyle w:val="Heading6"/>
        <w:numPr>
          <w:ilvl w:val="5"/>
          <w:numId w:val="1"/>
        </w:numPr>
        <w:rPr/>
      </w:pPr>
      <w:bookmarkStart w:id="215" w:name="__RefHeading___Toc1440384_372815092"/>
      <w:bookmarkStart w:id="216" w:name="_Toc78"/>
      <w:bookmarkEnd w:id="215"/>
      <w:r>
        <w:rPr/>
        <w:t>5</w:t>
      </w:r>
      <w:r>
        <w:rPr>
          <w:rtl w:val="true"/>
        </w:rPr>
        <w:t xml:space="preserve">. </w:t>
      </w:r>
      <w:r>
        <w:rPr>
          <w:rtl w:val="true"/>
        </w:rPr>
        <w:t>قصد ترساندن مردم، لازم نیست</w:t>
      </w:r>
      <w:r>
        <w:rPr>
          <w:rtl w:val="true"/>
        </w:rPr>
        <w:t>:</w:t>
      </w:r>
      <w:bookmarkEnd w:id="216"/>
    </w:p>
    <w:p>
      <w:pPr>
        <w:pStyle w:val="BookText"/>
        <w:rPr/>
      </w:pPr>
      <w:r>
        <w:rPr>
          <w:rFonts w:ascii="IRNazanin" w:hAnsi="IRNazanin" w:eastAsia="IRNazanin"/>
          <w:color w:val="111111"/>
          <w:sz w:val="28"/>
          <w:sz w:val="28"/>
          <w:szCs w:val="28"/>
          <w:rtl w:val="true"/>
          <w:lang w:bidi="fa-IR"/>
        </w:rPr>
        <w:t>قصد عمل مجرمانه کفایت می کند، ولو قصد ترساندن مردم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کشیدن اسلحه نمی تواند بدون قصد ترساندن مردم باشد و انگیزه ای جز ترساندن مردم در کشیدن اسلحه نیست و نظیر این است که کسی با توجه به این که آلت قتاله است، به کسی حمله نماید که طبعا قصد قتل هم خواهد داشت و در صورت ارتکاب، قتل عمدی است</w:t>
      </w:r>
      <w:r>
        <w:rPr>
          <w:rFonts w:eastAsia="IRNazanin" w:cs="IRNazanin"/>
          <w:color w:val="111111"/>
          <w:sz w:val="28"/>
          <w:szCs w:val="28"/>
          <w:rtl w:val="true"/>
          <w:lang w:bidi="fa-IR"/>
        </w:rPr>
        <w:t>.</w:t>
      </w:r>
    </w:p>
    <w:p>
      <w:pPr>
        <w:pStyle w:val="Heading6"/>
        <w:numPr>
          <w:ilvl w:val="5"/>
          <w:numId w:val="1"/>
        </w:numPr>
        <w:rPr/>
      </w:pPr>
      <w:bookmarkStart w:id="217" w:name="__RefHeading___Toc1440386_372815092"/>
      <w:bookmarkStart w:id="218" w:name="_Toc79"/>
      <w:bookmarkEnd w:id="217"/>
      <w:r>
        <w:rPr/>
        <w:t>6</w:t>
      </w:r>
      <w:r>
        <w:rPr>
          <w:rtl w:val="true"/>
        </w:rPr>
        <w:t xml:space="preserve">. </w:t>
      </w:r>
      <w:r>
        <w:rPr>
          <w:rtl w:val="true"/>
        </w:rPr>
        <w:t>تعدد محاربان</w:t>
      </w:r>
      <w:r>
        <w:rPr>
          <w:rtl w:val="true"/>
        </w:rPr>
        <w:t>:</w:t>
      </w:r>
      <w:bookmarkEnd w:id="218"/>
    </w:p>
    <w:p>
      <w:pPr>
        <w:pStyle w:val="BookText"/>
        <w:rPr/>
      </w:pPr>
      <w:r>
        <w:rPr>
          <w:rFonts w:ascii="IRNazanin" w:hAnsi="IRNazanin" w:eastAsia="IRNazanin"/>
          <w:color w:val="111111"/>
          <w:sz w:val="28"/>
          <w:sz w:val="28"/>
          <w:szCs w:val="28"/>
          <w:rtl w:val="true"/>
          <w:lang w:bidi="fa-IR"/>
        </w:rPr>
        <w:t>محارب ممکن است یک یا چند نفر باشند و یک نفر یا عده ای را بترسانند و دلیل آن،</w:t>
      </w:r>
    </w:p>
    <w:p>
      <w:pPr>
        <w:pStyle w:val="BookText"/>
        <w:rPr/>
      </w:pPr>
      <w:r>
        <w:rPr>
          <w:rFonts w:ascii="IRNazanin" w:hAnsi="IRNazanin" w:eastAsia="IRNazanin"/>
          <w:color w:val="111111"/>
          <w:sz w:val="28"/>
          <w:sz w:val="28"/>
          <w:szCs w:val="28"/>
          <w:rtl w:val="true"/>
          <w:lang w:bidi="fa-IR"/>
        </w:rPr>
        <w:t xml:space="preserve">نص بعضی روایات، </w:t>
      </w:r>
      <w:r>
        <w:rPr>
          <w:rStyle w:val="FootnoteAnchor"/>
          <w:rtl w:val="true"/>
        </w:rPr>
        <w:footnoteReference w:id="146"/>
      </w:r>
      <w:r>
        <w:rPr>
          <w:rFonts w:ascii="IRNazanin" w:hAnsi="IRNazanin" w:eastAsia="IRNazanin"/>
          <w:color w:val="111111"/>
          <w:sz w:val="28"/>
          <w:sz w:val="28"/>
          <w:szCs w:val="28"/>
          <w:rtl w:val="true"/>
          <w:lang w:bidi="fa-IR"/>
        </w:rPr>
        <w:t>اطلاق بعضی دیگر، آیه شریفه محاربه، گفته های فقهای شیعه و صراحت شهید در مسالک، صاحب جواهر در جواهر الكلام و مذاهب اربعه اهل سنت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واحد، لواحد</w:t>
      </w:r>
      <w:r>
        <w:rPr>
          <w:rFonts w:eastAsia="IRNazanin" w:cs="IRNazanin"/>
          <w:color w:val="111111"/>
          <w:sz w:val="28"/>
          <w:szCs w:val="28"/>
          <w:rtl w:val="true"/>
          <w:lang w:bidi="fa-IR"/>
        </w:rPr>
        <w:t xml:space="preserve">.» </w:t>
      </w:r>
      <w:r>
        <w:rPr>
          <w:rStyle w:val="FootnoteAnchor"/>
          <w:rtl w:val="true"/>
        </w:rPr>
        <w:footnoteReference w:id="147"/>
      </w:r>
    </w:p>
    <w:p>
      <w:pPr>
        <w:pStyle w:val="Heading6"/>
        <w:numPr>
          <w:ilvl w:val="5"/>
          <w:numId w:val="1"/>
        </w:numPr>
        <w:rPr/>
      </w:pPr>
      <w:bookmarkStart w:id="219" w:name="__RefHeading___Toc1440388_372815092"/>
      <w:bookmarkStart w:id="220" w:name="_Toc80"/>
      <w:bookmarkEnd w:id="219"/>
      <w:r>
        <w:rPr/>
        <w:t>7</w:t>
      </w:r>
      <w:r>
        <w:rPr>
          <w:rtl w:val="true"/>
        </w:rPr>
        <w:t xml:space="preserve">. </w:t>
      </w:r>
      <w:r>
        <w:rPr>
          <w:rtl w:val="true"/>
        </w:rPr>
        <w:t>جنسیت محارب</w:t>
      </w:r>
      <w:r>
        <w:rPr>
          <w:rtl w:val="true"/>
        </w:rPr>
        <w:t>:</w:t>
      </w:r>
      <w:bookmarkEnd w:id="22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 ممکن است مرد یا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بر این امر تصریح نموده اند و ابن ادریس که در صفحه ای از سرائر، مرد بودن را شرط دانسته، </w:t>
      </w:r>
      <w:r>
        <w:rPr>
          <w:rStyle w:val="FootnoteAnchor"/>
          <w:rtl w:val="true"/>
        </w:rPr>
        <w:footnoteReference w:id="148"/>
      </w:r>
      <w:r>
        <w:rPr>
          <w:rFonts w:ascii="IRNazanin" w:hAnsi="IRNazanin" w:eastAsia="IRNazanin"/>
          <w:color w:val="111111"/>
          <w:sz w:val="28"/>
          <w:sz w:val="28"/>
          <w:szCs w:val="28"/>
          <w:rtl w:val="true"/>
          <w:lang w:bidi="fa-IR"/>
        </w:rPr>
        <w:t xml:space="preserve">در صفحه بعد از نظر خودش برگشته </w:t>
      </w:r>
      <w:bookmarkStart w:id="221" w:name="pg6894_74550"/>
    </w:p>
    <w:p>
      <w:pPr>
        <w:pStyle w:val="BookText"/>
        <w:rPr/>
      </w:pPr>
      <w:bookmarkEnd w:id="221"/>
      <w:r>
        <w:rPr>
          <w:rFonts w:ascii="IRNazanin" w:hAnsi="IRNazanin" w:eastAsia="IRNazanin"/>
          <w:color w:val="111111"/>
          <w:sz w:val="28"/>
          <w:sz w:val="28"/>
          <w:szCs w:val="28"/>
          <w:rtl w:val="true"/>
          <w:lang w:bidi="fa-IR"/>
        </w:rPr>
        <w:t>و تنها مخالف، ابن جنید اسکافی است و نظر مشهور، عدم فرق بین زن و مرد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اهل سنت نیز مرد بودن محارب را شرط ندانسته اند و تنها مالكيه است که در</w:t>
      </w:r>
    </w:p>
    <w:p>
      <w:pPr>
        <w:pStyle w:val="BookText"/>
        <w:rPr/>
      </w:pPr>
      <w:r>
        <w:rPr>
          <w:rFonts w:ascii="IRNazanin" w:hAnsi="IRNazanin" w:eastAsia="IRNazanin"/>
          <w:color w:val="111111"/>
          <w:sz w:val="28"/>
          <w:sz w:val="28"/>
          <w:szCs w:val="28"/>
          <w:rtl w:val="true"/>
          <w:lang w:bidi="fa-IR"/>
        </w:rPr>
        <w:t>مجازات زن محارب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 و نفی نمی شود</w:t>
      </w:r>
      <w:r>
        <w:rPr>
          <w:rFonts w:eastAsia="IRNazanin" w:cs="IRNazanin"/>
          <w:color w:val="111111"/>
          <w:sz w:val="28"/>
          <w:szCs w:val="28"/>
          <w:rtl w:val="true"/>
          <w:lang w:bidi="fa-IR"/>
        </w:rPr>
        <w:t xml:space="preserve">». </w:t>
      </w:r>
      <w:r>
        <w:rPr>
          <w:rStyle w:val="FootnoteAnchor"/>
          <w:rtl w:val="true"/>
        </w:rPr>
        <w:footnoteReference w:id="150"/>
      </w:r>
    </w:p>
    <w:p>
      <w:pPr>
        <w:pStyle w:val="Heading6"/>
        <w:numPr>
          <w:ilvl w:val="5"/>
          <w:numId w:val="1"/>
        </w:numPr>
        <w:rPr/>
      </w:pPr>
      <w:bookmarkStart w:id="222" w:name="__RefHeading___Toc1440390_372815092"/>
      <w:bookmarkStart w:id="223" w:name="_Toc81"/>
      <w:bookmarkEnd w:id="222"/>
      <w:r>
        <w:rPr/>
        <w:t>8</w:t>
      </w:r>
      <w:r>
        <w:rPr>
          <w:rtl w:val="true"/>
        </w:rPr>
        <w:t xml:space="preserve">. </w:t>
      </w:r>
      <w:r>
        <w:rPr>
          <w:rtl w:val="true"/>
        </w:rPr>
        <w:t>دین محارب</w:t>
      </w:r>
      <w:r>
        <w:rPr>
          <w:rtl w:val="true"/>
        </w:rPr>
        <w:t>:</w:t>
      </w:r>
      <w:bookmarkEnd w:id="223"/>
    </w:p>
    <w:p>
      <w:pPr>
        <w:pStyle w:val="BookText"/>
        <w:rPr/>
      </w:pPr>
      <w:r>
        <w:rPr>
          <w:rFonts w:ascii="IRNazanin" w:hAnsi="IRNazanin" w:eastAsia="IRNazanin"/>
          <w:color w:val="111111"/>
          <w:sz w:val="28"/>
          <w:sz w:val="28"/>
          <w:szCs w:val="28"/>
          <w:rtl w:val="true"/>
          <w:lang w:bidi="fa-IR"/>
        </w:rPr>
        <w:t>محارب ممکن است مسلمان یا کافر باشد و مسلمان را بترساند یا غیر مسلمان از آنها که ذمی یا مستأمن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اطلاقات روایات، آیه شریفه محاربه، گفته های فقهای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ائمه اهل سنت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علاوه بر این، جرم محاربه در هر حال، در کشور اسلامی صورت گرفته است و بر تمام ساکنان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مرتکب عمل محاربه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به عنوان مجني عليه،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مفید و سلار،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الاسلام</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را اضافه نموده اند</w:t>
      </w:r>
      <w:r>
        <w:rPr>
          <w:rFonts w:eastAsia="IRNazanin" w:cs="IRNazanin"/>
          <w:color w:val="111111"/>
          <w:sz w:val="28"/>
          <w:szCs w:val="28"/>
          <w:rtl w:val="true"/>
          <w:lang w:bidi="fa-IR"/>
        </w:rPr>
        <w:t>.</w:t>
      </w:r>
    </w:p>
    <w:p>
      <w:pPr>
        <w:pStyle w:val="Heading6"/>
        <w:numPr>
          <w:ilvl w:val="5"/>
          <w:numId w:val="1"/>
        </w:numPr>
        <w:rPr/>
      </w:pPr>
      <w:bookmarkStart w:id="224" w:name="__RefHeading___Toc1440392_372815092"/>
      <w:bookmarkStart w:id="225" w:name="_Toc82"/>
      <w:bookmarkEnd w:id="224"/>
      <w:r>
        <w:rPr/>
        <w:t>9</w:t>
      </w:r>
      <w:r>
        <w:rPr>
          <w:rtl w:val="true"/>
        </w:rPr>
        <w:t xml:space="preserve">. </w:t>
      </w:r>
      <w:r>
        <w:rPr>
          <w:rtl w:val="true"/>
        </w:rPr>
        <w:t>مكان محاربه از دیدگاه اهل سنت</w:t>
      </w:r>
      <w:r>
        <w:rPr>
          <w:rtl w:val="true"/>
        </w:rPr>
        <w:t>:</w:t>
      </w:r>
      <w:bookmarkEnd w:id="225"/>
    </w:p>
    <w:p>
      <w:pPr>
        <w:pStyle w:val="BookText"/>
        <w:rPr/>
      </w:pPr>
      <w:r>
        <w:rPr>
          <w:rFonts w:ascii="IRNazanin" w:hAnsi="IRNazanin" w:eastAsia="IRNazanin"/>
          <w:color w:val="111111"/>
          <w:sz w:val="28"/>
          <w:sz w:val="28"/>
          <w:szCs w:val="28"/>
          <w:rtl w:val="true"/>
          <w:lang w:bidi="fa-IR"/>
        </w:rPr>
        <w:t>از نظر شیعه، جای شک نیست که فرقی بیان شهر و صحرا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مالكيه و</w:t>
      </w:r>
    </w:p>
    <w:p>
      <w:pPr>
        <w:pStyle w:val="BookText"/>
        <w:rPr/>
      </w:pPr>
      <w:r>
        <w:rPr>
          <w:rFonts w:ascii="IRNazanin" w:hAnsi="IRNazanin" w:eastAsia="IRNazanin"/>
          <w:color w:val="111111"/>
          <w:sz w:val="28"/>
          <w:sz w:val="28"/>
          <w:szCs w:val="28"/>
          <w:rtl w:val="true"/>
          <w:lang w:bidi="fa-IR"/>
        </w:rPr>
        <w:t xml:space="preserve">حنبلیه نیز همین را گفته اند </w:t>
      </w:r>
      <w:r>
        <w:rPr>
          <w:rStyle w:val="FootnoteAnchor"/>
          <w:rtl w:val="true"/>
        </w:rPr>
        <w:footnoteReference w:id="153"/>
      </w:r>
      <w:r>
        <w:rPr>
          <w:rFonts w:ascii="IRNazanin" w:hAnsi="IRNazanin" w:eastAsia="IRNazanin"/>
          <w:color w:val="111111"/>
          <w:sz w:val="28"/>
          <w:sz w:val="28"/>
          <w:szCs w:val="28"/>
          <w:rtl w:val="true"/>
          <w:lang w:bidi="fa-IR"/>
        </w:rPr>
        <w:t>و ابن کثیر نیز در تفسیر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اهل سنت، پیروان مذهب مالک، اوزاعی، لیث بن سعد، شافعی و احمد بن</w:t>
      </w:r>
    </w:p>
    <w:p>
      <w:pPr>
        <w:pStyle w:val="BookText"/>
        <w:rPr/>
      </w:pPr>
      <w:r>
        <w:rPr>
          <w:rFonts w:ascii="IRNazanin" w:hAnsi="IRNazanin" w:eastAsia="IRNazanin"/>
          <w:color w:val="111111"/>
          <w:sz w:val="28"/>
          <w:sz w:val="28"/>
          <w:szCs w:val="28"/>
          <w:rtl w:val="true"/>
          <w:lang w:bidi="fa-IR"/>
        </w:rPr>
        <w:t>حنبل به عموم آیه استدلال کرده اند که حکم محارب در شهر و بیابان مساوی است و ابوحنیفه و اصحابش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تنها در راهها است و شامل شهر نمی شود</w:t>
      </w:r>
      <w:r>
        <w:rPr>
          <w:rFonts w:eastAsia="IRNazanin" w:cs="IRNazanin"/>
          <w:color w:val="111111"/>
          <w:sz w:val="28"/>
          <w:szCs w:val="28"/>
          <w:rtl w:val="true"/>
          <w:lang w:bidi="fa-IR"/>
        </w:rPr>
        <w:t xml:space="preserve">. </w:t>
      </w:r>
      <w:r>
        <w:rPr>
          <w:rStyle w:val="FootnoteAnchor"/>
          <w:rtl w:val="true"/>
        </w:rPr>
        <w:footnoteReference w:id="154"/>
      </w:r>
    </w:p>
    <w:p>
      <w:pPr>
        <w:pStyle w:val="Heading6"/>
        <w:numPr>
          <w:ilvl w:val="5"/>
          <w:numId w:val="1"/>
        </w:numPr>
        <w:rPr/>
      </w:pPr>
      <w:bookmarkStart w:id="226" w:name="__RefHeading___Toc1440394_372815092"/>
      <w:bookmarkStart w:id="227" w:name="_Toc83"/>
      <w:bookmarkEnd w:id="226"/>
      <w:r>
        <w:rPr/>
        <w:t>10</w:t>
      </w:r>
      <w:r>
        <w:rPr>
          <w:rtl w:val="true"/>
        </w:rPr>
        <w:t xml:space="preserve">. </w:t>
      </w:r>
      <w:r>
        <w:rPr>
          <w:rtl w:val="true"/>
        </w:rPr>
        <w:t>سارق، ممکن است محارب باشد</w:t>
      </w:r>
      <w:r>
        <w:rPr>
          <w:rtl w:val="true"/>
        </w:rPr>
        <w:t>:</w:t>
      </w:r>
      <w:bookmarkEnd w:id="22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سارق ممکن است محارب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به دنبال تعریف محارب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تعریف محارب بر سارق صادق باشد، به این معنی که در جهت بردن مال غیر، اسلحه کشیده است، بدون شک محارب است و مجازات محارب را خواهد داشت و ابن ادریس به نقل جواهر بر این امر ادعای اجماع نموده </w:t>
      </w:r>
      <w:r>
        <w:rPr>
          <w:rStyle w:val="FootnoteAnchor"/>
          <w:rtl w:val="true"/>
        </w:rPr>
        <w:footnoteReference w:id="155"/>
      </w:r>
      <w:r>
        <w:rPr>
          <w:rFonts w:ascii="IRNazanin" w:hAnsi="IRNazanin" w:eastAsia="IRNazanin"/>
          <w:color w:val="111111"/>
          <w:sz w:val="28"/>
          <w:sz w:val="28"/>
          <w:szCs w:val="28"/>
          <w:rtl w:val="true"/>
          <w:lang w:bidi="fa-IR"/>
        </w:rPr>
        <w:t xml:space="preserve">است و اگر اسلحه حمل یا نکشیده باشد، حقیقتأ محارب نیست، بلکه از این جهت که در مقام دفاع، خونش هدر است، در حکم محارب خواهد بود </w:t>
      </w:r>
      <w:r>
        <w:rPr>
          <w:rStyle w:val="FootnoteAnchor"/>
          <w:rtl w:val="true"/>
        </w:rPr>
        <w:footnoteReference w:id="156"/>
      </w:r>
      <w:r>
        <w:rPr>
          <w:rFonts w:ascii="IRNazanin" w:hAnsi="IRNazanin" w:eastAsia="IRNazanin"/>
          <w:color w:val="111111"/>
          <w:sz w:val="28"/>
          <w:sz w:val="28"/>
          <w:szCs w:val="28"/>
          <w:rtl w:val="true"/>
          <w:lang w:bidi="fa-IR"/>
        </w:rPr>
        <w:t>که به نمونه ای از روایات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سارق محارب با خدا و رسول است، پس هرگاه داخل بر شما شد، او را بکشید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از امام سجاد علیه السلام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سارقی وارد بر شما شد که قصد ناموس و یا مال شما را داشت، اگر می توانید او را دفع نموده و بزنید، این کار را بکنید و سارق، محارب با خدا و رسول است، پس او را بکشید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ایوب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مؤمنی وارد شود و با او محاربه نماید، خونش در این حال، هدر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بنابراین، ظاهر روایات فوق این است که سارق همچون محارب در مقام دفع</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خونش هدر است، اما در صورتی که دستگیر شود، مجازاتش مجازات محارب نخواهد بود؛ زیرا حکم سارق غیر محارب، قطع دست است که غیر از مجازات محارب است، مستلب و مختلس نیز در مقام دفع، خونش هدر است و اگر دستگیر شود، تعزیر خواهد شد</w:t>
      </w:r>
      <w:r>
        <w:rPr>
          <w:rFonts w:eastAsia="IRNazanin" w:cs="IRNazanin"/>
          <w:color w:val="111111"/>
          <w:sz w:val="28"/>
          <w:szCs w:val="28"/>
          <w:rtl w:val="true"/>
          <w:lang w:bidi="fa-IR"/>
        </w:rPr>
        <w:t xml:space="preserve">. </w:t>
      </w:r>
      <w:bookmarkStart w:id="228" w:name="pg6894_74552"/>
    </w:p>
    <w:p>
      <w:pPr>
        <w:pStyle w:val="Heading6"/>
        <w:numPr>
          <w:ilvl w:val="5"/>
          <w:numId w:val="1"/>
        </w:numPr>
        <w:rPr/>
      </w:pPr>
      <w:bookmarkStart w:id="229" w:name="__RefHeading___Toc1440396_372815092"/>
      <w:bookmarkStart w:id="230" w:name="_Toc84"/>
      <w:bookmarkEnd w:id="228"/>
      <w:bookmarkEnd w:id="229"/>
      <w:r>
        <w:rPr/>
        <w:t>11</w:t>
      </w:r>
      <w:r>
        <w:rPr>
          <w:rtl w:val="true"/>
        </w:rPr>
        <w:t xml:space="preserve">. </w:t>
      </w:r>
      <w:r>
        <w:rPr>
          <w:rtl w:val="true"/>
        </w:rPr>
        <w:t>محارب، لازم نیست مورد تهمت باشد</w:t>
      </w:r>
      <w:r>
        <w:rPr>
          <w:rtl w:val="true"/>
        </w:rPr>
        <w:t>:</w:t>
      </w:r>
      <w:bookmarkEnd w:id="230"/>
    </w:p>
    <w:p>
      <w:pPr>
        <w:pStyle w:val="BookText"/>
        <w:rPr/>
      </w:pPr>
      <w:r>
        <w:rPr>
          <w:rFonts w:ascii="IRNazanin" w:hAnsi="IRNazanin" w:eastAsia="IRNazanin"/>
          <w:color w:val="111111"/>
          <w:sz w:val="28"/>
          <w:sz w:val="28"/>
          <w:szCs w:val="28"/>
          <w:rtl w:val="true"/>
          <w:lang w:bidi="fa-IR"/>
        </w:rPr>
        <w:t xml:space="preserve">هر کس برای ایجاد وحشت و تجاوز به مال، جان و ناموس دیگران اسلحه حمل کند یا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مورد تهمت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 است و این که بعضی از بزرگان؛ مثل شیخ در نهایه و شهید در الدروس الشرعيه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محارب را شرط دانسته اند، صحیح نیست؛ زیرا تجاوز، خود دلیل عینی بر فاسق بودن شخص است که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هیچ دلیلی بر این مدعی که محاربه و کشیدن اسلحه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باشد، وجود ندارد و روایت ضريس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حمل سلاح در شب است که حامل آن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محارب شناخته می شود و ربطی به کشیدن اسلحه و تجاوز به جان و مال مردم ندارد، بلکه روایت، از این جهت که حامل اسلحه در شب را مشروط بر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باشد، محارب شناخته است، از باب قاعده حکومت، دایره محاربه را توسعه داده و این شخص را نیز که فقط اسلحه حمل کرده است، اما به دلیل این که در شب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محارب شناخته است</w:t>
      </w:r>
      <w:r>
        <w:rPr>
          <w:rFonts w:eastAsia="IRNazanin" w:cs="IRNazanin"/>
          <w:color w:val="111111"/>
          <w:sz w:val="28"/>
          <w:szCs w:val="28"/>
          <w:rtl w:val="true"/>
          <w:lang w:bidi="fa-IR"/>
        </w:rPr>
        <w:t>.</w:t>
      </w:r>
    </w:p>
    <w:p>
      <w:pPr>
        <w:pStyle w:val="Heading6"/>
        <w:numPr>
          <w:ilvl w:val="5"/>
          <w:numId w:val="1"/>
        </w:numPr>
        <w:rPr/>
      </w:pPr>
      <w:bookmarkStart w:id="231" w:name="__RefHeading___Toc1440398_372815092"/>
      <w:bookmarkStart w:id="232" w:name="_Toc85"/>
      <w:bookmarkEnd w:id="231"/>
      <w:r>
        <w:rPr/>
        <w:t>12</w:t>
      </w:r>
      <w:r>
        <w:rPr>
          <w:rtl w:val="true"/>
        </w:rPr>
        <w:t xml:space="preserve">. </w:t>
      </w:r>
      <w:r>
        <w:rPr>
          <w:rtl w:val="true"/>
        </w:rPr>
        <w:t>سلاح محارب</w:t>
      </w:r>
      <w:r>
        <w:rPr>
          <w:rtl w:val="true"/>
        </w:rPr>
        <w:t>:</w:t>
      </w:r>
      <w:bookmarkEnd w:id="232"/>
    </w:p>
    <w:p>
      <w:pPr>
        <w:pStyle w:val="BookText"/>
        <w:rPr/>
      </w:pPr>
      <w:r>
        <w:rPr>
          <w:rFonts w:ascii="IRNazanin" w:hAnsi="IRNazanin" w:eastAsia="IRNazanin"/>
          <w:color w:val="111111"/>
          <w:sz w:val="28"/>
          <w:sz w:val="28"/>
          <w:szCs w:val="28"/>
          <w:rtl w:val="true"/>
          <w:lang w:bidi="fa-IR"/>
        </w:rPr>
        <w:t>هرگاه سخن از اسلحه به میان آید، سلاح سرد و گرم متعارف به ذهن تبادر می کند و امثال چوب، سنگ، آمپول هوا، قطع اکسیژن بیماری استفاده از قدرت بازو، انداختن دیگری به داخل پرتگاه یا دریا و چاه و آتش زدن خانه به ذهن نمی آید و از سوی دیگر، امکان تهدید و ترساندن مردم که عنصر اصلی محاربه است، با وسایل فوق نسبت به موقعیتهای خاص و به ضمیمه قدرت و شوکت محارب که در بعضی تعاریف فقها بدان اشاره شده است، وجود دارد و آلت قتاله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که سلاح در محاربه، عام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عموم آیه محاربه، روایات و صریح خبر سکونی دلالت بر این مطلب دارد و بسیاری از فقها نیز بر آن تصریح کرده اند و در تعریف سلاح محارب میگویند</w:t>
      </w:r>
      <w:r>
        <w:rPr>
          <w:rFonts w:eastAsia="IRNazanin" w:cs="IRNazanin"/>
          <w:color w:val="111111"/>
          <w:sz w:val="28"/>
          <w:szCs w:val="28"/>
          <w:rtl w:val="true"/>
          <w:lang w:bidi="fa-IR"/>
        </w:rPr>
        <w:t xml:space="preserve">: </w:t>
      </w:r>
      <w:bookmarkStart w:id="233" w:name="pg6894_74553"/>
    </w:p>
    <w:p>
      <w:pPr>
        <w:pStyle w:val="BookText"/>
        <w:rPr/>
      </w:pPr>
      <w:bookmarkEnd w:id="233"/>
      <w:r>
        <w:rPr>
          <w:rFonts w:ascii="Amiri" w:hAnsi="Amiri" w:eastAsia="Amiri" w:cs="Amiri"/>
          <w:color w:val="111111"/>
          <w:sz w:val="28"/>
          <w:sz w:val="28"/>
          <w:szCs w:val="28"/>
          <w:rtl w:val="true"/>
          <w:lang w:bidi="ar-SA"/>
        </w:rPr>
        <w:t>انه كل ما يقاتل به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بویژه بعضی از موارد فوق، از سلاح سرد متعارف؛ مثل چاقو خطرناکتر است و شافعيه و حنابله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طريق، حاضر شدن برای اخذ مال، قتل، ارعاب و زورگویی است که محارب بر قدرت و شوکت خود متکی است؛ چه سلاح داشته باشد یا نداشته باشد، به شرط این که قدرت غلبه بر جماعت را ولو با زور و لگد، داشته باشد</w:t>
      </w:r>
      <w:r>
        <w:rPr>
          <w:rFonts w:eastAsia="IRNazanin" w:cs="IRNazanin"/>
          <w:color w:val="111111"/>
          <w:sz w:val="28"/>
          <w:szCs w:val="28"/>
          <w:rtl w:val="true"/>
          <w:lang w:bidi="fa-IR"/>
        </w:rPr>
        <w:t xml:space="preserve">. </w:t>
      </w:r>
      <w:r>
        <w:rPr>
          <w:rStyle w:val="FootnoteAnchor"/>
          <w:rtl w:val="true"/>
        </w:rPr>
        <w:footnoteReference w:id="161"/>
      </w:r>
    </w:p>
    <w:p>
      <w:pPr>
        <w:pStyle w:val="Heading5"/>
        <w:numPr>
          <w:ilvl w:val="4"/>
          <w:numId w:val="1"/>
        </w:numPr>
        <w:rPr/>
      </w:pPr>
      <w:bookmarkStart w:id="234" w:name="__RefHeading___Toc1440400_372815092"/>
      <w:bookmarkStart w:id="235" w:name="_Toc86"/>
      <w:bookmarkEnd w:id="234"/>
      <w:r>
        <w:rPr>
          <w:rtl w:val="true"/>
        </w:rPr>
        <w:t>مجازات محارب از دیدگاه فقهای شیعه و سنی</w:t>
      </w:r>
      <w:bookmarkEnd w:id="235"/>
    </w:p>
    <w:p>
      <w:pPr>
        <w:pStyle w:val="BookText"/>
        <w:rPr/>
      </w:pPr>
      <w:r>
        <w:rPr>
          <w:rFonts w:ascii="IRNazanin" w:hAnsi="IRNazanin" w:eastAsia="IRNazanin"/>
          <w:color w:val="111111"/>
          <w:sz w:val="28"/>
          <w:sz w:val="28"/>
          <w:szCs w:val="28"/>
          <w:rtl w:val="true"/>
          <w:lang w:bidi="fa-IR"/>
        </w:rPr>
        <w:t xml:space="preserve">چنان که قبلا اشاره شد، مجازات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صلب، قطع یک دست و یک پا و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انتخاب هریک از مجازاتها باید متناسب با جرم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اگر محارب تنها اسلحه کشیده است، به مجازات نفی بلد محکوم شود و اگر مالی برده است، یک دست و یک پای او قطع شود و اگر قتل کرده است، بعد از گرفتن مال، کشته و صلب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با صدق محاربه بر عمل مجرمانه، امام علی و یا حاکم مخیر است هر یک از مجازاتهای فوق را اعمال نماید، مورد اختلاف شدید شیعه و سنی است، به طوری که بعضی از بزرگان شیعه همچون محقق و علامه حلی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اتباع ایشان، ابوصلاح حلبی و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یک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ترتیب بر حسب جنایت شده اند </w:t>
      </w:r>
      <w:r>
        <w:rPr>
          <w:rStyle w:val="FootnoteAnchor"/>
          <w:rtl w:val="true"/>
        </w:rPr>
        <w:footnoteReference w:id="162"/>
      </w:r>
      <w:r>
        <w:rPr>
          <w:rFonts w:ascii="IRNazanin" w:hAnsi="IRNazanin" w:eastAsia="IRNazanin"/>
          <w:color w:val="111111"/>
          <w:sz w:val="28"/>
          <w:sz w:val="28"/>
          <w:szCs w:val="28"/>
          <w:rtl w:val="true"/>
          <w:lang w:bidi="fa-IR"/>
        </w:rPr>
        <w:t>و در کشف اللثام، این قول را به اکثر کتب نسبت داده است و بعضی ادعای اجماع نموده اند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مرحوم آیة الله خویی در ترتیب مجازاتها بین دو صحيحه محمد بن مسلم و علی بن</w:t>
      </w:r>
    </w:p>
    <w:p>
      <w:pPr>
        <w:pStyle w:val="BookText"/>
        <w:rPr/>
      </w:pPr>
      <w:r>
        <w:rPr>
          <w:rFonts w:ascii="IRNazanin" w:hAnsi="IRNazanin" w:eastAsia="IRNazanin"/>
          <w:color w:val="111111"/>
          <w:sz w:val="28"/>
          <w:sz w:val="28"/>
          <w:szCs w:val="28"/>
          <w:rtl w:val="true"/>
          <w:lang w:bidi="fa-IR"/>
        </w:rPr>
        <w:t>حسان جمع نموده و چنین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محارب کسی را ترسانده است، از شهر تبعید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علی بن</w:t>
      </w:r>
    </w:p>
    <w:p>
      <w:pPr>
        <w:pStyle w:val="BookText"/>
        <w:rPr/>
      </w:pP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اسلحه کشیده و دیگری را زخمی نموده است، قصاص و آنگاه تبعید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محمد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اسلحه کشیده و اخذ مال نموده است، دست و پای او قطع خواهد شد در روایت علی بن 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اسلحه کشیده و مال هم گرفته است و کسی را هم مضروب و مجروح نموده و نکشته باشد، امام مخیر است او را بکشد و آنگاه به صلیب کشید و یا دست و پای او را قطع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محمد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محاربه کرده است و بدون این که مالی بگیرد کسی را به قتل رسانده باشد،</w:t>
      </w:r>
    </w:p>
    <w:p>
      <w:pPr>
        <w:pStyle w:val="BookText"/>
        <w:rPr/>
      </w:pPr>
      <w:r>
        <w:rPr>
          <w:rFonts w:ascii="IRNazanin" w:hAnsi="IRNazanin" w:eastAsia="IRNazanin"/>
          <w:color w:val="111111"/>
          <w:sz w:val="28"/>
          <w:sz w:val="28"/>
          <w:szCs w:val="28"/>
          <w:rtl w:val="true"/>
          <w:lang w:bidi="fa-IR"/>
        </w:rPr>
        <w:t xml:space="preserve">کشته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علی بن 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محاربه کرده، مال گرفته و کسی را هم به قتل رسانده است، امام دست او را به جرم سرقت قطع می کند و آنگاه به اولیای مقتول تحویل می دهد تا مالشان را بگیرند و سپس او را می کشند و اگر عفو نمایند، امام او را خواهد کشت و اولیا نمی توانند از محارب دیه بگیرند و آزادش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محمد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طرف دیگر، مرحوم مفید، دیلمی و حلى قائل به تغییر می باشند؛ به دلیل این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تغییر است و نیز در صحیحه حریز از امام صادق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تغییر است و در این زمینه به روایت حسنه جميل و خبر سماعه نیز استدلال شده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عین حال، این گروه از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محارب کسی را کشته باشد، باید او را کشت و شهیدین نیز با استدلال به ادله فوق، قول به تغییر را پذیرفته اند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دلیل نظریه شیخ طوسی و اتباعشان، روایات است که صحیحه برید بن معاویه </w:t>
      </w:r>
      <w:r>
        <w:rPr>
          <w:rStyle w:val="FootnoteAnchor"/>
          <w:rtl w:val="true"/>
        </w:rPr>
        <w:footnoteReference w:id="166"/>
      </w:r>
      <w:r>
        <w:rPr>
          <w:rFonts w:ascii="IRNazanin" w:hAnsi="IRNazanin" w:eastAsia="IRNazanin"/>
          <w:color w:val="111111"/>
          <w:sz w:val="28"/>
          <w:sz w:val="28"/>
          <w:szCs w:val="28"/>
          <w:rtl w:val="true"/>
          <w:lang w:bidi="fa-IR"/>
        </w:rPr>
        <w:t>از جمله آن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بعید است مجازات محاربی که قتل کرده و یا مال مردم را برده است، با کسی که فقط اسلحه کشیده، مساوی باشد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اهل سنت، سعید بن مسیب، مجاهد، عطا، حسن بصری، ابراهیم نخعی، </w:t>
      </w:r>
      <w:bookmarkStart w:id="236" w:name="pg6894_74555"/>
    </w:p>
    <w:p>
      <w:pPr>
        <w:pStyle w:val="BookText"/>
        <w:rPr/>
      </w:pPr>
      <w:bookmarkEnd w:id="236"/>
      <w:r>
        <w:rPr>
          <w:rFonts w:ascii="IRNazanin" w:hAnsi="IRNazanin" w:eastAsia="IRNazanin"/>
          <w:color w:val="111111"/>
          <w:sz w:val="28"/>
          <w:sz w:val="28"/>
          <w:szCs w:val="28"/>
          <w:rtl w:val="true"/>
          <w:lang w:bidi="fa-IR"/>
        </w:rPr>
        <w:t>ضحاک و مالک بن انس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تغییر است، حاکم مخیر است و شاهد بر آن، کفاره صید و صوم و یمین است که در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برای تغییر است، ولی جمهور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نحو ترتیب باشد </w:t>
      </w:r>
      <w:r>
        <w:rPr>
          <w:rStyle w:val="FootnoteAnchor"/>
          <w:rtl w:val="true"/>
        </w:rPr>
        <w:footnoteReference w:id="168"/>
      </w:r>
      <w:r>
        <w:rPr>
          <w:rFonts w:ascii="IRNazanin" w:hAnsi="IRNazanin" w:eastAsia="IRNazanin"/>
          <w:color w:val="111111"/>
          <w:sz w:val="28"/>
          <w:sz w:val="28"/>
          <w:szCs w:val="28"/>
          <w:rtl w:val="true"/>
          <w:lang w:bidi="fa-IR"/>
        </w:rPr>
        <w:t>چنان که حنفیه، شافعیه و حنبلیه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قطاع الطريق به ترتیب مذکور 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گرفتن مال یا قتل نفس، دستگیر شود، امام او را حبس می کند تا توبه نماید و این معنای نفی است و اگر مالی از مسلمان یا ذمی گرفته باشد که سهم هر یک از محاربين ده درهم یا بیشتر باشد، دست و پای آنها قطع خواهد شد و اگر قتل نفس کرده و مالی نگرفته باشند، امام آنها را از باب حد، اعدام می کند و اگر قتل کرده و مال نیز برده اند، امام مخیر است بین قطع دست و پای آنها و یا اعدام و صلب؛ چون تمام اینها یک عقوبت است و شدت آنها به تناسب سبب است</w:t>
      </w:r>
      <w:r>
        <w:rPr>
          <w:rFonts w:eastAsia="IRNazanin" w:cs="IRNazanin"/>
          <w:color w:val="111111"/>
          <w:sz w:val="28"/>
          <w:szCs w:val="28"/>
          <w:rtl w:val="true"/>
          <w:lang w:bidi="fa-IR"/>
        </w:rPr>
        <w:t xml:space="preserve">. </w:t>
      </w:r>
      <w:r>
        <w:rPr>
          <w:rStyle w:val="FootnoteAnchor"/>
          <w:rtl w:val="true"/>
        </w:rPr>
        <w:footnoteReference w:id="169"/>
      </w:r>
    </w:p>
    <w:p>
      <w:pPr>
        <w:pStyle w:val="Heading5"/>
        <w:numPr>
          <w:ilvl w:val="4"/>
          <w:numId w:val="1"/>
        </w:numPr>
        <w:rPr/>
      </w:pPr>
      <w:bookmarkStart w:id="237" w:name="__RefHeading___Toc1440402_372815092"/>
      <w:bookmarkStart w:id="238" w:name="_Toc87"/>
      <w:bookmarkEnd w:id="237"/>
      <w:r>
        <w:rPr>
          <w:rtl w:val="true"/>
        </w:rPr>
        <w:t>روایاتی درباره مجازات محارب</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صحيحه محمد بن مسلم از امام باقر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 شهری اسلحه بکشد و دیگری را زخمی کند، قصاص و تبعید می شود و اگر مالی برده و کسی را زخمی کرده باشد، مجازات او مجازات محارب است و اختیار با امام علیه السلام است؛ اگر بخواهد او را میکشد یا یک دست و یک پای او را قطع می کند و اگر مال گرفته و قتل هم کرده است، بر امام است که دست او را به جرم سرقت ببرد و آنگاه به اولیای مقتول برای گرفتن مالشان تحویل دهد و سپس باید او را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صحيحه علی بن حسان از امام باقر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محاربه کرده، مال گرفته و قتل هم نموده است، کشته و صلب می شود و اگر تنها </w:t>
      </w:r>
      <w:bookmarkStart w:id="239" w:name="pg6894_74556"/>
    </w:p>
    <w:p>
      <w:pPr>
        <w:pStyle w:val="BookText"/>
        <w:rPr/>
      </w:pPr>
      <w:bookmarkEnd w:id="239"/>
      <w:r>
        <w:rPr>
          <w:rFonts w:ascii="IRNazanin" w:hAnsi="IRNazanin" w:eastAsia="IRNazanin"/>
          <w:color w:val="111111"/>
          <w:sz w:val="28"/>
          <w:sz w:val="28"/>
          <w:szCs w:val="28"/>
          <w:rtl w:val="true"/>
          <w:lang w:bidi="fa-IR"/>
        </w:rPr>
        <w:t>مال گرفته است، یک دست و یک پای او به طور عکس قطع می شود و اگر تنها محاربه کرده است، بدون اخذ مال و قتل، نفی بلد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عبيدالله المداینی از حضرت رضا علیه السلام نقل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محارب قتل کرده است، کشته می شود و اگر مال گرفته، اما قتل نکرده است، یک دست و یک پایش به طور عکس قطع می شود و اگر تنها اسلحه کشیده است، بدون این که قتل کند، و اخذ مال نماید، نفی بلد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قتل کرده، اما محاربه و اخذ مال نکرده است، کشته می شود و اگر محاربه کرده و قتل و صلب نیز نموده است، کشته و صلب می شود و اگر محاربه کرده و مال گرفته است، ولی قتل نکرده است، دست و پای او قطع می شود و اگر محاربه کرده، ولی قتل نکرده و مال نیز نگرفته است، نفی می شود و سزاوار است نفی شبیه به قتل و صلب باشد؛ مثل این که بر پایش چیز سنگینی بسته و به داخل دریا انداخته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 السلام فرمود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را ترسانده است، حبس می شود و این است معنای نفی و اگر کسی را کشته است، کشته می شود و اگر کسی را کشته و مال هم گرفته است، یک پا و یک دست او قطع می گردد و سپس به صلیب کشیده می شود</w:t>
      </w:r>
      <w:r>
        <w:rPr>
          <w:rFonts w:eastAsia="IRNazanin" w:cs="IRNazanin"/>
          <w:color w:val="111111"/>
          <w:sz w:val="28"/>
          <w:szCs w:val="28"/>
          <w:rtl w:val="true"/>
          <w:lang w:bidi="fa-IR"/>
        </w:rPr>
        <w:t>.</w:t>
      </w:r>
    </w:p>
    <w:p>
      <w:pPr>
        <w:pStyle w:val="Heading5"/>
        <w:numPr>
          <w:ilvl w:val="4"/>
          <w:numId w:val="1"/>
        </w:numPr>
        <w:rPr/>
      </w:pPr>
      <w:bookmarkStart w:id="240" w:name="__RefHeading___Toc1440404_372815092"/>
      <w:bookmarkStart w:id="241" w:name="_Toc88"/>
      <w:bookmarkEnd w:id="240"/>
      <w:r>
        <w:rPr>
          <w:rtl w:val="true"/>
        </w:rPr>
        <w:t>نقد و بررسی نظریه ترتیب و تخییر</w:t>
      </w:r>
      <w:bookmarkEnd w:id="24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گذشته، مسأله مجازات محارب طبق مجازاتهای چهارگانه بین تخییر یا ترتیب در گردش و مورد گفتگو بوده است و به روایات هم تنها از همین دو زاویه نگاه شده و نتیجه گرفته اند که بین ترتیب و تخییر در تعارض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طرفداران هر دو نظریه به اختلاف روایات در کیفیت تخییر و مخصوصا کیفیت ترتیب نیز اذعان نموده اند </w:t>
      </w:r>
      <w:r>
        <w:rPr>
          <w:rStyle w:val="FootnoteAnchor"/>
          <w:rtl w:val="true"/>
        </w:rPr>
        <w:footnoteReference w:id="170"/>
      </w:r>
      <w:r>
        <w:rPr>
          <w:rFonts w:ascii="IRNazanin" w:hAnsi="IRNazanin" w:eastAsia="IRNazanin"/>
          <w:color w:val="111111"/>
          <w:sz w:val="28"/>
          <w:sz w:val="28"/>
          <w:szCs w:val="28"/>
          <w:rtl w:val="true"/>
          <w:lang w:bidi="fa-IR"/>
        </w:rPr>
        <w:t>و اگر تلاشی برای جمع آنها صورت گرفته است، باز هم در چهارچوب ترتیب و تخییر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مجلسی در جمع بین روایات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تخيير أمام منافات با ترتیب ندارد؛ زیرا اختیار امام به معنای میل نفسی او نیست، بلکه به تناسب جرم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بنابراین، همه تلاشها در دایره ترتیب و تخییر بوده و کسی به این موضوع نیندیشیده است که شاید این همه ناهمگونی روایات با دو نظریه ترتیب و تخییر به دلیل غلط بودن صورت مسأله و حصر احتمالات، بین این دو است؛ زیرا ممکن است معیار سومی برای اعمال مجازاتهای چهارگانه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به حول و قوه الهی قصد دارد از قالب تئوری ترتیب یا تخییر که به دلیل</w:t>
      </w:r>
    </w:p>
    <w:p>
      <w:pPr>
        <w:pStyle w:val="BookText"/>
        <w:rPr/>
      </w:pPr>
      <w:r>
        <w:rPr>
          <w:rFonts w:ascii="IRNazanin" w:hAnsi="IRNazanin" w:eastAsia="IRNazanin"/>
          <w:color w:val="111111"/>
          <w:sz w:val="28"/>
          <w:sz w:val="28"/>
          <w:szCs w:val="28"/>
          <w:rtl w:val="true"/>
          <w:lang w:bidi="fa-IR"/>
        </w:rPr>
        <w:t>قدمت و مهر صحتهای مستقیم و غیر مستقیمی که بالاتفاق بر آن زده شده است و چه بسا خروج از آن به ذهن خطور نمی کند، خارج شود و به جستجوی راههای دیگری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چهار نوع مجازات برای محارب در نظر گرفته شده است و هر یک</w:t>
      </w:r>
    </w:p>
    <w:p>
      <w:pPr>
        <w:pStyle w:val="BookText"/>
        <w:rPr/>
      </w:pP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 از هم آمده است، لیکن کیفیت اجرای آنها نزد فقهای شیعه و سنی مورد اختلاف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اختلاف، تخییر یا ترتیب در اعمال یکی از چهار مجازات است، اما</w:t>
      </w:r>
    </w:p>
    <w:p>
      <w:pPr>
        <w:pStyle w:val="BookText"/>
        <w:rPr/>
      </w:pPr>
      <w:r>
        <w:rPr>
          <w:rFonts w:ascii="IRNazanin" w:hAnsi="IRNazanin" w:eastAsia="IRNazanin"/>
          <w:color w:val="111111"/>
          <w:sz w:val="28"/>
          <w:sz w:val="28"/>
          <w:szCs w:val="28"/>
          <w:rtl w:val="true"/>
          <w:lang w:bidi="fa-IR"/>
        </w:rPr>
        <w:t>شدت اختلاف روایات در کیفیت اجرای مجازاتها به قدری است که اساس هر دو تئوری تخییر و ترتیب مورد تردید شدید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نظریه تخییر را برگرفته اند، به جملاتی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الى الامام يفعل ما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 شود در قرآن به معنای تخییر است </w:t>
      </w:r>
      <w:r>
        <w:rPr>
          <w:rStyle w:val="FootnoteAnchor"/>
          <w:rtl w:val="true"/>
        </w:rPr>
        <w:footnoteReference w:id="172"/>
      </w:r>
      <w:r>
        <w:rPr>
          <w:rFonts w:ascii="IRNazanin" w:hAnsi="IRNazanin" w:eastAsia="IRNazanin"/>
          <w:color w:val="111111"/>
          <w:sz w:val="28"/>
          <w:sz w:val="28"/>
          <w:szCs w:val="28"/>
          <w:rtl w:val="true"/>
          <w:lang w:bidi="fa-IR"/>
        </w:rPr>
        <w:t>، استدلال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امام صادق علیه السلام به دنبال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الى الامام يفعل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برید بن معاویه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لكن نحو الجناية</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در خبر خثعمی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 لكن على </w:t>
      </w:r>
    </w:p>
    <w:p>
      <w:pPr>
        <w:pStyle w:val="BookText"/>
        <w:rPr/>
      </w:pPr>
      <w:r>
        <w:rPr>
          <w:rFonts w:ascii="Amiri" w:hAnsi="Amiri" w:eastAsia="Amiri" w:cs="Amiri"/>
          <w:color w:val="111111"/>
          <w:sz w:val="28"/>
          <w:sz w:val="28"/>
          <w:szCs w:val="28"/>
          <w:rtl w:val="true"/>
          <w:lang w:bidi="ar-SA"/>
        </w:rPr>
        <w:t>قدر الجناية</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نحو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روایاتی که</w:t>
      </w:r>
    </w:p>
    <w:p>
      <w:pPr>
        <w:pStyle w:val="BookText"/>
        <w:rPr/>
      </w:pPr>
      <w:r>
        <w:rPr>
          <w:rFonts w:ascii="IRNazanin" w:hAnsi="IRNazanin" w:eastAsia="IRNazanin"/>
          <w:color w:val="111111"/>
          <w:sz w:val="28"/>
          <w:sz w:val="28"/>
          <w:szCs w:val="28"/>
          <w:rtl w:val="true"/>
          <w:lang w:bidi="fa-IR"/>
        </w:rPr>
        <w:t xml:space="preserve">تصریح به اختیار امام می کند، مخصوصا روایت برید که صحیحه است، قطعا جایی برای نظریه تغییر به معنای معروف؛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امام در اعمال تنها یکی از مجازاتها؛ ولو محارب کسی را هم کشته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نظریه ترتیب مجازاتها بر حسب جنایت؛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مردم را ترسانده</w:t>
      </w:r>
    </w:p>
    <w:p>
      <w:pPr>
        <w:pStyle w:val="BookText"/>
        <w:rPr/>
      </w:pPr>
      <w:r>
        <w:rPr>
          <w:rFonts w:ascii="IRNazanin" w:hAnsi="IRNazanin" w:eastAsia="IRNazanin"/>
          <w:color w:val="111111"/>
          <w:sz w:val="28"/>
          <w:sz w:val="28"/>
          <w:szCs w:val="28"/>
          <w:rtl w:val="true"/>
          <w:lang w:bidi="fa-IR"/>
        </w:rPr>
        <w:t>است، نفی شود و اگر مال برده است، دست و پایش به طور عکس قطع شود و اگر قتل کرده است،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روایاتی استدلال نموده اند که مجازاتها به تناسب جرم، یکی بعد از دیگری ذکر شده است که یکی از آن روایات، صحيحه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روایتی نداریم که ترتیب مجازاتهای چهارگانه به طور کامل و به معنای معروف رعایت شده باشد، بلکه در هر دو دسته از روایاتی که صاحبان نظریه تخییر و ترتیب به آنها استدلال نموده اند، جمع بین بعضی از مجازاتها را آن هم به گونه های متفاوت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مجازات محاربی که مال برده و قتل نفس نیز نموده، حداقل سه جور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صلب می شود </w:t>
      </w:r>
      <w:r>
        <w:rPr>
          <w:rStyle w:val="FootnoteAnchor"/>
          <w:rtl w:val="true"/>
        </w:rPr>
        <w:footnoteReference w:id="175"/>
      </w:r>
      <w:r>
        <w:rPr>
          <w:rFonts w:ascii="IRNazanin" w:hAnsi="IRNazanin" w:eastAsia="IRNazanin"/>
          <w:color w:val="111111"/>
          <w:sz w:val="28"/>
          <w:sz w:val="28"/>
          <w:szCs w:val="28"/>
          <w:rtl w:val="true"/>
          <w:lang w:bidi="fa-IR"/>
        </w:rPr>
        <w:t xml:space="preserve">، قطع و قتل می شود </w:t>
      </w:r>
      <w:r>
        <w:rPr>
          <w:rStyle w:val="FootnoteAnchor"/>
          <w:rtl w:val="true"/>
        </w:rPr>
        <w:footnoteReference w:id="176"/>
      </w:r>
      <w:r>
        <w:rPr>
          <w:rFonts w:ascii="IRNazanin" w:hAnsi="IRNazanin" w:eastAsia="IRNazanin"/>
          <w:color w:val="111111"/>
          <w:sz w:val="28"/>
          <w:sz w:val="28"/>
          <w:szCs w:val="28"/>
          <w:rtl w:val="true"/>
          <w:lang w:bidi="fa-IR"/>
        </w:rPr>
        <w:t xml:space="preserve">، قطع و صلب می شود </w:t>
      </w:r>
      <w:r>
        <w:rPr>
          <w:rStyle w:val="FootnoteAnchor"/>
          <w:rtl w:val="true"/>
        </w:rPr>
        <w:footnoteReference w:id="177"/>
      </w:r>
      <w:r>
        <w:rPr>
          <w:rFonts w:ascii="IRNazanin" w:hAnsi="IRNazanin" w:eastAsia="IRNazanin"/>
          <w:color w:val="111111"/>
          <w:sz w:val="28"/>
          <w:sz w:val="28"/>
          <w:szCs w:val="28"/>
          <w:rtl w:val="true"/>
          <w:lang w:bidi="fa-IR"/>
        </w:rPr>
        <w:t xml:space="preserve">و مورد چهارم بنا بر نقل وسائل و بعضی دیگر که گویی از وسائل گرفته اند </w:t>
      </w:r>
      <w:r>
        <w:rPr>
          <w:rStyle w:val="FootnoteAnchor"/>
          <w:rtl w:val="true"/>
        </w:rPr>
        <w:footnoteReference w:id="178"/>
      </w:r>
      <w:r>
        <w:rPr>
          <w:rFonts w:ascii="IRNazanin" w:hAnsi="IRNazanin" w:eastAsia="IRNazanin"/>
          <w:color w:val="111111"/>
          <w:sz w:val="28"/>
          <w:sz w:val="28"/>
          <w:szCs w:val="28"/>
          <w:rtl w:val="true"/>
          <w:lang w:bidi="fa-IR"/>
        </w:rPr>
        <w:t>، قتل یا صلب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تفسیر علی بن ابراهیم قمی که وسائل از آن نقل نموده است، قتل و صلب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روایات که در بین آنها صحیح السند نیز وجود دارد، از دو جهت با هر دو تئوری ترتیب و تخيير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این روایات بین بعضی از مجازاتها جمع شده است و دوم این که مجازات یک جرم به سه یا چهار صورت مختلف بیان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اختلاف در روایاتی که تنها به یک مورد از آنها اشاره شد و موارد دیگری </w:t>
      </w:r>
      <w:bookmarkStart w:id="242" w:name="pg6894_74559"/>
    </w:p>
    <w:p>
      <w:pPr>
        <w:pStyle w:val="BookText"/>
        <w:rPr/>
      </w:pPr>
      <w:bookmarkEnd w:id="242"/>
      <w:r>
        <w:rPr>
          <w:rFonts w:ascii="IRNazanin" w:hAnsi="IRNazanin" w:eastAsia="IRNazanin"/>
          <w:color w:val="111111"/>
          <w:sz w:val="28"/>
          <w:sz w:val="28"/>
          <w:szCs w:val="28"/>
          <w:rtl w:val="true"/>
          <w:lang w:bidi="fa-IR"/>
        </w:rPr>
        <w:t xml:space="preserve">مثل اختلاف در مفهوم نفی، بین حبس </w:t>
      </w:r>
      <w:r>
        <w:rPr>
          <w:rStyle w:val="FootnoteAnchor"/>
          <w:rtl w:val="true"/>
        </w:rPr>
        <w:footnoteReference w:id="180"/>
      </w:r>
      <w:r>
        <w:rPr>
          <w:rFonts w:ascii="Amiri" w:hAnsi="Amiri" w:eastAsia="Amiri" w:cs="Amiri"/>
          <w:color w:val="111111"/>
          <w:sz w:val="28"/>
          <w:sz w:val="28"/>
          <w:szCs w:val="28"/>
          <w:rtl w:val="true"/>
          <w:lang w:bidi="ar-SA"/>
        </w:rPr>
        <w:t xml:space="preserve">، نفي بلد </w:t>
      </w:r>
      <w:r>
        <w:rPr>
          <w:rStyle w:val="FootnoteAnchor"/>
          <w:rtl w:val="true"/>
        </w:rPr>
        <w:footnoteReference w:id="181"/>
      </w:r>
      <w:r>
        <w:rPr>
          <w:rFonts w:ascii="IRNazanin" w:hAnsi="IRNazanin" w:eastAsia="IRNazanin"/>
          <w:color w:val="111111"/>
          <w:sz w:val="28"/>
          <w:sz w:val="28"/>
          <w:szCs w:val="28"/>
          <w:rtl w:val="true"/>
          <w:lang w:bidi="fa-IR"/>
        </w:rPr>
        <w:t xml:space="preserve">، نفی از زمین </w:t>
      </w:r>
      <w:r>
        <w:rPr>
          <w:rStyle w:val="FootnoteAnchor"/>
          <w:rtl w:val="true"/>
        </w:rPr>
        <w:footnoteReference w:id="182"/>
      </w:r>
      <w:r>
        <w:rPr>
          <w:rFonts w:ascii="IRNazanin" w:hAnsi="IRNazanin" w:eastAsia="IRNazanin"/>
          <w:color w:val="111111"/>
          <w:sz w:val="28"/>
          <w:sz w:val="28"/>
          <w:szCs w:val="28"/>
          <w:rtl w:val="true"/>
          <w:lang w:bidi="fa-IR"/>
        </w:rPr>
        <w:t xml:space="preserve">و اعدام </w:t>
      </w:r>
      <w:r>
        <w:rPr>
          <w:rStyle w:val="FootnoteAnchor"/>
          <w:rtl w:val="true"/>
        </w:rPr>
        <w:footnoteReference w:id="183"/>
      </w:r>
      <w:r>
        <w:rPr>
          <w:rFonts w:ascii="IRNazanin" w:hAnsi="IRNazanin" w:eastAsia="IRNazanin"/>
          <w:color w:val="111111"/>
          <w:sz w:val="28"/>
          <w:sz w:val="28"/>
          <w:szCs w:val="28"/>
          <w:rtl w:val="true"/>
          <w:lang w:bidi="fa-IR"/>
        </w:rPr>
        <w:t>و همچنین اشکالهای جدی ای که مخصوصا بر نظریه تغییر وارد است، ما را بر آن می دارد که با رد هر دو تئوری تخییر و ترتیب و عوض نمودن صورت مسأله، شیوه های دیگری را برای اجرای مجازاتها جستجو نماییم که با روایات توافق داشته باشد</w:t>
      </w:r>
      <w:r>
        <w:rPr>
          <w:rFonts w:eastAsia="IRNazanin" w:cs="IRNazanin"/>
          <w:color w:val="111111"/>
          <w:sz w:val="28"/>
          <w:szCs w:val="28"/>
          <w:rtl w:val="true"/>
          <w:lang w:bidi="fa-IR"/>
        </w:rPr>
        <w:t>.</w:t>
      </w:r>
    </w:p>
    <w:p>
      <w:pPr>
        <w:pStyle w:val="Heading5"/>
        <w:numPr>
          <w:ilvl w:val="4"/>
          <w:numId w:val="1"/>
        </w:numPr>
        <w:rPr/>
      </w:pPr>
      <w:bookmarkStart w:id="243" w:name="__RefHeading___Toc1440406_372815092"/>
      <w:bookmarkStart w:id="244" w:name="_Toc89"/>
      <w:bookmarkEnd w:id="243"/>
      <w:r>
        <w:rPr>
          <w:rtl w:val="true"/>
        </w:rPr>
        <w:t>ارائه دو شیوه اعمال مجازات محارب و جمع بین روایات</w:t>
      </w:r>
      <w:bookmarkEnd w:id="244"/>
    </w:p>
    <w:p>
      <w:pPr>
        <w:pStyle w:val="Heading6"/>
        <w:numPr>
          <w:ilvl w:val="5"/>
          <w:numId w:val="1"/>
        </w:numPr>
        <w:rPr/>
      </w:pPr>
      <w:bookmarkStart w:id="245" w:name="__RefHeading___Toc1440408_372815092"/>
      <w:bookmarkStart w:id="246" w:name="_Toc90"/>
      <w:bookmarkEnd w:id="245"/>
      <w:r>
        <w:rPr>
          <w:rtl w:val="true"/>
        </w:rPr>
        <w:t>الف</w:t>
      </w:r>
      <w:r>
        <w:rPr>
          <w:rtl w:val="true"/>
        </w:rPr>
        <w:t xml:space="preserve">) </w:t>
      </w:r>
      <w:r>
        <w:rPr>
          <w:rtl w:val="true"/>
        </w:rPr>
        <w:t>مجازات به مقدار جنایت</w:t>
      </w:r>
      <w:r>
        <w:rPr>
          <w:rtl w:val="true"/>
        </w:rPr>
        <w:t>:</w:t>
      </w:r>
      <w:bookmarkEnd w:id="246"/>
    </w:p>
    <w:p>
      <w:pPr>
        <w:pStyle w:val="BookText"/>
        <w:rPr/>
      </w:pPr>
      <w:r>
        <w:rPr>
          <w:rFonts w:ascii="IRNazanin" w:hAnsi="IRNazanin" w:eastAsia="IRNazanin"/>
          <w:color w:val="111111"/>
          <w:sz w:val="28"/>
          <w:sz w:val="28"/>
          <w:szCs w:val="28"/>
          <w:rtl w:val="true"/>
          <w:lang w:bidi="fa-IR"/>
        </w:rPr>
        <w:t>این نظریه از دو جمله در صحیحه برید بن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نحو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خثعمي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نظریه، چند مطلب به عنوان مقدمه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محارب ممکن است یکی از سه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اسلحه و ترساندن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p>
    <w:p>
      <w:pPr>
        <w:pStyle w:val="BookText"/>
        <w:rPr/>
      </w:pPr>
      <w:r>
        <w:rPr>
          <w:rFonts w:ascii="IRNazanin" w:hAnsi="IRNazanin" w:eastAsia="IRNazanin"/>
          <w:color w:val="111111"/>
          <w:sz w:val="28"/>
          <w:sz w:val="28"/>
          <w:szCs w:val="28"/>
          <w:rtl w:val="true"/>
          <w:lang w:bidi="fa-IR"/>
        </w:rPr>
        <w:t>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سه جرم و بیش از آنها را مرتکب شود که جمعا چهار حالت برای جرم محاربه قابل تصور است و خداوند نیز در قرآن برای محارب چهار مجازات در نظر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الاشياء محدودة في كتاب الله</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و اختلاف در این است که آیا اجرای این مجازاتها به تخییر امام، بدون رعایت میزان جرم است و یا به ترتیب و تناسب جرم می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مشترک از مجازاتهای چهارگانه، قطع رابطه محارب با مردم و زدودن او از جامعه است تا ضمن پاک نمودن جامعه، محارب مفسد نیز به کیفر عمل یا اعمال خود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زدودن محارب مفسد از جامعه، جدی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طبیعی است که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و پا و نفی بلد، به عنوان ناقض مدعای فوق مطرح شود که در آنها محارب محو و زدوده نشده است، اما نگارنده به این اشکال توجه دارد و در</w:t>
      </w:r>
    </w:p>
    <w:p>
      <w:pPr>
        <w:pStyle w:val="BookText"/>
        <w:rPr/>
      </w:pPr>
      <w:r>
        <w:rPr>
          <w:rFonts w:ascii="IRNazanin" w:hAnsi="IRNazanin" w:eastAsia="IRNazanin"/>
          <w:color w:val="111111"/>
          <w:sz w:val="28"/>
          <w:sz w:val="28"/>
          <w:szCs w:val="28"/>
          <w:rtl w:val="true"/>
          <w:lang w:bidi="fa-IR"/>
        </w:rPr>
        <w:t>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نفی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از بلد اسلامی به دیگر بلاد اسلامی، نفی از تمام بلاد اسلامی و نفی به معنای 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نفی بلد به دیگر بلاد اسلامی باشد، با ویژگیهایی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به او چیزی فروخت یا از او چیزی خرید، نباید به او آب، غذا و صدقه داد </w:t>
      </w:r>
      <w:r>
        <w:rPr>
          <w:rStyle w:val="FootnoteAnchor"/>
          <w:rtl w:val="true"/>
        </w:rPr>
        <w:footnoteReference w:id="185"/>
      </w:r>
      <w:r>
        <w:rPr>
          <w:rFonts w:ascii="IRNazanin" w:hAnsi="IRNazanin" w:eastAsia="IRNazanin"/>
          <w:color w:val="111111"/>
          <w:sz w:val="28"/>
          <w:sz w:val="28"/>
          <w:szCs w:val="28"/>
          <w:rtl w:val="true"/>
          <w:lang w:bidi="fa-IR"/>
        </w:rPr>
        <w:t xml:space="preserve">، نباید با او نکاح کرده و در خوردن و آشامیدن، با او همسفره شد </w:t>
      </w:r>
      <w:r>
        <w:rPr>
          <w:rStyle w:val="FootnoteAnchor"/>
          <w:rtl w:val="true"/>
        </w:rPr>
        <w:footnoteReference w:id="186"/>
      </w:r>
      <w:r>
        <w:rPr>
          <w:rFonts w:ascii="IRNazanin" w:hAnsi="IRNazanin" w:eastAsia="IRNazanin"/>
          <w:color w:val="111111"/>
          <w:sz w:val="28"/>
          <w:sz w:val="28"/>
          <w:szCs w:val="28"/>
          <w:rtl w:val="true"/>
          <w:lang w:bidi="fa-IR"/>
        </w:rPr>
        <w:t xml:space="preserve">، نباید اراده داخل شدن به کشور شرک نماید والا کشته می شود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زدودن محارب از جامعه، بلکه مرگ مدنی اوست و اگر کسی نفی بلد به شهرهای دیگر را با ویژگیهای یاد شده محو و زدودن نداند، می گوییم حداقل از جامعه و محیطی که مرتکب جرم شده زدوده شده است و اگر نفی به بلاد شرک و کفر </w:t>
      </w:r>
      <w:r>
        <w:rPr>
          <w:rStyle w:val="FootnoteAnchor"/>
          <w:rtl w:val="true"/>
        </w:rPr>
        <w:footnoteReference w:id="188"/>
      </w:r>
      <w:r>
        <w:rPr>
          <w:rFonts w:ascii="IRNazanin" w:hAnsi="IRNazanin" w:eastAsia="IRNazanin"/>
          <w:color w:val="111111"/>
          <w:sz w:val="28"/>
          <w:sz w:val="28"/>
          <w:szCs w:val="28"/>
          <w:rtl w:val="true"/>
          <w:lang w:bidi="fa-IR"/>
        </w:rPr>
        <w:t xml:space="preserve">و یا به معنای اعدام باشد </w:t>
      </w:r>
      <w:r>
        <w:rPr>
          <w:rStyle w:val="FootnoteAnchor"/>
          <w:rtl w:val="true"/>
        </w:rPr>
        <w:footnoteReference w:id="189"/>
      </w:r>
      <w:r>
        <w:rPr>
          <w:rFonts w:ascii="IRNazanin" w:hAnsi="IRNazanin" w:eastAsia="IRNazanin"/>
          <w:color w:val="111111"/>
          <w:sz w:val="28"/>
          <w:sz w:val="28"/>
          <w:szCs w:val="28"/>
          <w:rtl w:val="true"/>
          <w:lang w:bidi="fa-IR"/>
        </w:rPr>
        <w:t>، محو و زدودن محارب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بگویید چرا به بلاد اسلامی و غیر اسلامی و چرا اعدام؟ می گوییم به دلیل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 جنایتهم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الجناية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كیفیت نفی متفاوت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قطع دست و پا نیز محارب از جامعه زدوده می شود؛ یا به این معنی که بعد از قطع باید نفی بلد هم بشود </w:t>
      </w:r>
      <w:r>
        <w:rPr>
          <w:rStyle w:val="FootnoteAnchor"/>
          <w:rtl w:val="true"/>
        </w:rPr>
        <w:footnoteReference w:id="190"/>
      </w:r>
      <w:r>
        <w:rPr>
          <w:rFonts w:ascii="IRNazanin" w:hAnsi="IRNazanin" w:eastAsia="IRNazanin"/>
          <w:color w:val="111111"/>
          <w:sz w:val="28"/>
          <w:sz w:val="28"/>
          <w:szCs w:val="28"/>
          <w:rtl w:val="true"/>
          <w:lang w:bidi="fa-IR"/>
        </w:rPr>
        <w:t>و یا به خاطر این که قطع به معنای مجازات و مداوا نیست، بلکه همچون صلب، یکی از شیوه های اعدام است؛ زیرا دلیلی بر جلوگیری از خون نداریم و در شرایع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تحسم في الموضعين جائز</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یعنی در صورت قطع دست و پا، اگر از خون جلوگیری نشود، جایز است و طبیعی است که در این صورت، خواهد مرد و در موثقه ابی صالح که در شأن نزول آیه محارب وارد شده است که سه نفر را کشته و شتران را برده اند، پیامبران صلی الله علیه واله قطع دست و پای محاربان را اختیار کرده و با این شیوه، آنها را به قتل رسانده 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 این مجازات، دقیقا متناسب با میزان جرم قتل و بردن مال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هدف از مجازاتهای چهارگانه و یا عنصر مشترک همه آنها، زدودن محارب از جامعه است که با شیوه های مختلف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ترین شیوه زدودن محارب از جامعه، نفی بلد با ویژگیهایی که یاد شد و شدید ترین شیوه، جمع بین بعضی از مجازاتهاست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قتل با شیوه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p>
    <w:p>
      <w:pPr>
        <w:pStyle w:val="BookText"/>
        <w:rPr/>
      </w:pPr>
      <w:r>
        <w:rPr>
          <w:rFonts w:ascii="IRNazanin" w:hAnsi="IRNazanin" w:eastAsia="IRNazanin"/>
          <w:color w:val="111111"/>
          <w:sz w:val="28"/>
          <w:sz w:val="28"/>
          <w:szCs w:val="28"/>
          <w:rtl w:val="true"/>
          <w:lang w:bidi="fa-IR"/>
        </w:rPr>
        <w:t xml:space="preserve">دست و پا، صلب و شیوه معمول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شیوه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بلد، حبس، اخراج از تمام بلاد اسلام و اعدام می تواند باشد که در دو روایت صدوق </w:t>
      </w:r>
      <w:r>
        <w:rPr>
          <w:rStyle w:val="FootnoteAnchor"/>
          <w:rtl w:val="true"/>
        </w:rPr>
        <w:footnoteReference w:id="193"/>
      </w:r>
      <w:r>
        <w:rPr>
          <w:rFonts w:ascii="IRNazanin" w:hAnsi="IRNazanin" w:eastAsia="IRNazanin"/>
          <w:color w:val="111111"/>
          <w:sz w:val="28"/>
          <w:sz w:val="28"/>
          <w:szCs w:val="28"/>
          <w:rtl w:val="true"/>
          <w:lang w:bidi="fa-IR"/>
        </w:rPr>
        <w:t xml:space="preserve">و عبدالله بن طلحه </w:t>
      </w:r>
      <w:r>
        <w:rPr>
          <w:rStyle w:val="FootnoteAnchor"/>
          <w:rtl w:val="true"/>
        </w:rPr>
        <w:footnoteReference w:id="194"/>
      </w:r>
      <w:r>
        <w:rPr>
          <w:rFonts w:ascii="IRNazanin" w:hAnsi="IRNazanin" w:eastAsia="IRNazanin"/>
          <w:color w:val="111111"/>
          <w:sz w:val="28"/>
          <w:sz w:val="28"/>
          <w:szCs w:val="28"/>
          <w:rtl w:val="true"/>
          <w:lang w:bidi="fa-IR"/>
        </w:rPr>
        <w:t xml:space="preserve">وارد شده است و علت شدت و ضعفها در شیوه های محو محارب، شدت و ضعف جرم آنهاست؛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نحو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موافق با اصل است؛ یعنی هر کس هر مقدار جرم مرتکب شده باشد، باید کیفر آن را تحمل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مجازاتهای چهارگانه برای محارب، قاعده تناسب بین جرم و مجازات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و زدودن محارب از جامعه به وسیله نفی بلد، مناسب با سلب امنیت جامعه است که با کشیدن اسلحه مرتکب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و پای محارب، مناسب با سرقت و بردن مال غیر است و قتل و صلب نیز مناسب با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شدت و ضعف بین جرم و مجازات نیز رعایت تناسب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کمترین مرتبه شدت را نفی بلد دارد و شدیدترین مرتبه، قطع و صلب و یا قطع و قتل است که برای بیشترین جرم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قاعده فوق در این جمله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نوع مجازاتها با میزان و نوع جرم تناسب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به مقدار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مدرک آن، دو روایت</w:t>
      </w:r>
    </w:p>
    <w:p>
      <w:pPr>
        <w:pStyle w:val="BookText"/>
        <w:rPr/>
      </w:pPr>
      <w:r>
        <w:rPr>
          <w:rFonts w:ascii="IRNazanin" w:hAnsi="IRNazanin" w:eastAsia="IRNazanin"/>
          <w:color w:val="111111"/>
          <w:sz w:val="28"/>
          <w:sz w:val="28"/>
          <w:szCs w:val="28"/>
          <w:rtl w:val="true"/>
          <w:lang w:bidi="fa-IR"/>
        </w:rPr>
        <w:t xml:space="preserve">برید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تأیید</w:t>
      </w:r>
    </w:p>
    <w:p>
      <w:pPr>
        <w:pStyle w:val="BookText"/>
        <w:rPr/>
      </w:pPr>
      <w:r>
        <w:rPr>
          <w:rFonts w:ascii="IRNazanin" w:hAnsi="IRNazanin" w:eastAsia="IRNazanin"/>
          <w:color w:val="111111"/>
          <w:sz w:val="28"/>
          <w:sz w:val="28"/>
          <w:szCs w:val="28"/>
          <w:rtl w:val="true"/>
          <w:lang w:bidi="fa-IR"/>
        </w:rPr>
        <w:t>می شود؛ زیرا محاربه یک عمل مجرمانه با چهارچوب خاصی نیست، بلکه جنایات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متعددی در قالب محاربه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تنها مردم را ترسانده باشد یا مال هم برده و علاوه بر آنها، قتل نفس هم کرده باشد و هر یک از اینها نیز خود درجات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ترساندن مردم از یک نفر شروع می شود و ممکن است به </w:t>
      </w:r>
      <w:bookmarkStart w:id="247" w:name="pg6894_74562"/>
    </w:p>
    <w:p>
      <w:pPr>
        <w:pStyle w:val="BookText"/>
        <w:rPr/>
      </w:pPr>
      <w:bookmarkEnd w:id="247"/>
      <w:r>
        <w:rPr>
          <w:rFonts w:ascii="IRNazanin" w:hAnsi="IRNazanin" w:eastAsia="IRNazanin"/>
          <w:color w:val="111111"/>
          <w:sz w:val="28"/>
          <w:sz w:val="28"/>
          <w:szCs w:val="28"/>
          <w:rtl w:val="true"/>
          <w:lang w:bidi="fa-IR"/>
        </w:rPr>
        <w:t>هزاران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نفی هم به همین صورت متفاوت است؛ حتی ممکن است به درجه اعدام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بردن مال غیر و قتل نیز می تواند دامنه وسیعی داشته باشد و حتی ممکن است</w:t>
      </w:r>
    </w:p>
    <w:p>
      <w:pPr>
        <w:pStyle w:val="BookText"/>
        <w:rPr/>
      </w:pPr>
      <w:r>
        <w:rPr>
          <w:rFonts w:ascii="IRNazanin" w:hAnsi="IRNazanin" w:eastAsia="IRNazanin"/>
          <w:color w:val="111111"/>
          <w:sz w:val="28"/>
          <w:sz w:val="28"/>
          <w:szCs w:val="28"/>
          <w:rtl w:val="true"/>
          <w:lang w:bidi="fa-IR"/>
        </w:rPr>
        <w:t>جرایم دیگری مثل زنای به عنف و غیره مرتکب شده باشد و قاعده اولیه نیز این است که مکافات تمام جرایم ارتکابی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مجازات قتل به شیوه معمول یا مشابه با هم تداخل می کنند، والا باید به صورتی اعمال شود که عنوان موضوع دیگری را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محارب مردم را ترسانده، مال برده، قتل کرده و زنای غیر محصن هم مرتکب شده است، اول باید جلد شود، سپس پا و دست او قطع و آنگاه صلب شود و یا با بریدن پا و دست رها شود تا هلاک گردد و اگر اشکال شود که شما به روایاتی اشاره کردید که مجازات بردن مال و قتل به سه یا چهار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صلب، قطع و صلب و قطع و قتل و قتل یا صلب وارد شده است و چگونه بین آنها جمع می کنید؟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و پا شیوه قتلی است که پیامبر صلی الله علیه واله نیز در قتل محاربين بنی ضبه از همین شیوه استفاده نموده است؛ چنانکه بدون شک، صلب شیوه قتل است و اگر چنین است، چه اشکالی دارد بر قطع و صلب به لحاظ نتیجه، اطلاق قتل شود؛ زیرا این اطلاق، معقول و معمول است و این جاست که یکی دیگر از اختلافات بین روایات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مجازات به مقدار جنایت است و امام و حاکم در مقام حکم، میزان آن را</w:t>
      </w:r>
    </w:p>
    <w:p>
      <w:pPr>
        <w:pStyle w:val="BookText"/>
        <w:rPr/>
      </w:pPr>
      <w:r>
        <w:rPr>
          <w:rFonts w:ascii="IRNazanin" w:hAnsi="IRNazanin" w:eastAsia="IRNazanin"/>
          <w:color w:val="111111"/>
          <w:sz w:val="28"/>
          <w:sz w:val="28"/>
          <w:szCs w:val="28"/>
          <w:rtl w:val="true"/>
          <w:lang w:bidi="fa-IR"/>
        </w:rPr>
        <w:t>تشخیص خواهد داد؛ دلیل آن نیز دو روایت مزبور، اصل عدالت و قاعده تناسب بین جرم و مجازات است</w:t>
      </w:r>
      <w:r>
        <w:rPr>
          <w:rFonts w:eastAsia="IRNazanin" w:cs="IRNazanin"/>
          <w:color w:val="111111"/>
          <w:sz w:val="28"/>
          <w:szCs w:val="28"/>
          <w:rtl w:val="true"/>
          <w:lang w:bidi="fa-IR"/>
        </w:rPr>
        <w:t>.</w:t>
      </w:r>
    </w:p>
    <w:p>
      <w:pPr>
        <w:pStyle w:val="Heading6"/>
        <w:numPr>
          <w:ilvl w:val="5"/>
          <w:numId w:val="1"/>
        </w:numPr>
        <w:rPr/>
      </w:pPr>
      <w:bookmarkStart w:id="248" w:name="__RefHeading___Toc1440410_372815092"/>
      <w:bookmarkStart w:id="249" w:name="_Toc91"/>
      <w:bookmarkEnd w:id="248"/>
      <w:r>
        <w:rPr>
          <w:rtl w:val="true"/>
        </w:rPr>
        <w:t>ب</w:t>
      </w:r>
      <w:r>
        <w:rPr>
          <w:rtl w:val="true"/>
        </w:rPr>
        <w:t xml:space="preserve">) </w:t>
      </w:r>
      <w:r>
        <w:rPr>
          <w:rtl w:val="true"/>
        </w:rPr>
        <w:t>اعدام محارب</w:t>
      </w:r>
      <w:r>
        <w:rPr>
          <w:rtl w:val="true"/>
        </w:rPr>
        <w:t>:</w:t>
      </w:r>
      <w:bookmarkEnd w:id="249"/>
    </w:p>
    <w:p>
      <w:pPr>
        <w:pStyle w:val="BookText"/>
        <w:rPr/>
      </w:pPr>
      <w:r>
        <w:rPr>
          <w:rFonts w:ascii="IRNazanin" w:hAnsi="IRNazanin" w:eastAsia="IRNazanin"/>
          <w:color w:val="111111"/>
          <w:sz w:val="28"/>
          <w:sz w:val="28"/>
          <w:szCs w:val="28"/>
          <w:rtl w:val="true"/>
          <w:lang w:bidi="fa-IR"/>
        </w:rPr>
        <w:t xml:space="preserve">ممکن است بین روایات، این گونه جمع کنیم که اصولا مجازات محارب، مطلقا اعدام است، اما شیوه آن به یکی از طرق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دست و پا، صلب، قتل و نفی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روشن است که صلب یکی از شیوه های قتل محارب است، قطع </w:t>
      </w:r>
    </w:p>
    <w:p>
      <w:pPr>
        <w:pStyle w:val="BookText"/>
        <w:rPr/>
      </w:pPr>
      <w:r>
        <w:rPr>
          <w:rFonts w:ascii="IRNazanin" w:hAnsi="IRNazanin" w:eastAsia="IRNazanin"/>
          <w:color w:val="111111"/>
          <w:sz w:val="28"/>
          <w:sz w:val="28"/>
          <w:szCs w:val="28"/>
          <w:rtl w:val="true"/>
          <w:lang w:bidi="fa-IR"/>
        </w:rPr>
        <w:t xml:space="preserve">دست و پا نیز باید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خون باشد تا بر اثر خونریزی، محارب به هلاکت برسد که پیامبر صلی الله علیه واله همین شیوه را انتخاب نموده است و آخرین شیوه قتل، نفی از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ينفوا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روایاتی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ينفي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مطابق 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از همه، روایت صدوق و عبدالله بن طلحه است که در روایت اخیر تصریح میکند نفى محارب مثل سایر نفيها نیست، بلکه باید در دریا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اصل معنای نفی، اعدام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بنابراین، روایاتی که به نفی بلد محارب تصریح نموده است </w:t>
      </w:r>
      <w:r>
        <w:rPr>
          <w:rStyle w:val="FootnoteAnchor"/>
          <w:rtl w:val="true"/>
        </w:rPr>
        <w:footnoteReference w:id="196"/>
      </w:r>
      <w:r>
        <w:rPr>
          <w:rFonts w:ascii="IRNazanin" w:hAnsi="IRNazanin" w:eastAsia="IRNazanin"/>
          <w:color w:val="111111"/>
          <w:sz w:val="28"/>
          <w:sz w:val="28"/>
          <w:szCs w:val="28"/>
          <w:rtl w:val="true"/>
          <w:lang w:bidi="fa-IR"/>
        </w:rPr>
        <w:t xml:space="preserve">، با معنای لغوی نفی و روایت صدوق و عبدالله بن طلحه معارضه می کند و روایات دسته دوم موافق با کتاب است که یکی از مرجحات مسلم است و در سایر روایات، یا تصریح بر نفی بلد نشده است و یا صراحت در نفی محارب ندارد، بلکه ممکن است مربوط به سارق بعد از اجرای حد </w:t>
      </w:r>
      <w:r>
        <w:rPr>
          <w:rStyle w:val="FootnoteAnchor"/>
          <w:rtl w:val="true"/>
        </w:rPr>
        <w:footnoteReference w:id="197"/>
      </w:r>
      <w:r>
        <w:rPr>
          <w:rFonts w:ascii="IRNazanin" w:hAnsi="IRNazanin" w:eastAsia="IRNazanin"/>
          <w:color w:val="111111"/>
          <w:sz w:val="28"/>
          <w:sz w:val="28"/>
          <w:szCs w:val="28"/>
          <w:rtl w:val="true"/>
          <w:lang w:bidi="fa-IR"/>
        </w:rPr>
        <w:t xml:space="preserve">و یا زانی </w:t>
      </w:r>
      <w:r>
        <w:rPr>
          <w:rStyle w:val="FootnoteAnchor"/>
          <w:rtl w:val="true"/>
        </w:rPr>
        <w:footnoteReference w:id="19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شیوه های مختلف قتل محارب، رعایت تناسب بین جرم و مجازات از حيث</w:t>
      </w:r>
    </w:p>
    <w:p>
      <w:pPr>
        <w:pStyle w:val="BookText"/>
        <w:rPr/>
      </w:pPr>
      <w:r>
        <w:rPr>
          <w:rFonts w:ascii="IRNazanin" w:hAnsi="IRNazanin" w:eastAsia="IRNazanin"/>
          <w:color w:val="111111"/>
          <w:sz w:val="28"/>
          <w:sz w:val="28"/>
          <w:szCs w:val="28"/>
          <w:rtl w:val="true"/>
          <w:lang w:bidi="fa-IR"/>
        </w:rPr>
        <w:t xml:space="preserve">نوع و شدت است که تشخیص آن با امام است و دلیل تناسب نیز روایت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على نحو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خثعمي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لكن به قرینه خبر خثعمی و به علت این که نقل کافی از اتقان بیشتری برخوردار است،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منافاتی با معنایی که ما کردیم،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دو شیوه فوق برای اعمال مجازات محارب و جمع بین روایات، محتمل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اما شیوه اول که مجازات به مقدار جنایت است، هم با روایات سازگار است و بین روایات جمع خواهد شد و هم با اصل و روایات و آیات دیگر موافق است که هر کس مرتکب جرمی شود، باید مجازات آن را تحمل کند؛ مگر دلیل خاصی باشد که بین بعضی از مجازاتها تداخل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شیوۂ اول، مورد قبول نگارنده است</w:t>
      </w:r>
      <w:r>
        <w:rPr>
          <w:rFonts w:eastAsia="IRNazanin" w:cs="IRNazanin"/>
          <w:color w:val="111111"/>
          <w:sz w:val="28"/>
          <w:szCs w:val="28"/>
          <w:rtl w:val="true"/>
          <w:lang w:bidi="fa-IR"/>
        </w:rPr>
        <w:t xml:space="preserve">. </w:t>
      </w:r>
      <w:bookmarkStart w:id="250" w:name="pg6894_74564"/>
    </w:p>
    <w:p>
      <w:pPr>
        <w:pStyle w:val="Heading5"/>
        <w:numPr>
          <w:ilvl w:val="4"/>
          <w:numId w:val="1"/>
        </w:numPr>
        <w:rPr/>
      </w:pPr>
      <w:bookmarkStart w:id="251" w:name="__RefHeading___Toc1440412_372815092"/>
      <w:bookmarkStart w:id="252" w:name="_Toc92"/>
      <w:bookmarkEnd w:id="250"/>
      <w:bookmarkEnd w:id="251"/>
      <w:r>
        <w:rPr>
          <w:rtl w:val="true"/>
        </w:rPr>
        <w:t>افساد فی الارض</w:t>
      </w:r>
      <w:bookmarkEnd w:id="252"/>
    </w:p>
    <w:p>
      <w:pPr>
        <w:pStyle w:val="Heading6"/>
        <w:numPr>
          <w:ilvl w:val="5"/>
          <w:numId w:val="1"/>
        </w:numPr>
        <w:rPr/>
      </w:pPr>
      <w:bookmarkStart w:id="253" w:name="__RefHeading___Toc1440414_372815092"/>
      <w:bookmarkStart w:id="254" w:name="_Toc93"/>
      <w:bookmarkEnd w:id="253"/>
      <w:r>
        <w:rPr>
          <w:rtl w:val="true"/>
        </w:rPr>
        <w:t>فساد در لغت</w:t>
      </w:r>
      <w:bookmarkEnd w:id="254"/>
    </w:p>
    <w:p>
      <w:pPr>
        <w:pStyle w:val="BookText"/>
        <w:rPr/>
      </w:pPr>
      <w:r>
        <w:rPr>
          <w:rFonts w:ascii="IRNazanin" w:hAnsi="IRNazanin" w:eastAsia="IRNazanin"/>
          <w:color w:val="111111"/>
          <w:sz w:val="28"/>
          <w:sz w:val="28"/>
          <w:szCs w:val="28"/>
          <w:rtl w:val="true"/>
          <w:lang w:bidi="fa-IR"/>
        </w:rPr>
        <w:t xml:space="preserve">فساد در لغت، مقابل صلاح است و معنای فساد هر عمل یا چیزی، متناسب با آن عمل یا شیء است؛ مثلا فساد گوشت یا شیر به معنای تعفن است و فساد امور به معنای خلل و اضطراب است و شاید به همین معنی است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مفسده به معنای ضرر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نفس، بدن و اشیا نیز به کار می رود و به معنای خروج از اعتدال است؛ چه کم باشد یا زیاد</w:t>
      </w:r>
      <w:r>
        <w:rPr>
          <w:rFonts w:eastAsia="IRNazanin" w:cs="IRNazanin"/>
          <w:color w:val="111111"/>
          <w:sz w:val="28"/>
          <w:szCs w:val="28"/>
          <w:rtl w:val="true"/>
          <w:lang w:bidi="fa-IR"/>
        </w:rPr>
        <w:t xml:space="preserve">. </w:t>
      </w:r>
      <w:r>
        <w:rPr>
          <w:rStyle w:val="FootnoteAnchor"/>
          <w:rtl w:val="true"/>
        </w:rPr>
        <w:footnoteReference w:id="200"/>
      </w:r>
    </w:p>
    <w:p>
      <w:pPr>
        <w:pStyle w:val="Heading6"/>
        <w:numPr>
          <w:ilvl w:val="5"/>
          <w:numId w:val="1"/>
        </w:numPr>
        <w:rPr/>
      </w:pPr>
      <w:bookmarkStart w:id="255" w:name="__RefHeading___Toc1440416_372815092"/>
      <w:bookmarkStart w:id="256" w:name="_Toc94"/>
      <w:bookmarkEnd w:id="255"/>
      <w:r>
        <w:rPr>
          <w:rtl w:val="true"/>
        </w:rPr>
        <w:t>فساد و صلاح در آیات</w:t>
      </w:r>
      <w:bookmarkEnd w:id="256"/>
    </w:p>
    <w:p>
      <w:pPr>
        <w:pStyle w:val="BookText"/>
        <w:rPr/>
      </w:pPr>
      <w:r>
        <w:rPr>
          <w:rFonts w:ascii="IRNazanin" w:hAnsi="IRNazanin" w:eastAsia="IRNazanin"/>
          <w:color w:val="111111"/>
          <w:sz w:val="28"/>
          <w:sz w:val="28"/>
          <w:szCs w:val="28"/>
          <w:rtl w:val="true"/>
          <w:lang w:bidi="fa-IR"/>
        </w:rPr>
        <w:t>در آیات شریفه، فساد و صلاح نیز در مقابل هم به کار رفته است که به چند نمونه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الْمَدِينَةِ تِسْعَةُ رَهْطٍ يُفْسِدُونَ وَ لا يُصْلِحُونَ </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و در شهر قوم صالح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رؤسای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بودند که دائم در زمین به فساد می پرداختند و هرگز قدمی به صلاح خلق برنمی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تُطِيعُوا أَمْرَ الْمُسْرِفِينَ الَّذِينَ يُفْسِدُونَ فِي الارض وَ لا يُصْلِحُونَ </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و از رفتار رؤسای مسرف و ستمگر پیروی نکنید که همه نوع فساد کرده اند و به اصلاح نمی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فِي الْأَرْضِ بَعْدَ اصلاحها </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هرگز در روی زمین پس از آن که کار آن به امر حق و شرع رسول حق، نظم و صلاح یافت، به فساد و تباهکاری برنخیزید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قِيلَ لَهُمْ لا تُفْسِدُوا فِي الْأَرْضِ قالُوا أَنَّما نَحْنُ مُصْلِحُونَ الَّا أَنَّهُمْ هُمُ الْمُفْسِدُونَ وَ </w:t>
      </w:r>
      <w:bookmarkStart w:id="257" w:name="pg6894_74565"/>
    </w:p>
    <w:p>
      <w:pPr>
        <w:pStyle w:val="BookText"/>
        <w:rPr/>
      </w:pPr>
      <w:bookmarkEnd w:id="257"/>
      <w:r>
        <w:rPr>
          <w:rFonts w:ascii="Amiri" w:hAnsi="Amiri" w:eastAsia="Amiri" w:cs="Amiri"/>
          <w:color w:val="111111"/>
          <w:sz w:val="28"/>
          <w:sz w:val="28"/>
          <w:szCs w:val="28"/>
          <w:rtl w:val="true"/>
          <w:lang w:bidi="ar-SA"/>
        </w:rPr>
        <w:t>لكن لا يشعرون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 و چون آنان را گویند که در زمین فساد مکنید، پاسخ دهند که تنها ما کار به صلاح کنیم، آگاه باشید که ایشان سخت مفسدند و مخرب، ولی خود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صلاح و فساد در مقابل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دیگری بر معصیتهایی همچون قتل </w:t>
      </w:r>
      <w:r>
        <w:rPr>
          <w:rStyle w:val="FootnoteAnchor"/>
          <w:rtl w:val="true"/>
        </w:rPr>
        <w:footnoteReference w:id="205"/>
      </w:r>
      <w:r>
        <w:rPr>
          <w:rFonts w:ascii="IRNazanin" w:hAnsi="IRNazanin" w:eastAsia="IRNazanin"/>
          <w:color w:val="111111"/>
          <w:sz w:val="28"/>
          <w:sz w:val="28"/>
          <w:szCs w:val="28"/>
          <w:rtl w:val="true"/>
          <w:lang w:bidi="fa-IR"/>
        </w:rPr>
        <w:t xml:space="preserve">، تخریب شهرها توسط پادشاهان </w:t>
      </w:r>
      <w:r>
        <w:rPr>
          <w:rStyle w:val="FootnoteAnchor"/>
          <w:rtl w:val="true"/>
        </w:rPr>
        <w:footnoteReference w:id="206"/>
      </w:r>
      <w:r>
        <w:rPr>
          <w:rFonts w:ascii="IRNazanin" w:hAnsi="IRNazanin" w:eastAsia="IRNazanin"/>
          <w:color w:val="111111"/>
          <w:sz w:val="28"/>
          <w:sz w:val="28"/>
          <w:szCs w:val="28"/>
          <w:rtl w:val="true"/>
          <w:lang w:bidi="fa-IR"/>
        </w:rPr>
        <w:t xml:space="preserve">، سرقت </w:t>
      </w:r>
      <w:r>
        <w:rPr>
          <w:rStyle w:val="FootnoteAnchor"/>
          <w:rtl w:val="true"/>
        </w:rPr>
        <w:footnoteReference w:id="207"/>
      </w:r>
      <w:r>
        <w:rPr>
          <w:rFonts w:ascii="IRNazanin" w:hAnsi="IRNazanin" w:eastAsia="IRNazanin"/>
          <w:color w:val="111111"/>
          <w:sz w:val="28"/>
          <w:sz w:val="28"/>
          <w:szCs w:val="28"/>
          <w:rtl w:val="true"/>
          <w:lang w:bidi="fa-IR"/>
        </w:rPr>
        <w:t xml:space="preserve">و عدم تولی، قطع رحم، نقض عهد با خدا و سد راه خدا </w:t>
      </w:r>
      <w:r>
        <w:rPr>
          <w:rStyle w:val="FootnoteAnchor"/>
          <w:rtl w:val="true"/>
        </w:rPr>
        <w:footnoteReference w:id="208"/>
      </w:r>
      <w:r>
        <w:rPr>
          <w:rFonts w:ascii="IRNazanin" w:hAnsi="IRNazanin" w:eastAsia="IRNazanin"/>
          <w:color w:val="111111"/>
          <w:sz w:val="28"/>
          <w:sz w:val="28"/>
          <w:szCs w:val="28"/>
          <w:rtl w:val="true"/>
          <w:lang w:bidi="fa-IR"/>
        </w:rPr>
        <w:t>اطلاق فساد شده است</w:t>
      </w:r>
      <w:r>
        <w:rPr>
          <w:rFonts w:eastAsia="IRNazanin" w:cs="IRNazanin"/>
          <w:color w:val="111111"/>
          <w:sz w:val="28"/>
          <w:szCs w:val="28"/>
          <w:rtl w:val="true"/>
          <w:lang w:bidi="fa-IR"/>
        </w:rPr>
        <w:t>.</w:t>
      </w:r>
    </w:p>
    <w:p>
      <w:pPr>
        <w:pStyle w:val="Heading6"/>
        <w:numPr>
          <w:ilvl w:val="5"/>
          <w:numId w:val="1"/>
        </w:numPr>
        <w:rPr/>
      </w:pPr>
      <w:bookmarkStart w:id="258" w:name="__RefHeading___Toc1440418_372815092"/>
      <w:bookmarkStart w:id="259" w:name="_Toc95"/>
      <w:bookmarkEnd w:id="258"/>
      <w:r>
        <w:rPr>
          <w:rtl w:val="true"/>
        </w:rPr>
        <w:t>فساد در روایات</w:t>
      </w:r>
      <w:bookmarkEnd w:id="259"/>
    </w:p>
    <w:p>
      <w:pPr>
        <w:pStyle w:val="BookText"/>
        <w:rPr/>
      </w:pPr>
      <w:r>
        <w:rPr>
          <w:rFonts w:ascii="IRNazanin" w:hAnsi="IRNazanin" w:eastAsia="IRNazanin"/>
          <w:color w:val="111111"/>
          <w:sz w:val="28"/>
          <w:sz w:val="28"/>
          <w:szCs w:val="28"/>
          <w:rtl w:val="true"/>
          <w:lang w:bidi="fa-IR"/>
        </w:rPr>
        <w:t>در روایات متعددی از معصیتهای مختلف، تعبیر به فساد شده است که به نمونه ای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مال دارد، بر حذر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اعطای بدون حق، تبذیر و اسراف </w:t>
      </w:r>
      <w:r>
        <w:rPr>
          <w:rStyle w:val="FootnoteAnchor"/>
          <w:rtl w:val="true"/>
        </w:rPr>
        <w:footnoteReference w:id="209"/>
      </w:r>
      <w:r>
        <w:rPr>
          <w:rFonts w:ascii="IRNazanin" w:hAnsi="IRNazanin" w:eastAsia="IRNazanin"/>
          <w:color w:val="111111"/>
          <w:sz w:val="28"/>
          <w:sz w:val="28"/>
          <w:szCs w:val="28"/>
          <w:rtl w:val="true"/>
          <w:lang w:bidi="fa-IR"/>
        </w:rPr>
        <w:t xml:space="preserve">و ضایع کردن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زنا حرام است، چون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از بین رفتن نسب، ترک تربیت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و امثال آنهاست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هر امری یا شیئی که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حرام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غصب اموال، حرام است؛ به دلیل وجود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سرقت چون فساد است، حرام می باشد</w:t>
      </w:r>
      <w:r>
        <w:rPr>
          <w:rFonts w:eastAsia="IRNazanin" w:cs="IRNazanin"/>
          <w:color w:val="111111"/>
          <w:sz w:val="28"/>
          <w:szCs w:val="28"/>
          <w:rtl w:val="true"/>
          <w:lang w:bidi="fa-IR"/>
        </w:rPr>
        <w:t xml:space="preserve">. </w:t>
      </w:r>
      <w:r>
        <w:rPr>
          <w:rStyle w:val="FootnoteAnchor"/>
          <w:rtl w:val="true"/>
        </w:rPr>
        <w:footnoteReference w:id="214"/>
      </w:r>
    </w:p>
    <w:p>
      <w:pPr>
        <w:pStyle w:val="Heading6"/>
        <w:numPr>
          <w:ilvl w:val="5"/>
          <w:numId w:val="1"/>
        </w:numPr>
        <w:rPr/>
      </w:pPr>
      <w:bookmarkStart w:id="260" w:name="__RefHeading___Toc1440420_372815092"/>
      <w:bookmarkStart w:id="261" w:name="_Toc96"/>
      <w:bookmarkEnd w:id="260"/>
      <w:r>
        <w:rPr>
          <w:rtl w:val="true"/>
        </w:rPr>
        <w:t>نقد و بررسی نظریه افساد فی الارض</w:t>
      </w:r>
      <w:bookmarkEnd w:id="26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لغت، آیات شریفه و روایات،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فساد و صلاح، عام است و هر </w:t>
      </w:r>
    </w:p>
    <w:p>
      <w:pPr>
        <w:pStyle w:val="BookText"/>
        <w:rPr/>
      </w:pPr>
      <w:r>
        <w:rPr>
          <w:rFonts w:ascii="IRNazanin" w:hAnsi="IRNazanin" w:eastAsia="IRNazanin"/>
          <w:color w:val="111111"/>
          <w:sz w:val="28"/>
          <w:sz w:val="28"/>
          <w:szCs w:val="28"/>
          <w:rtl w:val="true"/>
          <w:lang w:bidi="fa-IR"/>
        </w:rPr>
        <w:t>کس عمل صالح انجام دهد، صالح و اگر نفع آن به دیگران برسد، مصلح است و به</w:t>
      </w:r>
    </w:p>
    <w:p>
      <w:pPr>
        <w:pStyle w:val="BookText"/>
        <w:rPr/>
      </w:pPr>
      <w:r>
        <w:rPr>
          <w:rFonts w:ascii="IRNazanin" w:hAnsi="IRNazanin" w:eastAsia="IRNazanin"/>
          <w:color w:val="111111"/>
          <w:sz w:val="28"/>
          <w:sz w:val="28"/>
          <w:szCs w:val="28"/>
          <w:rtl w:val="true"/>
          <w:lang w:bidi="fa-IR"/>
        </w:rPr>
        <w:t>عکس، هر کس فساد انجام دهد، فاسد و اگر ضررش به دیگران برسد، مفسد است و</w:t>
      </w:r>
    </w:p>
    <w:p>
      <w:pPr>
        <w:pStyle w:val="BookText"/>
        <w:rPr/>
      </w:pPr>
      <w:r>
        <w:rPr>
          <w:rFonts w:ascii="IRNazanin" w:hAnsi="IRNazanin" w:eastAsia="IRNazanin"/>
          <w:color w:val="111111"/>
          <w:sz w:val="28"/>
          <w:sz w:val="28"/>
          <w:szCs w:val="28"/>
          <w:rtl w:val="true"/>
          <w:lang w:bidi="fa-IR"/>
        </w:rPr>
        <w:t>شناخت نوع صلاح و فساد و نیز میزان پاداش و مجازات مرتکب آن دو، مبتنی بر نوع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ممکن نیست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عام، بدون این که اشاره به جرم خاصی باشد، مجازات خاصی در نظر گرفت؛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در واقع، حکمت و فلسفه حرمتهاست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يسعون في الأرض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محاربه که در واقع عام بعد از خاص است، موضوع دیگری را برای مجازاتهای چهارگانه و یا مجازات خاصی بیان نمی کند، بلکه جمله مزبور بیانگر این است که مجازاتهای یاد شده در آیه محاربه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اولیای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به ناحق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می گویند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منصوب به حال، مصدریه یا علت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سعيكم كان فسادا</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 فقها نیز در تعریف محاربه، قيودی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وجه يتحقق به صدق ارادة الفساد في الأرض</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لاخافة الناس المسلمین</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يحرم اخافته</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را اضافه کرده اند که تمام آنها بیان دیگر فساد یا حرمت عمل است و مرحوم صاحب جواهر به دنبال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 يتحقق صدق ارادة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با خدا و رسول، صادق است بر ترساندن هر کس که خداوند ترساندن او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سرقت کفن،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قطع دست از باب فساد است، اجتهاد در مقابل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در زمین به عنوان یک جرم خاص که مجازات آن، قطع دست یا اعدام باشد،</w:t>
      </w:r>
    </w:p>
    <w:p>
      <w:pPr>
        <w:pStyle w:val="BookText"/>
        <w:rPr/>
      </w:pPr>
      <w:r>
        <w:rPr>
          <w:rFonts w:ascii="IRNazanin" w:hAnsi="IRNazanin" w:eastAsia="IRNazanin"/>
          <w:color w:val="111111"/>
          <w:sz w:val="28"/>
          <w:sz w:val="28"/>
          <w:szCs w:val="28"/>
          <w:rtl w:val="true"/>
          <w:lang w:bidi="fa-IR"/>
        </w:rPr>
        <w:t xml:space="preserve">در شرع مقدس شناخته نشده و از اصل، منتفی است، بلکه تمام اعمال حرام طبق آیات، روایات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تابعيت احكام از مصالح و 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مضر و فساد در زمین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موارد یاد شده که بعضی گفته اند مجازات از باب فساد است، نص </w:t>
      </w:r>
    </w:p>
    <w:p>
      <w:pPr>
        <w:pStyle w:val="BookText"/>
        <w:rPr/>
      </w:pPr>
      <w:r>
        <w:rPr>
          <w:rFonts w:ascii="IRNazanin" w:hAnsi="IRNazanin" w:eastAsia="IRNazanin"/>
          <w:color w:val="111111"/>
          <w:sz w:val="28"/>
          <w:sz w:val="28"/>
          <w:szCs w:val="28"/>
          <w:rtl w:val="true"/>
          <w:lang w:bidi="fa-IR"/>
        </w:rPr>
        <w:t>خاص بر آن مجازات وجود دارد و این که بگوییم این مجازات که در روایات آمده است، به دلیل این که با قواعد سازگار نیست، از باب فساد است، چیزی را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خوانساری در شرح کلام محقق در مختصر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حرا فباعه قطع لفساده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قطع دست سارق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حد نباشد، بلکه از باب فساد باشد، اثر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کبرای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موجب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در مانحن فیه برای این است که بيع حر مثل سرقت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با توجه به آنچه درباره مفهوم فساد آوردیم، نادرست بودن این اعتقاد که حکم مفسد في الارض اعدام است و نیز گفته بعضی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رفتاری در زمین ایجاد فساد نماید، جرم مستلزم حد قتل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روشن می شود؛ زیرا فساد عام است و هر فسادی موجب قتل نیست و گزینش بعضی از جرایم به عنوان فسادی که موجب قتل است، بدون میزان و دلیل و سلیقه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مشارالیه به دنبال اظهار نظر فوق، به مفهوم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أَوْ فَسادٍ فِي الارضِ </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استدلال نموده،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مفهوم آیه استنباط می شود که فساد في الأرض موجب قتل است و نوع مجازات قتل مانند قصاص صورت می گیرد و لزومی ندارد که مقررات محاربان در این جا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فساد في الأرض را از جرایم مستلزم حد ندانیم و جرم تعزیری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نیست که کیفر مفسد از باب تعزیر، همان قتل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جرایم بزرگی مثل قاچاق مواد مخدر، اشاعه فرهنگ ابتذال، هرزگی و تشکیل باندهای فساد و فحشا و امثالهم که در ردیف هیچ یک از جرایم منصوص قرار نمی گیرد، از باب فساد در زمین، قتل است</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صحت و سقم قتل تعزیری و مبهم بودن عناوین اشاعه فرهنگ ابتذال، هرزگی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نویسنده فوق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مفهوم فساد، عام است، با چه میزانی چند مورد را انتخاب نمودید و معیار شما برای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ما معتقدیم که پاسخ صحیحی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گوییم آیه مورد</w:t>
      </w:r>
    </w:p>
    <w:p>
      <w:pPr>
        <w:pStyle w:val="BookText"/>
        <w:rPr/>
      </w:pPr>
      <w:r>
        <w:rPr>
          <w:rFonts w:ascii="IRNazanin" w:hAnsi="IRNazanin" w:eastAsia="IRNazanin"/>
          <w:color w:val="111111"/>
          <w:sz w:val="28"/>
          <w:sz w:val="28"/>
          <w:szCs w:val="28"/>
          <w:rtl w:val="true"/>
          <w:lang w:bidi="fa-IR"/>
        </w:rPr>
        <w:t>استدلال، مجمل است و باید حمل بر یکی از مفاسدی شود که با ادله خاصه مهدورالدم بودن مرتکب آن ثابت شده است و از آن جا که شیوه قتل مهدورالدم در جرایم گوناگون، مختلف است، نوع جرم نیز باید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صاحب مسالك الأفهام بعد از تصریح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فساد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است؛ زیرا هر فسادی موجب قتل نیست </w:t>
      </w:r>
      <w:r>
        <w:rPr>
          <w:rStyle w:val="FootnoteAnchor"/>
          <w:rtl w:val="true"/>
        </w:rPr>
        <w:footnoteReference w:id="224"/>
      </w:r>
      <w:r>
        <w:rPr>
          <w:rFonts w:ascii="IRNazanin" w:hAnsi="IRNazanin" w:eastAsia="IRNazanin"/>
          <w:color w:val="111111"/>
          <w:sz w:val="28"/>
          <w:sz w:val="28"/>
          <w:szCs w:val="28"/>
          <w:rtl w:val="true"/>
          <w:lang w:bidi="fa-IR"/>
        </w:rPr>
        <w:t>، آن را حمل بر شرک و محاربه نموده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شیعه و سنی نیز آیه را بر مهدورالدم حمل نموده اند؛ با این تفاوت که مفسران شیعه بر محاربه </w:t>
      </w:r>
      <w:r>
        <w:rPr>
          <w:rStyle w:val="FootnoteAnchor"/>
          <w:rtl w:val="true"/>
        </w:rPr>
        <w:footnoteReference w:id="225"/>
      </w:r>
      <w:r>
        <w:rPr>
          <w:rFonts w:ascii="Amiri" w:hAnsi="Amiri" w:eastAsia="Amiri" w:cs="Amiri"/>
          <w:color w:val="111111"/>
          <w:sz w:val="28"/>
          <w:sz w:val="28"/>
          <w:szCs w:val="28"/>
          <w:rtl w:val="true"/>
          <w:lang w:bidi="ar-SA"/>
        </w:rPr>
        <w:t xml:space="preserve">و اهل سنت بر ارتداد، قطع طريق و خروج عليه امام </w:t>
      </w:r>
      <w:r>
        <w:rPr>
          <w:rStyle w:val="FootnoteAnchor"/>
          <w:rtl w:val="true"/>
        </w:rPr>
        <w:footnoteReference w:id="226"/>
      </w:r>
      <w:r>
        <w:rPr>
          <w:rFonts w:ascii="IRNazanin" w:hAnsi="IRNazanin" w:eastAsia="IRNazanin"/>
          <w:color w:val="111111"/>
          <w:sz w:val="28"/>
          <w:sz w:val="28"/>
          <w:szCs w:val="28"/>
          <w:rtl w:val="true"/>
          <w:lang w:bidi="fa-IR"/>
        </w:rPr>
        <w:t xml:space="preserve">حمل نموده اند و احدی برداشت نویسنده فوق را تأیید نکرده است و جهت چنین حملی این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فساد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جزاء الذين يحاربون الله و رسوله و يسعون في الارض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مفسران شیعه بر این امر تصریح کرده اند که مراد از فساد در آیه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محاربه است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از تفاسیر اهل سنت نیز اشاره داشتن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استفاده می شود و اگر مفسران اهل سنت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فساد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قطع طريق و محاربه، شرک و رده را هم گفته اند، از این جهت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آنها مورد اختلاف است که مراد از آن، اهل شرک است یا رده و یا قطع طريق؟ بنابراین، در اصل اشاره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شک نیست و مورد اتفاق شیعه و سنی است، اما معنای آن، بسته به تفسیر 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محاربه است و معنای این آیه که از نظر فقها و مفسران شیعه حمل بر محاربه شده است و فقهای اهل سنت که حمل بر قطع طريق نموده اند،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فقها و مفسران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نکته اتفاق نظر دارند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فساد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مهدورالدم است که در جای خود، مهدورالدم بودن او ثابت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مزبور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عدم تعرض فقها به عنوان مفسد في الأرض، مطابق با واقع نیست؛ زیرا فقها در موارد متعددی رفتار افراد را به خاطر ایجاد فساد، قابل مجازات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می توان موارد زیر را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ربایی، اعتیاد به قتل اهل ذمه، قطع دست در تکرار جرم کفن دزدی، در مواردی که منزل دیگری را به آتش میکشد و سایر موارد </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نسبتی که نویسنده به فقها داده است، همچون نسبتهای دیگری که به شهید </w:t>
      </w:r>
      <w:r>
        <w:rPr>
          <w:rStyle w:val="FootnoteAnchor"/>
          <w:rtl w:val="true"/>
        </w:rPr>
        <w:footnoteReference w:id="228"/>
      </w:r>
      <w:r>
        <w:rPr>
          <w:rFonts w:ascii="IRNazanin" w:hAnsi="IRNazanin" w:eastAsia="IRNazanin"/>
          <w:color w:val="111111"/>
          <w:sz w:val="28"/>
          <w:sz w:val="28"/>
          <w:szCs w:val="28"/>
          <w:rtl w:val="true"/>
          <w:lang w:bidi="fa-IR"/>
        </w:rPr>
        <w:t xml:space="preserve">و شیخ </w:t>
      </w:r>
      <w:r>
        <w:rPr>
          <w:rStyle w:val="FootnoteAnchor"/>
          <w:rtl w:val="true"/>
        </w:rPr>
        <w:footnoteReference w:id="229"/>
      </w:r>
      <w:r>
        <w:rPr>
          <w:rFonts w:ascii="IRNazanin" w:hAnsi="IRNazanin" w:eastAsia="IRNazanin"/>
          <w:color w:val="111111"/>
          <w:sz w:val="28"/>
          <w:sz w:val="28"/>
          <w:szCs w:val="28"/>
          <w:rtl w:val="true"/>
          <w:lang w:bidi="fa-IR"/>
        </w:rPr>
        <w:t xml:space="preserve">داده، خلاف واقع است؛ زیرا فقها در عادت به قتل عبید </w:t>
      </w:r>
      <w:r>
        <w:rPr>
          <w:rStyle w:val="FootnoteAnchor"/>
          <w:rtl w:val="true"/>
        </w:rPr>
        <w:footnoteReference w:id="230"/>
      </w:r>
      <w:r>
        <w:rPr>
          <w:rFonts w:ascii="IRNazanin" w:hAnsi="IRNazanin" w:eastAsia="IRNazanin"/>
          <w:color w:val="111111"/>
          <w:sz w:val="28"/>
          <w:sz w:val="28"/>
          <w:szCs w:val="28"/>
          <w:rtl w:val="true"/>
          <w:lang w:bidi="fa-IR"/>
        </w:rPr>
        <w:t xml:space="preserve">، اهل ذمه و معاهد </w:t>
      </w:r>
      <w:r>
        <w:rPr>
          <w:rStyle w:val="FootnoteAnchor"/>
          <w:rtl w:val="true"/>
        </w:rPr>
        <w:footnoteReference w:id="231"/>
      </w:r>
      <w:r>
        <w:rPr>
          <w:rFonts w:ascii="IRNazanin" w:hAnsi="IRNazanin" w:eastAsia="IRNazanin"/>
          <w:color w:val="111111"/>
          <w:sz w:val="28"/>
          <w:sz w:val="28"/>
          <w:szCs w:val="28"/>
          <w:rtl w:val="true"/>
          <w:lang w:bidi="fa-IR"/>
        </w:rPr>
        <w:t xml:space="preserve">، سرقت انسان حر و فروش آن </w:t>
      </w:r>
      <w:r>
        <w:rPr>
          <w:rStyle w:val="FootnoteAnchor"/>
          <w:rtl w:val="true"/>
        </w:rPr>
        <w:footnoteReference w:id="232"/>
      </w:r>
      <w:r>
        <w:rPr>
          <w:rFonts w:ascii="IRNazanin" w:hAnsi="IRNazanin" w:eastAsia="IRNazanin"/>
          <w:color w:val="111111"/>
          <w:sz w:val="28"/>
          <w:sz w:val="28"/>
          <w:szCs w:val="28"/>
          <w:rtl w:val="true"/>
          <w:lang w:bidi="fa-IR"/>
        </w:rPr>
        <w:t xml:space="preserve">، نباش </w:t>
      </w:r>
      <w:r>
        <w:rPr>
          <w:rStyle w:val="FootnoteAnchor"/>
          <w:rtl w:val="true"/>
        </w:rPr>
        <w:footnoteReference w:id="233"/>
      </w:r>
      <w:r>
        <w:rPr>
          <w:rFonts w:ascii="IRNazanin" w:hAnsi="IRNazanin" w:eastAsia="IRNazanin"/>
          <w:color w:val="111111"/>
          <w:sz w:val="28"/>
          <w:sz w:val="28"/>
          <w:szCs w:val="28"/>
          <w:rtl w:val="true"/>
          <w:lang w:bidi="fa-IR"/>
        </w:rPr>
        <w:t xml:space="preserve">و رسول کاذب </w:t>
      </w:r>
      <w:r>
        <w:rPr>
          <w:rStyle w:val="FootnoteAnchor"/>
          <w:rtl w:val="true"/>
        </w:rPr>
        <w:footnoteReference w:id="234"/>
      </w:r>
      <w:r>
        <w:rPr>
          <w:rFonts w:ascii="IRNazanin" w:hAnsi="IRNazanin" w:eastAsia="IRNazanin"/>
          <w:color w:val="111111"/>
          <w:sz w:val="28"/>
          <w:sz w:val="28"/>
          <w:szCs w:val="28"/>
          <w:rtl w:val="true"/>
          <w:lang w:bidi="fa-IR"/>
        </w:rPr>
        <w:t xml:space="preserve">، مطابق با نص موجود </w:t>
      </w:r>
      <w:r>
        <w:rPr>
          <w:rStyle w:val="FootnoteAnchor"/>
          <w:rtl w:val="true"/>
        </w:rPr>
        <w:footnoteReference w:id="235"/>
      </w:r>
      <w:r>
        <w:rPr>
          <w:rFonts w:ascii="IRNazanin" w:hAnsi="IRNazanin" w:eastAsia="IRNazanin"/>
          <w:color w:val="111111"/>
          <w:sz w:val="28"/>
          <w:sz w:val="28"/>
          <w:szCs w:val="28"/>
          <w:rtl w:val="true"/>
          <w:lang w:bidi="fa-IR"/>
        </w:rPr>
        <w:t>، حکم به قتل یا قطع داده اند و تنها چیزی که شیخ طوسی و اتباع ایشان اضافه کرده اند، این است که این نوع مجازاتهای منصوص، از باب فساد است که البته این توجیه علاوه بر این که اجتهاد در مقابل نص است، هیچگونه ثمره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مراد از فساد در كلمات فقها، محاربه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شهید ثانی بر شیخ ایراد می کند که اگر قطع دست آدم ربا که در روایت آمده، از باب فساد باشد، نه حد سرقت، باید امام مخیر باشد بین قطع و قتل، حال آن که روایت تنها به قطع اشاره می کند </w:t>
      </w:r>
      <w:r>
        <w:rPr>
          <w:rStyle w:val="FootnoteAnchor"/>
          <w:rtl w:val="true"/>
        </w:rPr>
        <w:footnoteReference w:id="236"/>
      </w:r>
      <w:r>
        <w:rPr>
          <w:rFonts w:ascii="IRNazanin" w:hAnsi="IRNazanin" w:eastAsia="IRNazanin"/>
          <w:color w:val="111111"/>
          <w:sz w:val="28"/>
          <w:sz w:val="28"/>
          <w:szCs w:val="28"/>
          <w:rtl w:val="true"/>
          <w:lang w:bidi="fa-IR"/>
        </w:rPr>
        <w:t>و صاحب جواهر در رد شیخ و اتباع ایشان که قطع دست آدم ربا را در روایت، حمل بر فساد نموده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فرمایشات، اجتهاد در مقابل نص است </w:t>
      </w:r>
      <w:r>
        <w:rPr>
          <w:rStyle w:val="FootnoteAnchor"/>
          <w:rtl w:val="true"/>
        </w:rPr>
        <w:footnoteReference w:id="237"/>
      </w:r>
      <w:r>
        <w:rPr>
          <w:rFonts w:ascii="IRNazanin" w:hAnsi="IRNazanin" w:eastAsia="IRNazanin"/>
          <w:color w:val="111111"/>
          <w:sz w:val="28"/>
          <w:sz w:val="28"/>
          <w:szCs w:val="28"/>
          <w:rtl w:val="true"/>
          <w:lang w:bidi="fa-IR"/>
        </w:rPr>
        <w:t>و حق با صاحب جواهر است؛ زیرا نص</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آدم ربا سارق است و دستش قطع می شود و اگر شیخ بگوید از باب فساد است، نه سرقت، اجتهاد در مقابل نص است</w:t>
      </w:r>
      <w:r>
        <w:rPr>
          <w:rFonts w:eastAsia="IRNazanin" w:cs="IRNazanin"/>
          <w:color w:val="111111"/>
          <w:sz w:val="28"/>
          <w:szCs w:val="28"/>
          <w:rtl w:val="true"/>
          <w:lang w:bidi="fa-IR"/>
        </w:rPr>
        <w:t xml:space="preserve">. </w:t>
      </w:r>
      <w:bookmarkStart w:id="262" w:name="pg6894_74570"/>
    </w:p>
    <w:p>
      <w:pPr>
        <w:pStyle w:val="BookText"/>
        <w:rPr/>
      </w:pPr>
      <w:bookmarkEnd w:id="262"/>
      <w:r>
        <w:rPr>
          <w:rFonts w:ascii="IRNazanin" w:hAnsi="IRNazanin" w:eastAsia="IRNazanin"/>
          <w:color w:val="111111"/>
          <w:sz w:val="28"/>
          <w:sz w:val="28"/>
          <w:szCs w:val="28"/>
          <w:rtl w:val="true"/>
          <w:lang w:bidi="fa-IR"/>
        </w:rPr>
        <w:t>با تمام اینها، هیچ فقیهی بدون نص خاص حکم به مجازات قطع یا قتل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حکم مفسد في الأرض، قتل بود و فقها بدون نص این را پذیرفته بودند، معنی نداشت در بعضی جرایم مالی مثل رسول کاذب و آدم ربایی، مجازات مفسد، قطع دست باشد و در عادت به قتل عبید، اهل ذمه و معاهد، مجازات، قتل باشد؛ زیرا مدعای نویسنده این است که مفسد فی الارض محکوم به اعدام است و بعضی از مصادیق آن را با سلیقه خود معرفی نموده است و چه بسا بعضی از قضات که ترازوی عدالت را در دست دارند نیز با سلیقه خود، مفسد فی الارض را سنجش نموده و مجازات او را اعدام بدانند؛ در حالی که خون مسلمان یکی از امور مهم است که بیش از هر چیزی باید نسبت به آن محتاط بود</w:t>
      </w:r>
      <w:r>
        <w:rPr>
          <w:rFonts w:eastAsia="IRNazanin" w:cs="IRNazanin"/>
          <w:color w:val="111111"/>
          <w:sz w:val="28"/>
          <w:szCs w:val="28"/>
          <w:rtl w:val="true"/>
          <w:lang w:bidi="fa-IR"/>
        </w:rPr>
        <w:t>.</w:t>
      </w:r>
    </w:p>
    <w:p>
      <w:pPr>
        <w:pStyle w:val="Heading5"/>
        <w:numPr>
          <w:ilvl w:val="4"/>
          <w:numId w:val="1"/>
        </w:numPr>
        <w:rPr/>
      </w:pPr>
      <w:bookmarkStart w:id="263" w:name="__RefHeading___Toc1440422_372815092"/>
      <w:bookmarkStart w:id="264" w:name="_Toc97"/>
      <w:bookmarkEnd w:id="263"/>
      <w:r>
        <w:rPr>
          <w:rtl w:val="true"/>
        </w:rPr>
        <w:t>محاربه و افساد در قوانین کیفری جمهوری اسلامی ایران</w:t>
      </w:r>
      <w:bookmarkEnd w:id="264"/>
    </w:p>
    <w:p>
      <w:pPr>
        <w:pStyle w:val="Heading6"/>
        <w:numPr>
          <w:ilvl w:val="5"/>
          <w:numId w:val="1"/>
        </w:numPr>
        <w:rPr/>
      </w:pPr>
      <w:bookmarkStart w:id="265" w:name="__RefHeading___Toc1440424_372815092"/>
      <w:bookmarkStart w:id="266" w:name="_Toc98"/>
      <w:bookmarkEnd w:id="265"/>
      <w:r>
        <w:rPr>
          <w:rtl w:val="true"/>
        </w:rPr>
        <w:t>کلیات</w:t>
      </w:r>
      <w:bookmarkEnd w:id="266"/>
    </w:p>
    <w:p>
      <w:pPr>
        <w:pStyle w:val="BookText"/>
        <w:rPr/>
      </w:pPr>
      <w:r>
        <w:rPr>
          <w:rFonts w:ascii="IRNazanin" w:hAnsi="IRNazanin" w:eastAsia="IRNazanin"/>
          <w:color w:val="111111"/>
          <w:sz w:val="28"/>
          <w:sz w:val="28"/>
          <w:szCs w:val="28"/>
          <w:rtl w:val="true"/>
          <w:lang w:bidi="fa-IR"/>
        </w:rPr>
        <w:t>از آن جا که نظام کشور ما اسلامی است و از سویی بین فقها نسبت به حکم واقعی در بعضی مسائل کیفری همچون سایر احکام، اختلاف نظر وجود دارد و لحاظ تمام نظرات در قوانین موضوعی که در تمام کشور و نسبت به همه مردم، ساری و جاری است، ممکن نیست، وضع و تصویب قوانین باید طبق نظر مشهور و یا اکثر فقهای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غیر شرعی، ترجیح بلامرجح و یا مرجوع است که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مجازات اسلامی مشتمل بر پنج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حدود، قصاص، دیات 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تعزیرات و مجازاتهای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کتاب اول این مجموعه مشتمل بر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است که طبق اصل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در جلسه هشت مردادماه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کمیسیون امور قضایی و حقوقی مجلس شورای اسلامی به تصویب رسیده است و قبلا در جلسه علنی هجدهم دیماه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 سال مدت اجرای آزمایشی آن موافقت گردیده و ماده پنج آن مورد اختلاف مجلس و شورای نگهبان قرار گرفته است و در </w:t>
      </w:r>
      <w:bookmarkStart w:id="267" w:name="pg6894_74571"/>
    </w:p>
    <w:p>
      <w:pPr>
        <w:pStyle w:val="BookText"/>
        <w:rPr/>
      </w:pPr>
      <w:bookmarkEnd w:id="267"/>
      <w:r>
        <w:rPr>
          <w:rFonts w:ascii="IRNazanin" w:hAnsi="IRNazanin" w:eastAsia="IRNazanin"/>
          <w:color w:val="111111"/>
          <w:sz w:val="28"/>
          <w:sz w:val="28"/>
          <w:szCs w:val="28"/>
          <w:rtl w:val="true"/>
          <w:lang w:bidi="fa-IR"/>
        </w:rPr>
        <w:t xml:space="preserve">اجرای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در جلسه هفتم آذرماه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تشخیص مصلحت نظام بررسی و ماده پنج لايحه فوق الذکر عینا به تصویب مجمع رسید، و طبق قانون تمدید اجرای آزمایشی قانون مجازات اسلامی مصوب </w:t>
      </w:r>
      <w:r>
        <w:rPr>
          <w:rFonts w:eastAsia="IRNazanin" w:cs="IRNazanin"/>
          <w:color w:val="111111"/>
          <w:sz w:val="28"/>
          <w:szCs w:val="28"/>
          <w:lang w:bidi="fa-IR"/>
        </w:rPr>
        <w:t>1375/12/12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اجرای این قانون به مدت ده سال تمدید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پنجم این مجموعه که مشتمل بر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است، در جلسه علنی دوم خرداد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تصویب و در تاریخ </w:t>
      </w:r>
      <w:r>
        <w:rPr>
          <w:rFonts w:eastAsia="IRNazanin" w:cs="IRNazanin"/>
          <w:color w:val="111111"/>
          <w:sz w:val="28"/>
          <w:szCs w:val="28"/>
          <w:lang w:bidi="fa-IR"/>
        </w:rPr>
        <w:t>1375/3/6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تأیید شورای نگهبان رسیده است که مواد آن از شماره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هفتم از کتاب دوم قانون مزبور راجع به محاربه و افساد فی الارض است که در 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تعاریف، راههای ثبوت محاربه و افساد في الأرض و حد محاربه و افساد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و جمعا مشتمل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است و در کتاب پنجم و قوانین دیگر، اشاراتی به محاربه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قانون مجازات اسلامی و سایر قوانین، دو مصداق برای محاربه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اسلحه برای ترساندن مردم که محاربه علیه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محاربه علیه حکومت اسلامی</w:t>
      </w:r>
      <w:r>
        <w:rPr>
          <w:rFonts w:eastAsia="IRNazanin" w:cs="IRNazanin"/>
          <w:color w:val="111111"/>
          <w:sz w:val="28"/>
          <w:szCs w:val="28"/>
          <w:rtl w:val="true"/>
          <w:lang w:bidi="fa-IR"/>
        </w:rPr>
        <w:t>.</w:t>
      </w:r>
    </w:p>
    <w:p>
      <w:pPr>
        <w:pStyle w:val="Heading6"/>
        <w:numPr>
          <w:ilvl w:val="5"/>
          <w:numId w:val="1"/>
        </w:numPr>
        <w:rPr/>
      </w:pPr>
      <w:bookmarkStart w:id="268" w:name="__RefHeading___Toc1440426_372815092"/>
      <w:bookmarkStart w:id="269" w:name="_Toc99"/>
      <w:bookmarkEnd w:id="268"/>
      <w:r>
        <w:rPr>
          <w:rtl w:val="true"/>
        </w:rPr>
        <w:t>محاربه علیه مردم</w:t>
      </w:r>
      <w:bookmarkEnd w:id="26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برای ایجاد رعب و هراس و سلب آزادی و امنیت مردم دست به اسلحه ببرد، محارب و مفسد في الأرض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فوق في الجمله برگرفته از نظر فقهاست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زن، مرد،</w:t>
      </w:r>
    </w:p>
    <w:p>
      <w:pPr>
        <w:pStyle w:val="BookText"/>
        <w:rPr/>
      </w:pPr>
      <w:r>
        <w:rPr>
          <w:rFonts w:ascii="IRNazanin" w:hAnsi="IRNazanin" w:eastAsia="IRNazanin"/>
          <w:color w:val="111111"/>
          <w:sz w:val="28"/>
          <w:sz w:val="28"/>
          <w:szCs w:val="28"/>
          <w:rtl w:val="true"/>
          <w:lang w:bidi="fa-IR"/>
        </w:rPr>
        <w:t>مسلمان و غیر مسلمان می شود و ماده شامل عمل در شب، روز، خانه، خیابان، خشکی، دریا، هوا، شهر و غیر شهر می شود؛ ولو مالی نگرفته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این ماده ممکن است مورد بحث واقع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p>
    <w:p>
      <w:pPr>
        <w:pStyle w:val="BookText"/>
        <w:rPr/>
      </w:pPr>
      <w:r>
        <w:rPr>
          <w:rFonts w:ascii="IRNazanin" w:hAnsi="IRNazanin" w:eastAsia="IRNazanin"/>
          <w:color w:val="111111"/>
          <w:sz w:val="28"/>
          <w:sz w:val="28"/>
          <w:szCs w:val="28"/>
          <w:rtl w:val="true"/>
          <w:lang w:bidi="fa-IR"/>
        </w:rPr>
        <w:t>مراد چیست و آیا یک نفر را هم شامل می شود یا خیر؟</w:t>
      </w:r>
    </w:p>
    <w:p>
      <w:pPr>
        <w:pStyle w:val="BookText"/>
        <w:rPr/>
      </w:pPr>
      <w:r>
        <w:rPr>
          <w:rFonts w:ascii="IRNazanin" w:hAnsi="IRNazanin" w:eastAsia="IRNazanin"/>
          <w:color w:val="111111"/>
          <w:sz w:val="28"/>
          <w:sz w:val="28"/>
          <w:szCs w:val="28"/>
          <w:rtl w:val="true"/>
          <w:lang w:bidi="fa-IR"/>
        </w:rPr>
        <w:t>به نظر ما، این کلمه، عام بدلی است، نه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دانیم که مواد قانونی</w:t>
      </w:r>
    </w:p>
    <w:p>
      <w:pPr>
        <w:pStyle w:val="BookText"/>
        <w:rPr/>
      </w:pPr>
      <w:r>
        <w:rPr>
          <w:rFonts w:ascii="IRNazanin" w:hAnsi="IRNazanin" w:eastAsia="IRNazanin"/>
          <w:color w:val="111111"/>
          <w:sz w:val="28"/>
          <w:sz w:val="28"/>
          <w:szCs w:val="28"/>
          <w:rtl w:val="true"/>
          <w:lang w:bidi="fa-IR"/>
        </w:rPr>
        <w:t>در این رابطه برگرفته شده از فقه است و ما در جای خود روشن نمودیم که نص روایت سکونی، اطلاق سایر روایات، آیه شریفه و گفته های فقها شامل ترساندن یک نفر نیز می شود؛ چنان که محارب ممکن است یک نفر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عده ای را نام بردیم که تصریح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واحد لواحد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که گفتیم تعریف محارب در ماده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الجمله موافق با نظر فقهاست، نه</w:t>
      </w:r>
    </w:p>
    <w:p>
      <w:pPr>
        <w:pStyle w:val="BookText"/>
        <w:rPr/>
      </w:pPr>
      <w:r>
        <w:rPr>
          <w:rFonts w:ascii="IRNazanin" w:hAnsi="IRNazanin" w:eastAsia="IRNazanin"/>
          <w:color w:val="111111"/>
          <w:sz w:val="28"/>
          <w:sz w:val="28"/>
          <w:szCs w:val="28"/>
          <w:rtl w:val="true"/>
          <w:lang w:bidi="fa-IR"/>
        </w:rPr>
        <w:t xml:space="preserve">کاملا از این روست که در هیچ یک از تعاریف فقها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محارب گرفته نشده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کشیدن اسلحه و ترساندن مردم شده و آیه شریفه نیز این گونه است و از آن جا که فساد، عمل خاص خارجی نیست، بلکه علت حکم است، باید قید برای عمل کشیدن اسلحه و ترساندن مردم باشد که نشانگر نابحق بودن و حرمت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تحریرالوسیله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کسی است که برای ترساندن</w:t>
      </w:r>
    </w:p>
    <w:p>
      <w:pPr>
        <w:pStyle w:val="BookText"/>
        <w:rPr/>
      </w:pP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کشیده یا آن را مجهز نماید که کشیدن اسلحه با وصف ترساندن مردم و نیز وصف فساد و نابحق بودن، شرایط تحقق محاربه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بحث فقهی این مطلب روشن شد که افساد، علت و قید برای محاربه است و نظر فقها و مفسران را نیز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ماده به این صورت تنظیم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برای ایجاد رعب و</w:t>
      </w:r>
    </w:p>
    <w:p>
      <w:pPr>
        <w:pStyle w:val="BookText"/>
        <w:rPr/>
      </w:pPr>
      <w:r>
        <w:rPr>
          <w:rFonts w:ascii="IRNazanin" w:hAnsi="IRNazanin" w:eastAsia="IRNazanin"/>
          <w:color w:val="111111"/>
          <w:sz w:val="28"/>
          <w:sz w:val="28"/>
          <w:szCs w:val="28"/>
          <w:rtl w:val="true"/>
          <w:lang w:bidi="fa-IR"/>
        </w:rPr>
        <w:t xml:space="preserve">هراس و سلب آزادی و امنیت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افساد در زمینه دست به اسلحه ببرد، محارب می باشد، بهتر بود و با این قید، دیگر نیازی به ماده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کشیدن اسلحه برای از بین بردن فساد، محاربه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سارق مسلح و قطاع الطريق هرگاه با اسلحه امنیت مردم یا جاده را بر هم بزند و رعب و وحشت ایجاد کند، محارب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ماده در واقع تأكيد بر بعضی از مصادیق محارب است، وگرنه از ماده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خوبی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سلاح سرد و گرم نمی گذارد و در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همان ماده، در مورد را از حكم محاربه استثنا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جایی است که کشیدن اسلحه از روی عداوت شخصی باشد و دوم، آن جا که شخصی آنقدر ضعیف باشد که مردم از عمل او؛ یعنی کشیدن اسلحه نمی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وسیله چاقو و یا هر نوع اسلحه دیگر، تظاهر یا قدرت نمایی کند یا آن را وسیله مزاحمت اشخاص یا اخاذی یا تهدید قرار دهد یا با کسی گلاویز شود، در صورتی که از مصادیق محارب نباشد، به حبس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دو سال و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قواعد عمومی محاربه علیه مردم در ماده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های آن و ماده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فقه گرفته شده، بیان شده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مصادیق محارب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نشانگر این است که قانونگذار هم همین برداشت را داشته است، لذا تعریف و مصداق محاربه و محارب را به قواعد عمومی در مواد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عمل مجرمانه در ماده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محاربه است؛ گرچه ممکن است احيانا بعضی از شرایط را نداشته باشد که در این صورت،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دو سال حبس و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تعزیر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سرقت، جامع شرایط حد نباشد، ولی مقرون به تمام پنج شرط ذیل باشد، مرتکب از پنج تا بیست سال حبس و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محکوم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در شب واقع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سارقین دو نفر یا بیشتر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یا چند نفر از آنها حامل سلاح ظاهر و یا مخفی بوده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دیوار بالا رفته و یا حرز را شکسته یا کلید ساختگی به کار برده یا این که عنوان یا </w:t>
      </w:r>
    </w:p>
    <w:p>
      <w:pPr>
        <w:pStyle w:val="BookText"/>
        <w:rPr/>
      </w:pPr>
      <w:r>
        <w:rPr>
          <w:rFonts w:ascii="IRNazanin" w:hAnsi="IRNazanin" w:eastAsia="IRNazanin"/>
          <w:color w:val="111111"/>
          <w:sz w:val="28"/>
          <w:sz w:val="28"/>
          <w:szCs w:val="28"/>
          <w:rtl w:val="true"/>
          <w:lang w:bidi="fa-IR"/>
        </w:rPr>
        <w:t>لباس مستخدم دولت را اختیار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سرقت، کسی را آزار یا تهدید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مجازات فوق باید تمام شرایط، از جمله داشتن اسلحه و تهدید و آزار مردم</w:t>
      </w:r>
    </w:p>
    <w:p>
      <w:pPr>
        <w:pStyle w:val="BookText"/>
        <w:rPr/>
      </w:pPr>
      <w:r>
        <w:rPr>
          <w:rFonts w:ascii="IRNazanin" w:hAnsi="IRNazanin" w:eastAsia="IRNazanin"/>
          <w:color w:val="111111"/>
          <w:sz w:val="28"/>
          <w:sz w:val="28"/>
          <w:szCs w:val="28"/>
          <w:rtl w:val="true"/>
          <w:lang w:bidi="fa-IR"/>
        </w:rPr>
        <w:t xml:space="preserve">وجود داشته باشد که در این صورت، طبق تعریفی که از محارب در مواد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جرم فوق از مصادیق بارز محاربه است و به ندرت می توان برای آن استثنایی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قانونگذار حتی احتمال محاربه را هم نداده است، در حالی که در ماده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امکان موارد استثنا در آن بیشتر است، به محاربه بودن عمل اشاره نموده است و نیز در ماده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جرم ماده فوق را بدون شرط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سرقت در شب واقع شده باشد و سارقین دو نفر یا بیشتر باشند و لااقل یک نفر آنها حامل سلاح ظاهر یا مخفی باشد، در صورتی که بر حامل اسلحه عنوان محارب صدق نکند، جزای مرتکبان، حبس از پنج تا پانزده سال و شلاق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روشن است، این جرم، بسیار سبکتر و مجازات آن هم به همین جهت</w:t>
      </w:r>
    </w:p>
    <w:p>
      <w:pPr>
        <w:pStyle w:val="BookText"/>
        <w:rPr/>
      </w:pPr>
      <w:r>
        <w:rPr>
          <w:rFonts w:ascii="IRNazanin" w:hAnsi="IRNazanin" w:eastAsia="IRNazanin"/>
          <w:color w:val="111111"/>
          <w:sz w:val="28"/>
          <w:sz w:val="28"/>
          <w:szCs w:val="28"/>
          <w:rtl w:val="true"/>
          <w:lang w:bidi="fa-IR"/>
        </w:rPr>
        <w:t>خفيفتر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امکان محارب بودن حامل سلاح داده شده است و نظریه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7/667</w:t>
      </w:r>
      <w:r>
        <w:rPr>
          <w:rFonts w:eastAsia="IRNazanin" w:cs="IRNazanin"/>
          <w:color w:val="111111"/>
          <w:sz w:val="28"/>
          <w:szCs w:val="28"/>
          <w:rtl w:val="true"/>
          <w:lang w:bidi="fa-IR"/>
        </w:rPr>
        <w:t xml:space="preserve"> - </w:t>
      </w:r>
      <w:r>
        <w:rPr>
          <w:rFonts w:eastAsia="IRNazanin" w:cs="IRNazanin"/>
          <w:color w:val="111111"/>
          <w:sz w:val="28"/>
          <w:szCs w:val="28"/>
          <w:lang w:bidi="fa-IR"/>
        </w:rPr>
        <w:t>684/11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حقوقی دادگستری نیز سرقت مسلحانه را از انواع</w:t>
      </w:r>
    </w:p>
    <w:p>
      <w:pPr>
        <w:pStyle w:val="BookText"/>
        <w:rPr/>
      </w:pPr>
      <w:r>
        <w:rPr>
          <w:rFonts w:ascii="IRNazanin" w:hAnsi="IRNazanin" w:eastAsia="IRNazanin"/>
          <w:color w:val="111111"/>
          <w:sz w:val="28"/>
          <w:sz w:val="28"/>
          <w:szCs w:val="28"/>
          <w:rtl w:val="true"/>
          <w:lang w:bidi="fa-IR"/>
        </w:rPr>
        <w:t>محاربه محسوب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سرقت مسلحانه ای که همراه با تهدید یا نشان دادن اسلحه باشد، اصولا محاربه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راهها و شوارع به نحوی از انحاء مرتکب راهزنی شود، در صورتی که عنوان محارب بر او صادق نباشد، به سه تا پانزده سال حبس و شلاق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محکوم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نهب و غارت و اتلاف اموال و اجناس است و ماده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وارد شدن به منزل دیگران با عنف و تهدید است که در مورد ماده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احتمال محارب بودن داده شده است و در ماده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بعضی از افراد حامل سلاحند، احتمال محارب بودن داده نشده است</w:t>
      </w:r>
      <w:r>
        <w:rPr>
          <w:rFonts w:eastAsia="IRNazanin" w:cs="IRNazanin"/>
          <w:color w:val="111111"/>
          <w:sz w:val="28"/>
          <w:szCs w:val="28"/>
          <w:rtl w:val="true"/>
          <w:lang w:bidi="fa-IR"/>
        </w:rPr>
        <w:t xml:space="preserve">. </w:t>
      </w:r>
      <w:bookmarkStart w:id="270" w:name="pg6894_74575"/>
    </w:p>
    <w:p>
      <w:pPr>
        <w:pStyle w:val="BookText"/>
        <w:rPr/>
      </w:pPr>
      <w:bookmarkEnd w:id="270"/>
      <w:r>
        <w:rPr>
          <w:rFonts w:ascii="IRNazanin" w:hAnsi="IRNazanin" w:eastAsia="IRNazanin"/>
          <w:color w:val="111111"/>
          <w:sz w:val="28"/>
          <w:sz w:val="28"/>
          <w:szCs w:val="28"/>
          <w:rtl w:val="true"/>
          <w:lang w:bidi="fa-IR"/>
        </w:rPr>
        <w:t>تا این جا به موادی اشاره کردیم که مجازات جرم محاربه عليه اشخاص و مردم را</w:t>
      </w:r>
    </w:p>
    <w:p>
      <w:pPr>
        <w:pStyle w:val="BookText"/>
        <w:rPr/>
      </w:pPr>
      <w:r>
        <w:rPr>
          <w:rFonts w:ascii="IRNazanin" w:hAnsi="IRNazanin" w:eastAsia="IRNazanin"/>
          <w:color w:val="111111"/>
          <w:sz w:val="28"/>
          <w:sz w:val="28"/>
          <w:szCs w:val="28"/>
          <w:rtl w:val="true"/>
          <w:lang w:bidi="fa-IR"/>
        </w:rPr>
        <w:t>بیان می کرد؛ گرچه در تطبیق سرقتهای مسلحانه با مقررات شرعی و مواد عمومی</w:t>
      </w:r>
    </w:p>
    <w:p>
      <w:pPr>
        <w:pStyle w:val="BookText"/>
        <w:rPr/>
      </w:pPr>
      <w:r>
        <w:rPr>
          <w:rFonts w:ascii="IRNazanin" w:hAnsi="IRNazanin" w:eastAsia="IRNazanin"/>
          <w:color w:val="111111"/>
          <w:sz w:val="28"/>
          <w:sz w:val="28"/>
          <w:szCs w:val="28"/>
          <w:rtl w:val="true"/>
          <w:lang w:bidi="fa-IR"/>
        </w:rPr>
        <w:t xml:space="preserve">محاربه، مسامحاتی شده است؛ مثلا در مواد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به محارب بودن مرتکب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مواد موجود در تعزیرات راجع به سرقتهای مسلحانه که در واقع عین محاربه است و تعیین مجازات دیگری غیر از مجازات محاربه، نوعی تعارض و تضاد با مواد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برگرفته شده از فقه است و اضافه کردن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محارب شناخته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نیست و مثل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عمل محاربه، محاربه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سرقتهای مسلحانه طبق مواد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محاربه است و به دلیل این که این مواد گرفته شده از فقه می باشد، قابل تخصیص با مواد تعزیرات نخواهد بود؛ زیرا مواد یاد شده به منزله اصل و قاعده است که تخلف از آنها شایسته نیست</w:t>
      </w:r>
      <w:r>
        <w:rPr>
          <w:rFonts w:eastAsia="IRNazanin" w:cs="IRNazanin"/>
          <w:color w:val="111111"/>
          <w:sz w:val="28"/>
          <w:szCs w:val="28"/>
          <w:rtl w:val="true"/>
          <w:lang w:bidi="fa-IR"/>
        </w:rPr>
        <w:t>.</w:t>
      </w:r>
    </w:p>
    <w:p>
      <w:pPr>
        <w:pStyle w:val="Heading6"/>
        <w:numPr>
          <w:ilvl w:val="5"/>
          <w:numId w:val="1"/>
        </w:numPr>
        <w:rPr/>
      </w:pPr>
      <w:bookmarkStart w:id="271" w:name="__RefHeading___Toc1440428_372815092"/>
      <w:bookmarkStart w:id="272" w:name="_Toc100"/>
      <w:bookmarkEnd w:id="271"/>
      <w:r>
        <w:rPr>
          <w:rtl w:val="true"/>
        </w:rPr>
        <w:t>محاربه علیه نظام</w:t>
      </w:r>
      <w:bookmarkEnd w:id="272"/>
    </w:p>
    <w:p>
      <w:pPr>
        <w:pStyle w:val="BookText"/>
        <w:rPr/>
      </w:pPr>
      <w:r>
        <w:rPr>
          <w:rFonts w:ascii="IRNazanin" w:hAnsi="IRNazanin" w:eastAsia="IRNazanin"/>
          <w:color w:val="111111"/>
          <w:sz w:val="28"/>
          <w:sz w:val="28"/>
          <w:szCs w:val="28"/>
          <w:rtl w:val="true"/>
          <w:lang w:bidi="fa-IR"/>
        </w:rPr>
        <w:t>در قوانین جزایی، اعمال و حرکات مختلفی افساد في الأرض، محاربه و یا در حکم آن شناخته شده است که اشاره به آنها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قیام گروه و یا جمعیت متشكل علیه نظام،</w:t>
      </w:r>
    </w:p>
    <w:p>
      <w:pPr>
        <w:pStyle w:val="BookText"/>
        <w:rPr/>
      </w:pPr>
      <w:r>
        <w:rPr>
          <w:rFonts w:ascii="IRNazanin" w:hAnsi="IRNazanin" w:eastAsia="IRNazanin"/>
          <w:color w:val="111111"/>
          <w:sz w:val="28"/>
          <w:sz w:val="28"/>
          <w:szCs w:val="28"/>
          <w:rtl w:val="true"/>
          <w:lang w:bidi="fa-IR"/>
        </w:rPr>
        <w:t>محاربه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هر فرد یا گروهی که طرح براندازی حکومت اسلامی را بکشد و برای این منظور اسلحه تهیه نماید و کسانی که به او کمک نمایند، مفسد فی الارض</w:t>
      </w:r>
    </w:p>
    <w:p>
      <w:pPr>
        <w:pStyle w:val="BookText"/>
        <w:rPr/>
      </w:pPr>
      <w:r>
        <w:rPr>
          <w:rFonts w:ascii="IRNazanin" w:hAnsi="IRNazanin" w:eastAsia="IRNazanin"/>
          <w:color w:val="111111"/>
          <w:sz w:val="28"/>
          <w:sz w:val="28"/>
          <w:szCs w:val="28"/>
          <w:rtl w:val="true"/>
          <w:lang w:bidi="fa-IR"/>
        </w:rPr>
        <w:t>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نامزدی یکی از پستهای حساس حکومت کودتا، محاربه شناخته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تشدید مجازات مرتکبین ارتشا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 مجمع تشخیص مصلحت نظام، تشکیل یا رهبری شبکه چند نفری به امر ارتشا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مصداق مفسد في الأرض باشد، مجازات مفسد في الارض را خواهد داشت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ماده واحده قانون تشدید مجازات جاعلین اسکناس، واردکنندگان، توزیع کنندگان و مصرف کنندگان مصوب مجمع تشخیص مصلحت نظام به قصد مبارزه با نظام، مرتکب مفسد بوده و به اعدام محکوم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اخلالگران در نظام اقتصادی مصوب مجلس، اخلال در نظام پولی و ارزی و تولید و توزیع مایحتاج عمومی و هرگونه اقدام جهت اخراج میراث فرهنگی یا ثروتهای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باندی جهت اخلال در نظام صادراتی، چنانچه به قصد ضربه زدن به نظام جمهوری اسلامی باشد، در حد افساد في الارض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تشدید مجازات محتکران و گران فروشان، فروش مصنوعات گرانتر از نرخ مقرر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مقابله با حكومت، مرتکب مصداق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جرائم نیروهای مسلح مصوب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امور</w:t>
      </w:r>
    </w:p>
    <w:p>
      <w:pPr>
        <w:pStyle w:val="BookText"/>
        <w:rPr/>
      </w:pPr>
      <w:r>
        <w:rPr>
          <w:rFonts w:ascii="IRNazanin" w:hAnsi="IRNazanin" w:eastAsia="IRNazanin"/>
          <w:color w:val="111111"/>
          <w:sz w:val="28"/>
          <w:sz w:val="28"/>
          <w:szCs w:val="28"/>
          <w:rtl w:val="true"/>
          <w:lang w:bidi="fa-IR"/>
        </w:rPr>
        <w:t>قضایی مجلس، تسلیم افراد تحت فرماندهی، وسائل، امکانات، نقشه ها و اسرار نظامی به دشمن و یا آتش زدن و تخریب نمودن آنها و یا اجبار افراد و یا تحریک آنها به فرار یا عصیان، اقدام مسلحانه، جمع آوری نیرو و یا کمک به گروههای مفسد و دولت در حال جنگ با ایران، در حکم محاربه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سرقت اسلحه، مهمات، وجوه و اشیای در اختیار نیروهای مسلح به قصد اخلال مؤثر در نیروهای مسلح یا عملیات نظامی و یا لطمه غیر قابل جبران، در حکم محاربه است و اگر قصد براندازی نداشته باشد، ولی موجب شکست جبهه اسلام شود، محارب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 هر نظامی که اسناد یا اطلاعات دارای ارزش اطلاعاتی را تحصیل کند و در اختیار دشمن قرار دهد و یا اسرار نظامی، سیاسی، اقتصادی، صنعتی و یا کلیدهای رمز را به دشمن داخلی و یا خارجی تسلیم نماید و یا آنان را از مفاد آن آگاه سازد و یا هر بیگانه ای که برای کسب اطلاعات به نفع دشمن به پایگاهها، کارخانجات و انبارهای تسلیحاتی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جاسوس بوده و به اعدام محکوم 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مرتکب سرپیچی از تکالیف نظامی که موجب تسلط دشمن بر مواضع خودی شود، در حكم محارب است</w:t>
      </w:r>
      <w:r>
        <w:rPr>
          <w:rFonts w:eastAsia="IRNazanin" w:cs="IRNazanin"/>
          <w:color w:val="111111"/>
          <w:sz w:val="28"/>
          <w:szCs w:val="28"/>
          <w:rtl w:val="true"/>
          <w:lang w:bidi="fa-IR"/>
        </w:rPr>
        <w:t xml:space="preserve">. </w:t>
      </w:r>
      <w:bookmarkStart w:id="273" w:name="pg6894_74577"/>
    </w:p>
    <w:p>
      <w:pPr>
        <w:pStyle w:val="BookText"/>
        <w:rPr/>
      </w:pPr>
      <w:bookmarkEnd w:id="273"/>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عدم استفاده فرمانده مسؤول از امکانات در اختیار در جهت دفاع و</w:t>
      </w:r>
    </w:p>
    <w:p>
      <w:pPr>
        <w:pStyle w:val="BookText"/>
        <w:rPr/>
      </w:pPr>
      <w:r>
        <w:rPr>
          <w:rFonts w:ascii="IRNazanin" w:hAnsi="IRNazanin" w:eastAsia="IRNazanin"/>
          <w:color w:val="111111"/>
          <w:sz w:val="28"/>
          <w:sz w:val="28"/>
          <w:szCs w:val="28"/>
          <w:rtl w:val="true"/>
          <w:lang w:bidi="fa-IR"/>
        </w:rPr>
        <w:t>تسلیم آنها به دشمن، در حکم محاربه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عملیات نظامی توسط فرمانده یا مسؤول نظامی به کشوری که با ما در حال جنگ نیست و موجب اخلال در امنیت داخلی یا خارجی کشور می شود، در حکم محاربه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ادامه عملیات پس از دستور توقف آن، اگر موجب افساد و اخلال در</w:t>
      </w:r>
    </w:p>
    <w:p>
      <w:pPr>
        <w:pStyle w:val="BookText"/>
        <w:rPr/>
      </w:pPr>
      <w:r>
        <w:rPr>
          <w:rFonts w:ascii="IRNazanin" w:hAnsi="IRNazanin" w:eastAsia="IRNazanin"/>
          <w:color w:val="111111"/>
          <w:sz w:val="28"/>
          <w:sz w:val="28"/>
          <w:szCs w:val="28"/>
          <w:rtl w:val="true"/>
          <w:lang w:bidi="fa-IR"/>
        </w:rPr>
        <w:t>نظام یا شکست جبهه اسلام گردد، مرتکب به مجازات محارب محکوم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ترک مأموریت یا تأخیر آن به منطقه جنگی که موجب اخلال با شکست</w:t>
      </w:r>
    </w:p>
    <w:p>
      <w:pPr>
        <w:pStyle w:val="BookText"/>
        <w:rPr/>
      </w:pPr>
      <w:r>
        <w:rPr>
          <w:rFonts w:ascii="IRNazanin" w:hAnsi="IRNazanin" w:eastAsia="IRNazanin"/>
          <w:color w:val="111111"/>
          <w:sz w:val="28"/>
          <w:sz w:val="28"/>
          <w:szCs w:val="28"/>
          <w:rtl w:val="true"/>
          <w:lang w:bidi="fa-IR"/>
        </w:rPr>
        <w:t>جبهه اسلام گردد، در حکم محاربه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ترک محل نگهبانی یا تبانی با دشمن، چنانچه موجب شکست شود، در حکم محاربه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فرار از جبهه که موجب شکست یا تلفات جانی به نیروهای خودی شود، در حکم محاربه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فرار با وسایل مورد استفاده نیروهای نظامی یا فرار به طرف دشمن، محاربه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ترغیب یا تسهیل فرار افراد که موجب شکست جبهه اسلام شود، در</w:t>
      </w:r>
    </w:p>
    <w:p>
      <w:pPr>
        <w:pStyle w:val="BookText"/>
        <w:rPr/>
      </w:pPr>
      <w:r>
        <w:rPr>
          <w:rFonts w:ascii="Amiri" w:hAnsi="Amiri" w:eastAsia="Amiri" w:cs="Amiri"/>
          <w:color w:val="111111"/>
          <w:sz w:val="28"/>
          <w:sz w:val="28"/>
          <w:szCs w:val="28"/>
          <w:rtl w:val="true"/>
          <w:lang w:bidi="ar-SA"/>
        </w:rPr>
        <w:t>حكم محاربه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 فروش وسایل نظامی و سایر وسایل نقلیه نظامی یا</w:t>
      </w:r>
    </w:p>
    <w:p>
      <w:pPr>
        <w:pStyle w:val="BookText"/>
        <w:rPr/>
      </w:pPr>
      <w:r>
        <w:rPr>
          <w:rFonts w:ascii="IRNazanin" w:hAnsi="IRNazanin" w:eastAsia="IRNazanin"/>
          <w:color w:val="111111"/>
          <w:sz w:val="28"/>
          <w:sz w:val="28"/>
          <w:szCs w:val="28"/>
          <w:rtl w:val="true"/>
          <w:lang w:bidi="fa-IR"/>
        </w:rPr>
        <w:t>تلف و مفقود نمودن آنها که موجب شکست جبهه اسلام شود، در حکم محاربه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تمام مواد فوق را در یک جمله خلاصه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به</w:t>
      </w:r>
    </w:p>
    <w:p>
      <w:pPr>
        <w:pStyle w:val="BookText"/>
        <w:rPr/>
      </w:pPr>
      <w:r>
        <w:rPr>
          <w:rFonts w:ascii="IRNazanin" w:hAnsi="IRNazanin" w:eastAsia="IRNazanin"/>
          <w:color w:val="111111"/>
          <w:sz w:val="28"/>
          <w:sz w:val="28"/>
          <w:szCs w:val="28"/>
          <w:rtl w:val="true"/>
          <w:lang w:bidi="fa-IR"/>
        </w:rPr>
        <w:t>قصد ضربه زدن به نظام اسلامی باشد و یا از آن عمل، ضربه ای مهم به نظام وارد آید؛ ولو قصد ضربه زدن را نداشته باشد، در حکم محاربه و یا افساد في الارض است</w:t>
      </w:r>
      <w:r>
        <w:rPr>
          <w:rFonts w:eastAsia="IRNazanin" w:cs="IRNazanin"/>
          <w:color w:val="111111"/>
          <w:sz w:val="28"/>
          <w:szCs w:val="28"/>
          <w:rtl w:val="true"/>
          <w:lang w:bidi="fa-IR"/>
        </w:rPr>
        <w:t>.</w:t>
      </w:r>
    </w:p>
    <w:p>
      <w:pPr>
        <w:pStyle w:val="Heading6"/>
        <w:numPr>
          <w:ilvl w:val="5"/>
          <w:numId w:val="1"/>
        </w:numPr>
        <w:rPr/>
      </w:pPr>
      <w:bookmarkStart w:id="274" w:name="__RefHeading___Toc1440430_372815092"/>
      <w:bookmarkStart w:id="275" w:name="_Toc101"/>
      <w:bookmarkEnd w:id="274"/>
      <w:r>
        <w:rPr>
          <w:rtl w:val="true"/>
        </w:rPr>
        <w:t>نقد و بررسی</w:t>
      </w:r>
      <w:bookmarkEnd w:id="27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محاربه یکی از حدود و برگرفته شده از کتاب و سنت است، استعمال آن در </w:t>
      </w:r>
      <w:bookmarkStart w:id="276" w:name="pg6894_74578"/>
    </w:p>
    <w:p>
      <w:pPr>
        <w:pStyle w:val="BookText"/>
        <w:rPr/>
      </w:pPr>
      <w:bookmarkEnd w:id="276"/>
      <w:r>
        <w:rPr>
          <w:rFonts w:ascii="IRNazanin" w:hAnsi="IRNazanin" w:eastAsia="IRNazanin"/>
          <w:color w:val="111111"/>
          <w:sz w:val="28"/>
          <w:sz w:val="28"/>
          <w:szCs w:val="28"/>
          <w:rtl w:val="true"/>
          <w:lang w:bidi="fa-IR"/>
        </w:rPr>
        <w:t>جرایم غیر منطبق با محاربه، بلکه تعزیری که مجازات آن بر مبنای میزان خسارات وارده و به دست حاکم است، بی معنی است و اکثر جرایمی که تحت عنوان محاربه یا افساد في الارض در قوانین پیشگفته از آنها یاد شده است، با محاربه که تعریف آن را دانستیم،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اعمال مزبور بدون شک، خلاف مصالح نظام، کشور و دین است و باید موضوع و ماهیت هریک از آنها که بر مبنای انگیزه و قصد مجرم، مختلف خواهد بود،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جرایم علیه حکومت، داخل در موضوع بغی است و بررسی و</w:t>
      </w:r>
    </w:p>
    <w:p>
      <w:pPr>
        <w:pStyle w:val="BookText"/>
        <w:rPr/>
      </w:pPr>
      <w:r>
        <w:rPr>
          <w:rFonts w:ascii="IRNazanin" w:hAnsi="IRNazanin" w:eastAsia="IRNazanin"/>
          <w:color w:val="111111"/>
          <w:sz w:val="28"/>
          <w:sz w:val="28"/>
          <w:szCs w:val="28"/>
          <w:rtl w:val="true"/>
          <w:lang w:bidi="fa-IR"/>
        </w:rPr>
        <w:t>تعریف بغی و مراحل برخورد با بغات می تواند پاسخی کلی و در عین حال، جامع برای شناخت ماهیت جرایم فوق و چگونگی مجازات آنها باشد که به حول و قوه الهی در ادامه این مقال، بدان خواهیم پرداخت</w:t>
      </w:r>
      <w:r>
        <w:rPr>
          <w:rFonts w:eastAsia="IRNazanin" w:cs="IRNazanin"/>
          <w:color w:val="111111"/>
          <w:sz w:val="28"/>
          <w:szCs w:val="28"/>
          <w:rtl w:val="true"/>
          <w:lang w:bidi="fa-IR"/>
        </w:rPr>
        <w:t>.</w:t>
      </w:r>
    </w:p>
    <w:p>
      <w:pPr>
        <w:pStyle w:val="Heading5"/>
        <w:numPr>
          <w:ilvl w:val="4"/>
          <w:numId w:val="1"/>
        </w:numPr>
        <w:rPr/>
      </w:pPr>
      <w:bookmarkStart w:id="277" w:name="__RefHeading___Toc1440432_372815092"/>
      <w:bookmarkStart w:id="278" w:name="_Toc102"/>
      <w:bookmarkEnd w:id="277"/>
      <w:r>
        <w:rPr>
          <w:rtl w:val="true"/>
        </w:rPr>
        <w:t>بغی</w:t>
      </w:r>
      <w:bookmarkEnd w:id="278"/>
    </w:p>
    <w:p>
      <w:pPr>
        <w:pStyle w:val="Heading6"/>
        <w:numPr>
          <w:ilvl w:val="5"/>
          <w:numId w:val="1"/>
        </w:numPr>
        <w:rPr/>
      </w:pPr>
      <w:bookmarkStart w:id="279" w:name="__RefHeading___Toc1440434_372815092"/>
      <w:bookmarkStart w:id="280" w:name="_Toc103"/>
      <w:bookmarkEnd w:id="279"/>
      <w:r>
        <w:rPr>
          <w:rtl w:val="true"/>
        </w:rPr>
        <w:t>بغی در لغت</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تجاوز از اعتدال در اندازه و یا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تجاوز از حق به باطل باشد،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تجاوز از عدل به احسان باشد، پسندیده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مفسران نیز بغی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فساد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یا طلب سلطه بر مردم بدون حق و از سر زور</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المنار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بغی در اصل لغت، طلب به ناحق و یا تجاوز از حد است و به همین معنی است بغی در زمین در آیات عدیده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تَبْغِ الْفَسادَ فِي الْأَرْضِ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w:t>
      </w:r>
    </w:p>
    <w:p>
      <w:pPr>
        <w:pStyle w:val="BookText"/>
        <w:rPr/>
      </w:pPr>
      <w:r>
        <w:rPr>
          <w:rFonts w:ascii="IRNazanin" w:hAnsi="IRNazanin" w:eastAsia="IRNazanin"/>
          <w:color w:val="111111"/>
          <w:sz w:val="28"/>
          <w:sz w:val="28"/>
          <w:szCs w:val="28"/>
          <w:rtl w:val="true"/>
          <w:lang w:bidi="fa-IR"/>
        </w:rPr>
        <w:t>معنای تجاوز به جان، مال و ناموس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دانسته می شود که بغی حرام همان گناهی است که تجاوز از حد و حق و یا تجاوز به حقوق افراد، اجتماعات و گروههاست و اگر گاهی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برای این است که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این معنی از بغی در لغت، کلام مفسران و آیات و روایات در حالی است که هر جا در کتب فقهی از بغی بحث شده است، تنها در باب جهاد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خرج على امام عادل وجب قتاله</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حدود و تعزیرات را دسته بندی نموده است که بغی، ارتداد، اتيان بهيمه و ارتکاب سایر محرمات، گروه تعزیرات را تشکیل می دهد </w:t>
      </w:r>
      <w:r>
        <w:rPr>
          <w:rStyle w:val="FootnoteAnchor"/>
          <w:rtl w:val="true"/>
        </w:rPr>
        <w:footnoteReference w:id="244"/>
      </w:r>
      <w:r>
        <w:rPr>
          <w:rFonts w:ascii="IRNazanin" w:hAnsi="IRNazanin" w:eastAsia="IRNazanin"/>
          <w:color w:val="111111"/>
          <w:sz w:val="28"/>
          <w:sz w:val="28"/>
          <w:szCs w:val="28"/>
          <w:rtl w:val="true"/>
          <w:lang w:bidi="fa-IR"/>
        </w:rPr>
        <w:t>و وعده داده است که هر یک از حدود و تعزیرات را به تفصیل بحث کند و این کار را جز در بغی، انجام داده است و دلیل ترک بحث تفصیلی بغی که از تعزیرات شمرده شده است، چیزی نیست جز این که در باب جهاد بحث شده و حکم دیگری برای آن قابل تصور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شهید در مسالك الأفهام في شرح شرائع الاسلام بر محقق خرده گرفته است که تعزیری دانستن بغی، موافق با آنچه نزد فقها معروف است، نمی باشد؛ زیرا فقها بغی را موجب حد دانسته اند که قتل است؛ گرچه شیوه آن متفاوت است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شهید از حد بغى یا قتل، همان جنگ علیه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ارتکاب محارم را قسیم سه مورد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رده و اتيان بهيمه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هم تحت عنوان حرام داخلند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موارد سه گانه، منصوص است، اما عنوان چهارم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سبب تعزیر، امر واحد باشد که همان ارتکاب حرام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 که شهید می گوید بغى تعزیری نیست، بلکه از حدود است و نص خاص دارد،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وی را از بغی نشان می دهد که همان خروج عليه امام است و اعمالی که به آن </w:t>
      </w:r>
    </w:p>
    <w:p>
      <w:pPr>
        <w:pStyle w:val="BookText"/>
        <w:rPr/>
      </w:pPr>
      <w:r>
        <w:rPr>
          <w:rFonts w:ascii="IRNazanin" w:hAnsi="IRNazanin" w:eastAsia="IRNazanin"/>
          <w:color w:val="111111"/>
          <w:sz w:val="28"/>
          <w:sz w:val="28"/>
          <w:szCs w:val="28"/>
          <w:rtl w:val="true"/>
          <w:lang w:bidi="fa-IR"/>
        </w:rPr>
        <w:t>خروج گفته نشود، بغی نخواهد بود، در حالی که لغت، آیات و روایات، خلاف آن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نیز تنها خروج عليه امام عادل و یا خروج از طاعت امام را بغی دانسته اند که توسط طائفه دارای شوکت و قدرت انجام گرفته باشد </w:t>
      </w:r>
      <w:r>
        <w:rPr>
          <w:rStyle w:val="FootnoteAnchor"/>
          <w:rtl w:val="true"/>
        </w:rPr>
        <w:footnoteReference w:id="247"/>
      </w:r>
      <w:r>
        <w:rPr>
          <w:rFonts w:ascii="IRNazanin" w:hAnsi="IRNazanin" w:eastAsia="IRNazanin"/>
          <w:color w:val="111111"/>
          <w:sz w:val="28"/>
          <w:sz w:val="28"/>
          <w:szCs w:val="28"/>
          <w:rtl w:val="true"/>
          <w:lang w:bidi="fa-IR"/>
        </w:rPr>
        <w:t>و در هر حال، نحوه مقابله با بغات را بعد از ارشاد و راهنمایی، جنگ دانسته اند و قبل و بعد از جنگ، جان و مال آنها محترم و قتل و غارت اموالشان موجب قصاص یا ضمان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اگر بغی، تنها خروج عليه امام یا حکومت عدل باشد و چنان که گذشت، برخورد با</w:t>
      </w:r>
    </w:p>
    <w:p>
      <w:pPr>
        <w:pStyle w:val="BookText"/>
        <w:rPr/>
      </w:pPr>
      <w:r>
        <w:rPr>
          <w:rFonts w:ascii="IRNazanin" w:hAnsi="IRNazanin" w:eastAsia="IRNazanin"/>
          <w:color w:val="111111"/>
          <w:sz w:val="28"/>
          <w:sz w:val="28"/>
          <w:szCs w:val="28"/>
          <w:rtl w:val="true"/>
          <w:lang w:bidi="fa-IR"/>
        </w:rPr>
        <w:t>بغات را تنها جنگ بدانیم تا تسلیم شوند و قبل و بعد از جنگ، مال و جانشان محترم</w:t>
      </w:r>
    </w:p>
    <w:p>
      <w:pPr>
        <w:pStyle w:val="BookText"/>
        <w:rPr/>
      </w:pPr>
      <w:r>
        <w:rPr>
          <w:rFonts w:ascii="IRNazanin" w:hAnsi="IRNazanin" w:eastAsia="IRNazanin"/>
          <w:color w:val="111111"/>
          <w:sz w:val="28"/>
          <w:sz w:val="28"/>
          <w:szCs w:val="28"/>
          <w:rtl w:val="true"/>
          <w:lang w:bidi="fa-IR"/>
        </w:rPr>
        <w:t xml:space="preserve">باشد، اجرای حد یا تعزیر بر باغی مفهومی نخواهد داشت و جنگ با باغی ۔ چنان که شهید گمان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قتل نیست؛ زیرا قبل یا بعد از جنگ، ممکن است تسلیم شود که در این صورت، جان و مالش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مخالفان حکومت، هر روز طرح تازه ای می ریزند که خطر آنها برای امنیت کشور، نظام و دین روشن است و هیچ دولت دیگری نیز نمی تواند نسبت به آن اعمال،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اعمال که مقابله با آنها ضروری و غیر قابل اجتناب است، بغی نباشد و از سویی دیگر، چنان که اشاره کردیم، منطبق با محاربه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شرع و فقه به وضوح تعریف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باشد، تحت چه عنوانی جرایم فوق باید مجازات داشته باشد و آن مجازات چیست؟</w:t>
      </w:r>
    </w:p>
    <w:p>
      <w:pPr>
        <w:pStyle w:val="BookText"/>
        <w:rPr/>
      </w:pPr>
      <w:r>
        <w:rPr>
          <w:rFonts w:ascii="IRNazanin" w:hAnsi="IRNazanin" w:eastAsia="IRNazanin"/>
          <w:color w:val="111111"/>
          <w:sz w:val="28"/>
          <w:sz w:val="28"/>
          <w:szCs w:val="28"/>
          <w:rtl w:val="true"/>
          <w:lang w:bidi="fa-IR"/>
        </w:rPr>
        <w:t>چاره ای نیست، جز این که این تلقی از بغی را که آن را مختص خروج مسلحانه علیه حاكم عادل یا امام می داند، نادرست بدانیم و به مفهوم عام بغی برگردیم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شده است متبادر از بغی در اذهان، قیام علیه حاکم باشد، تنها چند حرکت مهم علیه حکومت اسلامی در عصر امام علی علیه السلام بوده است که مصداق بارز بغی است و نه مفهوم منحصر آن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معروف از بغی از یک سو و ضرورت مقابله با اعمال ضد حکومت و نظام، </w:t>
      </w:r>
      <w:bookmarkStart w:id="281" w:name="pg6894_74581"/>
    </w:p>
    <w:p>
      <w:pPr>
        <w:pStyle w:val="BookText"/>
        <w:rPr/>
      </w:pPr>
      <w:bookmarkEnd w:id="281"/>
      <w:r>
        <w:rPr>
          <w:rFonts w:ascii="IRNazanin" w:hAnsi="IRNazanin" w:eastAsia="IRNazanin"/>
          <w:color w:val="111111"/>
          <w:sz w:val="28"/>
          <w:sz w:val="28"/>
          <w:szCs w:val="28"/>
          <w:rtl w:val="true"/>
          <w:lang w:bidi="fa-IR"/>
        </w:rPr>
        <w:t>از سوی دیگر موجب شده است که قانونگذار برای امکان برخورد با آنها از عنوان</w:t>
      </w:r>
    </w:p>
    <w:p>
      <w:pPr>
        <w:pStyle w:val="BookText"/>
        <w:rPr/>
      </w:pPr>
      <w:r>
        <w:rPr>
          <w:rFonts w:ascii="IRNazanin" w:hAnsi="IRNazanin" w:eastAsia="IRNazanin"/>
          <w:color w:val="111111"/>
          <w:sz w:val="28"/>
          <w:sz w:val="28"/>
          <w:szCs w:val="28"/>
          <w:rtl w:val="true"/>
          <w:lang w:bidi="fa-IR"/>
        </w:rPr>
        <w:t>محاربه کمک بگیرد که این یک اشتباه است و صحیح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حرکات عليه حقوق خصوصی مردم با حقوق عمومی و حکومت و حقوق الله محض، تحت عنوان بغی داخلند و شاید بتوان گفت که مفهوم بغی از یک بعد که تجاوز از حق است، با ارتکاب حرام مساوی است؛ جز این که مرتکب حرام، عمل را انجام داده و به پایان رسیده است، اما باغی، اهدافی غیر از آنچه به عنوان مقدمه انجام داده است نیز در سر دارد که طالب آنهاست و به همین لحاظ، عنوان باغی؛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دنبال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بغی همان ارتکاب حرام است و هر حرامی متناسب با نوع عمل، قصد</w:t>
      </w:r>
    </w:p>
    <w:p>
      <w:pPr>
        <w:pStyle w:val="BookText"/>
        <w:rPr/>
      </w:pPr>
      <w:r>
        <w:rPr>
          <w:rFonts w:ascii="IRNazanin" w:hAnsi="IRNazanin" w:eastAsia="IRNazanin"/>
          <w:color w:val="111111"/>
          <w:sz w:val="28"/>
          <w:sz w:val="28"/>
          <w:szCs w:val="28"/>
          <w:rtl w:val="true"/>
          <w:lang w:bidi="fa-IR"/>
        </w:rPr>
        <w:t>مرتکب، میزان خسارات وارد شده و خطیر بودن آن، مجازات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بغی به سه قسم کلی قابل تقسیم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بغى عليه حقوق اشخاص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 نسبت به حقوق الله محض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 علیه حکومت عدل که مورد تلاقی حقوق عمومی و حقوق الله است و این</w:t>
      </w:r>
    </w:p>
    <w:p>
      <w:pPr>
        <w:pStyle w:val="BookText"/>
        <w:rPr/>
      </w:pPr>
      <w:r>
        <w:rPr>
          <w:rFonts w:ascii="IRNazanin" w:hAnsi="IRNazanin" w:eastAsia="IRNazanin"/>
          <w:color w:val="111111"/>
          <w:sz w:val="28"/>
          <w:sz w:val="28"/>
          <w:szCs w:val="28"/>
          <w:rtl w:val="true"/>
          <w:lang w:bidi="fa-IR"/>
        </w:rPr>
        <w:t>تلاقی ممکن است بین حقوق خصوصی مردم و حقوق الله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یعنی بغی علیه حکومت، همان است که در همه کشورها به عنوان جرایم سیاسی مشهور است</w:t>
      </w:r>
      <w:r>
        <w:rPr>
          <w:rFonts w:eastAsia="IRNazanin" w:cs="IRNazanin"/>
          <w:color w:val="111111"/>
          <w:sz w:val="28"/>
          <w:szCs w:val="28"/>
          <w:rtl w:val="true"/>
          <w:lang w:bidi="fa-IR"/>
        </w:rPr>
        <w:t>.</w:t>
      </w:r>
    </w:p>
    <w:p>
      <w:pPr>
        <w:pStyle w:val="Heading6"/>
        <w:numPr>
          <w:ilvl w:val="5"/>
          <w:numId w:val="1"/>
        </w:numPr>
        <w:rPr/>
      </w:pPr>
      <w:bookmarkStart w:id="282" w:name="__RefHeading___Toc1440436_372815092"/>
      <w:bookmarkStart w:id="283" w:name="_Toc104"/>
      <w:bookmarkEnd w:id="282"/>
      <w:r>
        <w:rPr>
          <w:rtl w:val="true"/>
        </w:rPr>
        <w:t>واکنش علیه باغی</w:t>
      </w:r>
      <w:bookmarkEnd w:id="283"/>
    </w:p>
    <w:p>
      <w:pPr>
        <w:pStyle w:val="Heading6"/>
        <w:numPr>
          <w:ilvl w:val="5"/>
          <w:numId w:val="1"/>
        </w:numPr>
        <w:rPr/>
      </w:pPr>
      <w:bookmarkStart w:id="284" w:name="__RefHeading___Toc1440438_372815092"/>
      <w:bookmarkStart w:id="285" w:name="_Toc105"/>
      <w:bookmarkEnd w:id="284"/>
      <w:r>
        <w:rPr>
          <w:rtl w:val="true"/>
        </w:rPr>
        <w:t>الف</w:t>
      </w:r>
      <w:r>
        <w:rPr>
          <w:rtl w:val="true"/>
        </w:rPr>
        <w:t xml:space="preserve">) </w:t>
      </w:r>
      <w:r>
        <w:rPr>
          <w:rtl w:val="true"/>
        </w:rPr>
        <w:t>مقابله با باغی یا دفاع مشروع</w:t>
      </w:r>
      <w:r>
        <w:rPr>
          <w:rtl w:val="true"/>
        </w:rPr>
        <w:t>:</w:t>
      </w:r>
      <w:bookmarkEnd w:id="28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آنچه معروف و مشهور است که بغي منحصر به قیام و یا خروج عليه امام معصوم یا عادل است و تنها واکنش علیه آن، جنگ است، مفهوم بغی، عام می باشد و هر نوع تعدی و ظلم را علیه مردم یا حکومت شامل می شود و در مرحله برای مقابله با باغی به مفهوم وسیع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دفاع و مرحله مجازات باغی و شرایط هریک از این دو مرحله با دیگری متفاوت است؛ زیرا چنان که در مفهوم بغی روشن شد، باغی در </w:t>
      </w:r>
    </w:p>
    <w:p>
      <w:pPr>
        <w:pStyle w:val="BookText"/>
        <w:rPr/>
      </w:pPr>
      <w:r>
        <w:rPr>
          <w:rFonts w:ascii="IRNazanin" w:hAnsi="IRNazanin" w:eastAsia="IRNazanin"/>
          <w:color w:val="111111"/>
          <w:sz w:val="28"/>
          <w:sz w:val="28"/>
          <w:szCs w:val="28"/>
          <w:rtl w:val="true"/>
          <w:lang w:bidi="fa-IR"/>
        </w:rPr>
        <w:t>واقع به دنبال تجاوز و در حال انجام مقدمات است که امکان دفع و منع او میسر است و اولین واکنش علیه وی نیز دفاع است و ممکن است دفاع مشروع در تجاوزات عليه مال، جان و ناموس مردم و یا حکومت، بدون این که مسؤولیتی متوجه دفاع کننده باشد، منجر به مرگ متعدی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مرحله اول واکنش علیه باغی، هدف دفاع کننده، دفع متعدی است،</w:t>
      </w:r>
    </w:p>
    <w:p>
      <w:pPr>
        <w:pStyle w:val="BookText"/>
        <w:rPr/>
      </w:pPr>
      <w:r>
        <w:rPr>
          <w:rFonts w:ascii="IRNazanin" w:hAnsi="IRNazanin" w:eastAsia="IRNazanin"/>
          <w:color w:val="111111"/>
          <w:sz w:val="28"/>
          <w:sz w:val="28"/>
          <w:szCs w:val="28"/>
          <w:rtl w:val="true"/>
          <w:lang w:bidi="fa-IR"/>
        </w:rPr>
        <w:t>شخصیت، جنس، عقل، بلوغ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 و قصد باغی در وجود حق دفاع برای</w:t>
      </w:r>
    </w:p>
    <w:p>
      <w:pPr>
        <w:pStyle w:val="BookText"/>
        <w:rPr/>
      </w:pPr>
      <w:r>
        <w:rPr>
          <w:rFonts w:ascii="IRNazanin" w:hAnsi="IRNazanin" w:eastAsia="IRNazanin"/>
          <w:color w:val="111111"/>
          <w:sz w:val="28"/>
          <w:sz w:val="28"/>
          <w:szCs w:val="28"/>
          <w:rtl w:val="true"/>
          <w:lang w:bidi="fa-IR"/>
        </w:rPr>
        <w:t xml:space="preserve">دفاع کننده تأثیری نخواهد داشت؛ زیرا آنچه طرف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اشخاص یا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انجام می دهد، مجازات نیست، بلکه دفاع مشروع است و دلیل آن، علاوه بر ادله نقلی متواتر در خصوص دفاع از مال، جان و ناموس </w:t>
      </w:r>
      <w:r>
        <w:rPr>
          <w:rStyle w:val="FootnoteAnchor"/>
          <w:rtl w:val="true"/>
        </w:rPr>
        <w:footnoteReference w:id="249"/>
      </w:r>
      <w:r>
        <w:rPr>
          <w:rFonts w:ascii="IRNazanin" w:hAnsi="IRNazanin" w:eastAsia="IRNazanin"/>
          <w:color w:val="111111"/>
          <w:sz w:val="28"/>
          <w:sz w:val="28"/>
          <w:szCs w:val="28"/>
          <w:rtl w:val="true"/>
          <w:lang w:bidi="fa-IR"/>
        </w:rPr>
        <w:t>، حکم عقل مسلم و سیره عقلاست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طائِفَتانِ مِنَ المؤمنین </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درباره دفاع کسی که مورد ستم و ظلم قرار گرفته است، نیست، بلکه در ایجاد تکلیف برای شخص ثالث است که باید از مظلوم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امام علی علیه السلام با بغات صفین، نهروان و جمل، بر خلاف ظاهر گفته های فقها که بغی را جدا از جهاد دفاعی ذکر کرده اند نیز بر اساس دفاع بوده است و شواهد زیادی در این باره وجود دارد که به تعدادی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على علیه السلام خبر دادند که ابن ملجم به قصد قتل شما وارد کوفه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لااقتله قبل أن يقتلنی</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خوارج ابن خباب را که الاغ خود را سوار شده بود و قرآن به گردن داشت، بر لب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بردند، سرش را بریدند و شکم زن حامله اش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معرفی کنند تا قصاص شود، آنها گفتند ما همه قاتلیم و تو را نیز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تمام دنیا این گونه به قتل ابن خباب اقرار کنند و من قادر بر قتل و قصاص از آنها باشم، هرآینه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اصحابش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سخت بگیرید و من اولین شما در این امرم</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جنگ صفین کریب بن الوضاح از یاران معاویه سه نفر از اصحاب امام علی علیه السلام را به شهادت رساند و اجسادشان را روی هم انداخت و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مبارزه می گفت، حضرت شخصا به جنگ او شتافت و کریب و دو نفر دیگر را به قصاص سه نفر اصحابش به قتل رساند و این آیه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و اتقوا الله و اعلموا أن الله مع المتقين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قبل از شروع جنگ صفین، حضرت این گونه مناجات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اظهرتنا على عدونا فجنبنا البغي و سددنا للحق و ان اظهرتهم علينا فارزقنا الشهادة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 پروردگار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بر دشمن پیروزی عطا کردی، از تعدی و</w:t>
      </w:r>
    </w:p>
    <w:p>
      <w:pPr>
        <w:pStyle w:val="BookText"/>
        <w:rPr/>
      </w:pPr>
      <w:r>
        <w:rPr>
          <w:rFonts w:ascii="IRNazanin" w:hAnsi="IRNazanin" w:eastAsia="IRNazanin"/>
          <w:color w:val="111111"/>
          <w:sz w:val="28"/>
          <w:sz w:val="28"/>
          <w:szCs w:val="28"/>
          <w:rtl w:val="true"/>
          <w:lang w:bidi="fa-IR"/>
        </w:rPr>
        <w:t xml:space="preserve">زیاده روی باز دار و بر حق پایدارمان بدار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پیروزی دادی، به ما شربت شهادت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جنگها، نه تنها حضرت شروع کننده نبود، بلکه همواره سعی در باز داشتن</w:t>
      </w:r>
    </w:p>
    <w:p>
      <w:pPr>
        <w:pStyle w:val="BookText"/>
        <w:rPr/>
      </w:pPr>
      <w:r>
        <w:rPr>
          <w:rFonts w:ascii="IRNazanin" w:hAnsi="IRNazanin" w:eastAsia="IRNazanin"/>
          <w:color w:val="111111"/>
          <w:sz w:val="28"/>
          <w:sz w:val="28"/>
          <w:szCs w:val="28"/>
          <w:rtl w:val="true"/>
          <w:lang w:bidi="fa-IR"/>
        </w:rPr>
        <w:t>دشمن از جنگ داشت که با بهانه هایی جنگ را شروع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بعد از دریافت خبر بیعت تمام مردم با علی علیه السلام ، علیه حکومت اسلامی طغیان نمود و از بیعت سر بتافت و مردم را تحریک نمود که به خونخواهی عثمان عليه على علیه السلام قيام کنند </w:t>
      </w:r>
      <w:r>
        <w:rPr>
          <w:rStyle w:val="FootnoteAnchor"/>
          <w:rtl w:val="true"/>
        </w:rPr>
        <w:footnoteReference w:id="255"/>
      </w:r>
      <w:r>
        <w:rPr>
          <w:rFonts w:ascii="IRNazanin" w:hAnsi="IRNazanin" w:eastAsia="IRNazanin"/>
          <w:color w:val="111111"/>
          <w:sz w:val="28"/>
          <w:sz w:val="28"/>
          <w:szCs w:val="28"/>
          <w:rtl w:val="true"/>
          <w:lang w:bidi="fa-IR"/>
        </w:rPr>
        <w:t>و از این رو قاسطین 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نهروان و جمل نیز به بهانه هایی علیه حکومت دست به شورش زدند و على علیه السلام در مقام حاکم اسلامی باید از حکومت دینی دفاع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علی علیه السلام انجام داده، یا دفاع و یا قصاص بوده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تعقیب بغاتی که مرکزیت ندارند و نکشتن مجروحانشان و بعكس، تعقیب و کشتن مجروحان آنها که مرکزیت دارند، تنها با اصل دفاع قابل توجیه است؛ زیرا اگر </w:t>
      </w:r>
    </w:p>
    <w:p>
      <w:pPr>
        <w:pStyle w:val="BookText"/>
        <w:rPr/>
      </w:pPr>
      <w:r>
        <w:rPr>
          <w:rFonts w:ascii="IRNazanin" w:hAnsi="IRNazanin" w:eastAsia="IRNazanin"/>
          <w:color w:val="111111"/>
          <w:sz w:val="28"/>
          <w:sz w:val="28"/>
          <w:szCs w:val="28"/>
          <w:rtl w:val="true"/>
          <w:lang w:bidi="fa-IR"/>
        </w:rPr>
        <w:t>دشمن از هم پاشیده است و توان بازگشت ندارد، بیش از آن زیاده روی است که حضرت در مناجات خود از خدا خواسته است چنین نشود و آنها که مرکزیت دارند، به دلیل این که فرارشان برای تجدید قوا و بازگشت دوباره است، در راستای دفاع باید تعقیب و مجروحانشان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زنها، بچه ها و اموالشان به غیر از وسایل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گردونه جنگ نقشی ندارند، تعرض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خسارات وارد بر باغی توسط دفاع کننده جبران نمی شود، اما خسارات وارد بر دفاع کننده باید توسط باغی جبران شود </w:t>
      </w:r>
      <w:r>
        <w:rPr>
          <w:rStyle w:val="FootnoteAnchor"/>
          <w:rtl w:val="true"/>
        </w:rPr>
        <w:footnoteReference w:id="256"/>
      </w:r>
      <w:r>
        <w:rPr>
          <w:rFonts w:ascii="IRNazanin" w:hAnsi="IRNazanin" w:eastAsia="IRNazanin"/>
          <w:color w:val="111111"/>
          <w:sz w:val="28"/>
          <w:sz w:val="28"/>
          <w:szCs w:val="28"/>
          <w:rtl w:val="true"/>
          <w:lang w:bidi="fa-IR"/>
        </w:rPr>
        <w:t>که از آن جمله، تلفات جانی است و ما تمام این مقررات را در دفاع مشروع و استیفای حق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فقها دفاع از حکومت اسلامی، جان، مال و ناموس را یکی از اقسام جهاد</w:t>
      </w:r>
    </w:p>
    <w:p>
      <w:pPr>
        <w:pStyle w:val="BookText"/>
        <w:rPr/>
      </w:pP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در عین حال، خروج عليه امام را که مفهوم آن قيام مسلحانه است و واکنش طبیعی آن، دفاع است، در قسم جداگانه ای مطرح نموده اند که به نظر نگارنده بهتر است جهاد و جنگ بر مبنای ماهیت آن، به دو قسم ابتدایی و دفاعی تقسیم شود که جهاد دفاعی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دفاعی از حکومت اسلامی در مقابل دشمن خارجی و یا داخلی؛ یعنی بغات و دفاع از جان و مال و ناموس خود و یا دیگری که هریک از آنها شرایط خاصی دارد و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شرایط دفاع از جان با شرایط دفاع از مال و یا جان و مال دیگری نسبت به خود متفاوت است؛ چنان که جهاد دفاعی در مقابل دشمن خارجی مشرک و کافر با جهاد دفاعی در مقابل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خارجی یا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عرض حق دفاع برای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حاکم یا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تأسیس شرعی 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تکلیفی دیگری نیز وجود دارد که بر دوش افراد ثالث و بیطرف است و دلیل آن، صریح آیه شریفه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ادله امر به معروف و نهی از منکر، عمومات اعانه و کمک به دیگران، روایت 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رجلا ينادی یا للمسلمين فلم يجبه فليس بمسلم</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و </w:t>
      </w:r>
      <w:bookmarkStart w:id="286" w:name="pg6894_74585"/>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عونك الضعيف من افضل الصدقة</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 صحيحه محمد بن على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قوم من المسلمين عادية ماء او نار وجبت له الجنة</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و فرمایش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خرجوا على امام عادل او جماعة فقاتلوهم</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 قتالان قتال الفئة الباغية حتى يفيؤا و قتال الفئة الكافرة حتى تسلموا</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است که در صورت کمک خواستن مظلوم، باید علیه فرد یا گروه بغات به مدد مظلوم شتافت و از او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انگیزه و قصد باغی هرچه باشد، تأثیری در وظیفه شخص ثالث در دفاع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مورد تعدی قرار گرفته است، به حکم عقل و روایات متواتره، از خود و یا حکومت دفاع می کند و شخص ثالث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یاد کردیم، وظیفه دارد از مظلوم دفاع نماید</w:t>
      </w:r>
      <w:r>
        <w:rPr>
          <w:rFonts w:eastAsia="IRNazanin" w:cs="IRNazanin"/>
          <w:color w:val="111111"/>
          <w:sz w:val="28"/>
          <w:szCs w:val="28"/>
          <w:rtl w:val="true"/>
          <w:lang w:bidi="fa-IR"/>
        </w:rPr>
        <w:t>.</w:t>
      </w:r>
    </w:p>
    <w:p>
      <w:pPr>
        <w:pStyle w:val="Heading6"/>
        <w:numPr>
          <w:ilvl w:val="5"/>
          <w:numId w:val="1"/>
        </w:numPr>
        <w:rPr/>
      </w:pPr>
      <w:bookmarkStart w:id="287" w:name="__RefHeading___Toc1440440_372815092"/>
      <w:bookmarkStart w:id="288" w:name="_Toc106"/>
      <w:bookmarkEnd w:id="287"/>
      <w:r>
        <w:rPr>
          <w:rtl w:val="true"/>
        </w:rPr>
        <w:t>ب</w:t>
      </w:r>
      <w:r>
        <w:rPr>
          <w:rtl w:val="true"/>
        </w:rPr>
        <w:t xml:space="preserve">) </w:t>
      </w:r>
      <w:r>
        <w:rPr>
          <w:rtl w:val="true"/>
        </w:rPr>
        <w:t>مجازات باغی</w:t>
      </w:r>
      <w:r>
        <w:rPr>
          <w:rtl w:val="true"/>
        </w:rPr>
        <w:t>:</w:t>
      </w:r>
      <w:bookmarkEnd w:id="28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و واکنش علیه باغی با دفاع مشروع خاتمه پیدا نمی کند، بلکه بعد از مرحله دفاع، هنگام حسابرسی و مجازات اوست که شرایط عمومی تکلیف و قصد و انگیزه باغی در این مرحله بر خلاف مرحله دفاع، مورد توجه است، بلکه تأثیری اساسی بر میزان و نوع مجازات خواهد داشت که ممکن است مصداق حد یا تعزیر باشد و نیز اگر بغى عليه حکومت بوده است، در صورتی که باغی دست یافتنی باشد، باید مجازات او متناسب با قصد و عمل ارتکابی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نسبت به حکومت باغی است و اصول دینی و احکام مسلم آن را قبول دارد و احیانا حرکت او از روی خیرخواهی بوده و به خطا رفته است، با کسی که موارد فوق یا یکی از آنها را قبول ندارد و در پی سرنگونی حکومت دینی و ایجاد حکومت لائیک و الحادی است و یا اگر اصول و مسلمات را قبول دارد، سودجویی، دنیاطلبی و هواپرستی باعث حرکت او شده است، تفاوت خواهد داشت؛ زیرا عمل انجام شده با توجه به قصد و نیت مرتکب، عناوین متفاوتی پیدا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مثال اول، باغی مسلمان است و باید نسبت به حق فروتن باشد، خسارات وارد</w:t>
      </w:r>
    </w:p>
    <w:p>
      <w:pPr>
        <w:pStyle w:val="BookText"/>
        <w:rPr/>
      </w:pPr>
      <w:r>
        <w:rPr>
          <w:rFonts w:ascii="IRNazanin" w:hAnsi="IRNazanin" w:eastAsia="IRNazanin"/>
          <w:color w:val="111111"/>
          <w:sz w:val="28"/>
          <w:sz w:val="28"/>
          <w:szCs w:val="28"/>
          <w:rtl w:val="true"/>
          <w:lang w:bidi="fa-IR"/>
        </w:rPr>
        <w:t>شده را جبران نماید و مجازات آنچه را مرتکب شده است،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باغی مرتد و حکمش در اسلام،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سوم، باغی مسلمان و محارب</w:t>
      </w:r>
    </w:p>
    <w:p>
      <w:pPr>
        <w:pStyle w:val="BookText"/>
        <w:rPr/>
      </w:pPr>
      <w:r>
        <w:rPr>
          <w:rFonts w:ascii="IRNazanin" w:hAnsi="IRNazanin" w:eastAsia="IRNazanin"/>
          <w:color w:val="111111"/>
          <w:sz w:val="28"/>
          <w:sz w:val="28"/>
          <w:szCs w:val="28"/>
          <w:rtl w:val="true"/>
          <w:lang w:bidi="fa-IR"/>
        </w:rPr>
        <w:t>است که مجازاتش در قرآن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حالات در ارتکاب گناهان دیگر؛ از جمله تعدی به جان، مال و ناموس مردم</w:t>
      </w:r>
    </w:p>
    <w:p>
      <w:pPr>
        <w:pStyle w:val="BookText"/>
        <w:rPr/>
      </w:pPr>
      <w:r>
        <w:rPr>
          <w:rFonts w:ascii="IRNazanin" w:hAnsi="IRNazanin" w:eastAsia="IRNazanin"/>
          <w:color w:val="111111"/>
          <w:sz w:val="28"/>
          <w:sz w:val="28"/>
          <w:szCs w:val="28"/>
          <w:rtl w:val="true"/>
          <w:lang w:bidi="fa-IR"/>
        </w:rPr>
        <w:t>نیز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متعدی، این امور را حلال بداند، مرتد است والا با وجود شرایط محاربه، محارب خواهد بود و تجاوز به جان دیگری به اعتقاد مهدورالدم بودن، تنها موجب خسارت است و تجاوز به مال و ناموس دیگری به توهم مال یا همسر خود بودن، موجب حد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که در جرایم علیه اشخاص، تنها به عمل مرتکب توجه نمی شود، بلکه قصد و انگیزه نیز اهمیت دارد، حتی ملاک تمیز بین عناوین مختلف است، در جرایم علیه حکومت نیز این گونه است و هر اقدامی که علیه حکومت باشد، بدون کشف قصد و انگیزه مرتکب نمی تواند محارب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برای جرم بغی و احکام مترتب بر آن، سه شرط قائل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تعدادبغات به قدری باشد که متفرق کردن آنها بدون تجهیز سپاه و جنگ ممکن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قبضه و سیطره امام خارج شده و به شهر یا بادیه دیگری رفته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عمل خود توجیه و تأویل داشته باشند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آنگاه نتیجه می گیرد که اگر تأویل نداشته باشند، محاربند و حد محارب بر آنها</w:t>
      </w:r>
    </w:p>
    <w:p>
      <w:pPr>
        <w:pStyle w:val="BookText"/>
        <w:rPr/>
      </w:pPr>
      <w:r>
        <w:rPr>
          <w:rFonts w:ascii="IRNazanin" w:hAnsi="IRNazanin" w:eastAsia="IRNazanin"/>
          <w:color w:val="111111"/>
          <w:sz w:val="28"/>
          <w:sz w:val="28"/>
          <w:szCs w:val="28"/>
          <w:rtl w:val="true"/>
          <w:lang w:bidi="fa-IR"/>
        </w:rPr>
        <w:t>جاری خواهد شد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چنان که اگر تعداد افراد آنها 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علامه، یازده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آنهایی خواهند بود که تأویل نداشته اند و حد محارب بر آنها جاری می شود </w:t>
      </w:r>
      <w:r>
        <w:rPr>
          <w:rStyle w:val="FootnoteAnchor"/>
          <w:rtl w:val="true"/>
        </w:rPr>
        <w:footnoteReference w:id="265"/>
      </w: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 اسم ذم و کفر است</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نیز سه شرط فوق را آورده است و از شیخ و ابن ادریس نیز نقل کرده است که کم بودن تعداد، موجب می شود که افراد، محارب باشند، اما آن را ضعیف شمرده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مرحوم شهید ثانی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باغی کسی است که علیه امام معصوم خروج کند؛ یک</w:t>
      </w:r>
    </w:p>
    <w:p>
      <w:pPr>
        <w:pStyle w:val="BookText"/>
        <w:rPr/>
      </w:pPr>
      <w:r>
        <w:rPr>
          <w:rFonts w:ascii="IRNazanin" w:hAnsi="IRNazanin" w:eastAsia="IRNazanin"/>
          <w:color w:val="111111"/>
          <w:sz w:val="28"/>
          <w:sz w:val="28"/>
          <w:szCs w:val="28"/>
          <w:rtl w:val="true"/>
          <w:lang w:bidi="fa-IR"/>
        </w:rPr>
        <w:t>نفر باشد، مثل ابن ملجم یا بیشتر، مثل اهل جمل و صفین</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صرف نظر از این که بغی اختصاص به قیام علیه امام معصوم علیه السلام ندارد، شرایطی که مرحوم علامه و شیخ برای تحقق جرم بغی شمرده اند نیز بدون دلیل و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واکنش و مقابله عليه باغی و متجاوز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توسط طرف مورد تجاوز انجام بگیرد که به حکم عقل و روایات، این حق را دارد و یا توسط شخص ثالث که به حکم آیه شریفه طائفه و روایات، این وظیفه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دفاع است و خروج عليه امام نیز واکنش طبیعی دفاع را به دنبال دارد و تنها رعایت اصول دفاع لازم است و قصد و انگیزه باغی و متجاوز؛ ولو عابد و زاهد باشد، هیچ نقشی در داشتن حق یا وظیفه دفاع ندارد و جای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كم بودن تعداد افراد نمی تواند ماهیت عمل و قصد مرتکب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وسیله نمی توان کسی را که شرایط محارب بودن را ندارد، محارب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کسانی که توجیه دارند و احیانا به دلیل خیرخواهی یا تعصب دینی دست به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زده اند، اما به خطا رفته اند، با محارب که تنها انگیزه فساد، هواپرستی و دنیاطلبی دارد، قابل مقایسه نیست، بلکه تساوی در مجازات آنها منطبق با عدالت نمی باشد و بالاخره در این که بغی، اسم ذم است، جای شک نیست و هیچ منصفی نیز بغی و تجاوز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روی اجتهاد غلط و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نمی کند، اما لازمه مذموم بودن بغی، کفر نیست؛ زیرا عمل مرتکب بدون توجه به قصد و انگیزه نسبت به اعتقاد وی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کفر بودن بغی به عنوان یک گناه، با مذهب شیعه، بلکه همه مذاهب اسلامی، غیر از خوارج که مرتکب کبیره را کافر می دانند، سازگاری ندارد و اگر مراد شیخ از کفر بودن بغی، بغى عليه امام معصوم است، تمام آنها که علیه امام معصوم قیام و یا با او مخالفت نموده اند، باید مرتد باشند و احکام ارتداد بر آنها جاری شود و اگر مراد، کفر به معنای عام است که هر گناهی در عین حال که انسان را از مسلمانی خارج نمی کند، نوعی کفر است، فرمایش شیخ مورد قبول و متین است</w:t>
      </w:r>
      <w:r>
        <w:rPr>
          <w:rFonts w:eastAsia="IRNazanin" w:cs="IRNazanin"/>
          <w:color w:val="111111"/>
          <w:sz w:val="28"/>
          <w:szCs w:val="28"/>
          <w:rtl w:val="true"/>
          <w:lang w:bidi="fa-IR"/>
        </w:rPr>
        <w:t xml:space="preserve">. </w:t>
      </w:r>
      <w:bookmarkStart w:id="289" w:name="pg6894_74588"/>
    </w:p>
    <w:p>
      <w:pPr>
        <w:pStyle w:val="Heading5"/>
        <w:numPr>
          <w:ilvl w:val="4"/>
          <w:numId w:val="1"/>
        </w:numPr>
        <w:rPr/>
      </w:pPr>
      <w:bookmarkStart w:id="290" w:name="__RefHeading___Toc1440442_372815092"/>
      <w:bookmarkStart w:id="291" w:name="_Toc107"/>
      <w:bookmarkEnd w:id="289"/>
      <w:bookmarkEnd w:id="290"/>
      <w:r>
        <w:rPr>
          <w:rtl w:val="true"/>
        </w:rPr>
        <w:t>کتابنامه</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جمهور 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في ذكر الحلال و الحرام، آل البيت،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حلی، ابوجعفر محمد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السرائر،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نشر اسلامی،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الكتاب العظيم،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دار صادر،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الوسیله،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 دار الكتب،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بن ابراهيم بن المغيره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چاپ اول، دارالقلم،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الجزیری،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على المذاهب الأربعة،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اول، دارالفکر، بیروت، بی تا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الجصاص، ابوبکر احمد بن على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احیاء التراث،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الى تحصیل مسائل الشریعه، احياء التراث،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جمال الدین حسن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آل البيت،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جمال الدین حسن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 نشر اسلامی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سیداحمد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دوم، اسماعیلیان قم،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ابوالقاسم حسين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الفاظ القرآن، چاپ سوم، مرتضوی،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المنار، چاپ سوم آفست، دار المعرفة، بیروت، بیتا۔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الاسلامی،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چاپ سوم، دارالفکر، دمشق،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سرخسی،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محمد 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چاپ دوم، دار المعرفة،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في شرح اللمعة الدمشقیه،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دفتر تبلیغات اسلامی،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دو جلدی، معارف اسلامی،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حسین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چاپ هفتم، 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تفسير طبری،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سوم، عالم الكتب،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چاپ سوم، نشر اسلامی، تهران،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دفتر تبلیغات 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دارصعب،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چاپ سوم، نشر اسلامی،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ابوجعفر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مرتضویه، تهران،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الدين محمد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الفوائد، چاپ اول،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الفراء ابویعلی، محمد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السلطانیه، نشر اسلامی، قم، بیتا۔</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الى آیات الاحکام،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مرتضویه،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علی الدر المنضور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آية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دارالقرآن،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دوم، دار صعب،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گلپایگانی، سیدمحمدرضا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القرآن،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ماوردی، ابوالحسن علی بن محمد بن حبيب البصري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الحاوى الكبير في فقه الشافعی،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الانوار،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چاپ دوم، اسلامیه،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چاپ سوم، دار الكتب،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ابوالقاسم نجم الدین جعفر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سوم، اسماعیلیان،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اردبیلی، مولی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 البرهان،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چاپ اول، نشر اسلامی،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احمد بن محمد 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مؤسسة التاريخ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العاملی، ملقب به شهید اول، محمد بن 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الدمشقیه، چاپ پنجم، دار الفكر،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خویی، سید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المنهاج،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دارالزهری،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شرایع،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اسلامیه،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میرزاحسین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چاپ سوم،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سیدمحمود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فقهيه، چاپ اول، الغدیر،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92" w:name="pg6894_74590"/>
    </w:p>
    <w:p>
      <w:pPr>
        <w:pStyle w:val="Heading4"/>
        <w:numPr>
          <w:ilvl w:val="3"/>
          <w:numId w:val="1"/>
        </w:numPr>
        <w:rPr/>
      </w:pPr>
      <w:bookmarkStart w:id="293" w:name="__RefHeading___Toc1440444_372815092"/>
      <w:bookmarkStart w:id="294" w:name="_Toc108"/>
      <w:bookmarkEnd w:id="292"/>
      <w:bookmarkEnd w:id="293"/>
      <w:r>
        <w:rPr>
          <w:rtl w:val="true"/>
        </w:rPr>
        <w:t>ارتداد</w:t>
      </w:r>
      <w:bookmarkEnd w:id="294"/>
    </w:p>
    <w:p>
      <w:pPr>
        <w:pStyle w:val="Heading5"/>
        <w:numPr>
          <w:ilvl w:val="4"/>
          <w:numId w:val="1"/>
        </w:numPr>
        <w:rPr/>
      </w:pPr>
      <w:bookmarkStart w:id="295" w:name="__RefHeading___Toc1440446_372815092"/>
      <w:bookmarkStart w:id="296" w:name="_Toc109"/>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 xml:space="preserve">یا ایها الَّذِينَ آمَنُوا مَنْ يَرْتَدَّ مِنْكُمْ عَنْ دِينِهِ فَسَوْفَ يَأْتِي اللَّهُ بِقَوْمٍ يُحِبُّهُمْ وَ يُحِبُّونَهُ أَذِلَّةٍ علی الْمُؤْمِنِينَ أَعِزَّةٍ عَلَى الْكافِرِينَ يُجاهِدُونَ فِي سَبِيلِ اللَّهِ وَ لا يَخافُونَ لَوْمَةَ لائِمٍ ذلِكَ فَضْلُ اللَّهِ يُؤْتِيهِ مَنْ يَشاءُ وَ اللَّهُ واسِعُ عَلِيمُ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1440448_372815092"/>
      <w:bookmarkStart w:id="298" w:name="_Toc110"/>
      <w:bookmarkEnd w:id="297"/>
      <w:r>
        <w:rPr>
          <w:rtl w:val="true"/>
        </w:rPr>
        <w:t>مقدمه</w:t>
      </w:r>
      <w:bookmarkEnd w:id="29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عنوان بزرگترین نعمت الهی، ریسمان اتحاد و برادری در بین مسلمانان و وسیله نجات از هلاکت حتمی است و باید همچون صدر اسلام در جهت استحکام اخوت که به معنای همسویی </w:t>
      </w:r>
      <w:r>
        <w:rPr>
          <w:rStyle w:val="FootnoteAnchor"/>
          <w:rtl w:val="true"/>
        </w:rPr>
        <w:footnoteReference w:id="270"/>
      </w:r>
      <w:r>
        <w:rPr>
          <w:rFonts w:ascii="IRNazanin" w:hAnsi="IRNazanin" w:eastAsia="IRNazanin"/>
          <w:color w:val="111111"/>
          <w:sz w:val="28"/>
          <w:sz w:val="28"/>
          <w:szCs w:val="28"/>
          <w:rtl w:val="true"/>
          <w:lang w:bidi="fa-IR"/>
        </w:rPr>
        <w:t xml:space="preserve">است، تلاش نمود و از اهانت به دیگران که ثمره تلخ آن، به فرموده حضرت ختمی مرتبت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عداوت و دشمنی در بین مسلمانان</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است،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تهمتهای ناروای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شدیدا مورد نهی قرار گرفته است و به فرموده فرزندان پاک آن حضرت، امام باقر و امام صادق عليهما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خواهد شد تهمت زننده در چاه کفر و لعنتی که ساخته دست خود اوست، گرفتار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مشکلات عدیده ای را </w:t>
      </w:r>
      <w:bookmarkStart w:id="299" w:name="pg6894_74591"/>
    </w:p>
    <w:p>
      <w:pPr>
        <w:pStyle w:val="BookText"/>
        <w:rPr/>
      </w:pPr>
      <w:bookmarkEnd w:id="299"/>
      <w:r>
        <w:rPr>
          <w:rFonts w:ascii="IRNazanin" w:hAnsi="IRNazanin" w:eastAsia="IRNazanin"/>
          <w:color w:val="111111"/>
          <w:sz w:val="28"/>
          <w:sz w:val="28"/>
          <w:szCs w:val="28"/>
          <w:rtl w:val="true"/>
          <w:lang w:bidi="fa-IR"/>
        </w:rPr>
        <w:t xml:space="preserve">بر سر راه اتحاد مسلمانان قرار داده است، به طوری که کسی از ضربات دردناک 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دور نمانده است، در حالی که همگی بر یگانگی ذات حق و پیامبری رسول مکرم اسلام صلی الله علیه واله اقرار داشته و به قیامت اعتقاد دارند و برای به دست آوردن نعمتهای اخروی تلاش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بازگشت به عزت اسلامی، راهی جز تمسک به این آیه شریفه نیست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اذ كُنْتُمْ أَعْدَاءً فَأَلَّفَ بَيْنَ قُلُوبِكُمْ فَأَصْبَحْتُمْ بِنِعْمَتِهِ إِخْواناً وَ کنتم عَلى شَفا حُفْرَةٍ مِنَ النَّارِ فَأَنْقَذَكُمْ مِنْها كَذلِكَ يُبَيِّنُ اللَّهُ لَكُمْ آياتِهِ لَعَلَّكُمْ تَهْتَدُونَ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از موضوعات حساس و مهم فقهی در بین شیعه و سنی است و في الجمله در</w:t>
      </w:r>
    </w:p>
    <w:p>
      <w:pPr>
        <w:pStyle w:val="BookText"/>
        <w:rPr/>
      </w:pPr>
      <w:r>
        <w:rPr>
          <w:rFonts w:ascii="IRNazanin" w:hAnsi="IRNazanin" w:eastAsia="IRNazanin"/>
          <w:color w:val="111111"/>
          <w:sz w:val="28"/>
          <w:sz w:val="28"/>
          <w:szCs w:val="28"/>
          <w:rtl w:val="true"/>
          <w:lang w:bidi="fa-IR"/>
        </w:rPr>
        <w:t xml:space="preserve">احکام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مرتد، جدا شدن زن از شوهر مرتد و منتقل شدن اموالش به فرزندان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 اما این که مرتد کیست، انواع و عوامل آن کدام است و آیا توبه مرتد پذیرفته می شود یا خیر،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احکام ارتداد و فروع آن به طور مفصل مورد بحث فقها قرار گرفته</w:t>
      </w:r>
    </w:p>
    <w:p>
      <w:pPr>
        <w:pStyle w:val="BookText"/>
        <w:rPr/>
      </w:pPr>
      <w:r>
        <w:rPr>
          <w:rFonts w:ascii="IRNazanin" w:hAnsi="IRNazanin" w:eastAsia="IRNazanin"/>
          <w:color w:val="111111"/>
          <w:sz w:val="28"/>
          <w:sz w:val="28"/>
          <w:szCs w:val="28"/>
          <w:rtl w:val="true"/>
          <w:lang w:bidi="fa-IR"/>
        </w:rPr>
        <w:t>است، در این نوشتار عمدتا به تحقیق درباره عوامل آن خواهیم پرداخت که اساس بحث ارتداد است و برای روشن شدن ارتداد به معنای مصطلح آن، ابتدا فصلی تحت عنوان کلیات می آوریم، آنگاه به عوامل ارتداد می پردازیم و در پایان، درباره توبه مرتد، مطالبی عنوان خواهیم کرد</w:t>
      </w:r>
      <w:r>
        <w:rPr>
          <w:rFonts w:eastAsia="IRNazanin" w:cs="IRNazanin"/>
          <w:color w:val="111111"/>
          <w:sz w:val="28"/>
          <w:szCs w:val="28"/>
          <w:rtl w:val="true"/>
          <w:lang w:bidi="fa-IR"/>
        </w:rPr>
        <w:t>.</w:t>
      </w:r>
    </w:p>
    <w:p>
      <w:pPr>
        <w:pStyle w:val="Heading5"/>
        <w:numPr>
          <w:ilvl w:val="4"/>
          <w:numId w:val="1"/>
        </w:numPr>
        <w:rPr/>
      </w:pPr>
      <w:bookmarkStart w:id="300" w:name="__RefHeading___Toc1440450_372815092"/>
      <w:bookmarkStart w:id="301" w:name="_Toc111"/>
      <w:bookmarkEnd w:id="300"/>
      <w:r>
        <w:rPr>
          <w:rtl w:val="true"/>
        </w:rPr>
        <w:t>کلیات</w:t>
      </w:r>
      <w:bookmarkEnd w:id="301"/>
    </w:p>
    <w:p>
      <w:pPr>
        <w:pStyle w:val="Heading6"/>
        <w:numPr>
          <w:ilvl w:val="5"/>
          <w:numId w:val="1"/>
        </w:numPr>
        <w:rPr/>
      </w:pPr>
      <w:bookmarkStart w:id="302" w:name="__RefHeading___Toc1440452_372815092"/>
      <w:bookmarkStart w:id="303" w:name="_Toc112"/>
      <w:bookmarkEnd w:id="302"/>
      <w:r>
        <w:rPr>
          <w:rtl w:val="true"/>
        </w:rPr>
        <w:t>اسلام چیست، مسلمان کیست؟</w:t>
      </w:r>
      <w:bookmarkEnd w:id="30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لغت به معنای انقیاد و خضوع در مقابل ذات اقدس الهی است </w:t>
      </w:r>
      <w:r>
        <w:rPr>
          <w:rStyle w:val="FootnoteAnchor"/>
          <w:rtl w:val="true"/>
        </w:rPr>
        <w:footnoteReference w:id="273"/>
      </w:r>
      <w:r>
        <w:rPr>
          <w:rFonts w:ascii="IRNazanin" w:hAnsi="IRNazanin" w:eastAsia="IRNazanin"/>
          <w:color w:val="111111"/>
          <w:sz w:val="28"/>
          <w:sz w:val="28"/>
          <w:szCs w:val="28"/>
          <w:rtl w:val="true"/>
          <w:lang w:bidi="fa-IR"/>
        </w:rPr>
        <w:t xml:space="preserve">و در آیه شریفه </w:t>
      </w:r>
    </w:p>
    <w:p>
      <w:pPr>
        <w:pStyle w:val="BookText"/>
        <w:rPr/>
      </w:pP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الدین عندالله الاسلام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طاعت خدا جز تسلیم در برابر اوامر و نواهی او نیست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و اصطلاحا به معنای مجموعه اعتقادات و دستورات الهی است که در قالب قرآن و سنت بر مردم عرضه شده است و مسلمان کسی است که این مجموعه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باشد؛ در حالی که ایمان، پذیرش قلبی اسلام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از این رو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ایمان، قلب است و محل اسلام، زبان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از دایره ایمان خارج نمی شود مگر به ترک آنچه صفت ایمان است و صفت</w:t>
      </w:r>
    </w:p>
    <w:p>
      <w:pPr>
        <w:pStyle w:val="BookText"/>
        <w:rPr/>
      </w:pPr>
      <w:r>
        <w:rPr>
          <w:rFonts w:ascii="IRNazanin" w:hAnsi="IRNazanin" w:eastAsia="IRNazanin"/>
          <w:color w:val="111111"/>
          <w:sz w:val="28"/>
          <w:sz w:val="28"/>
          <w:szCs w:val="28"/>
          <w:rtl w:val="true"/>
          <w:lang w:bidi="fa-IR"/>
        </w:rPr>
        <w:t>ایمان، انجام فرایض بزرگ به طور پیوسته و ترک گناهان کبیره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روایات متعددی ضمن تعریف اسلام و ایمان، آثار ظاهری اسلام نیز بیان شده</w:t>
      </w:r>
    </w:p>
    <w:p>
      <w:pPr>
        <w:pStyle w:val="BookText"/>
        <w:rPr/>
      </w:pPr>
      <w:r>
        <w:rPr>
          <w:rFonts w:ascii="IRNazanin" w:hAnsi="IRNazanin" w:eastAsia="IRNazanin"/>
          <w:color w:val="111111"/>
          <w:sz w:val="28"/>
          <w:sz w:val="28"/>
          <w:szCs w:val="28"/>
          <w:rtl w:val="true"/>
          <w:lang w:bidi="fa-IR"/>
        </w:rPr>
        <w:t>است که در این جا به نقل چند نمونه اكتفا می شود</w:t>
      </w:r>
    </w:p>
    <w:p>
      <w:pPr>
        <w:pStyle w:val="BookText"/>
        <w:rPr/>
      </w:pPr>
      <w:r>
        <w:rPr>
          <w:rFonts w:ascii="IRNazanin" w:hAnsi="IRNazanin" w:eastAsia="IRNazanin"/>
          <w:color w:val="111111"/>
          <w:sz w:val="28"/>
          <w:sz w:val="28"/>
          <w:szCs w:val="28"/>
          <w:rtl w:val="true"/>
          <w:lang w:bidi="fa-IR"/>
        </w:rPr>
        <w:t>سماعه از امام 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شهادت بر یگانگی خدا و تصدیق فرستاده اوست که به این وسیله خونها حفظ</w:t>
      </w:r>
    </w:p>
    <w:p>
      <w:pPr>
        <w:pStyle w:val="BookText"/>
        <w:rPr/>
      </w:pPr>
      <w:r>
        <w:rPr>
          <w:rFonts w:ascii="IRNazanin" w:hAnsi="IRNazanin" w:eastAsia="IRNazanin"/>
          <w:color w:val="111111"/>
          <w:sz w:val="28"/>
          <w:sz w:val="28"/>
          <w:szCs w:val="28"/>
          <w:rtl w:val="true"/>
          <w:lang w:bidi="fa-IR"/>
        </w:rPr>
        <w:t>می شود و نکاح و انتقال ارث صورت میگیرد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نیز صیرفی از آن حضرت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چیزی است که موجب حرمت خون، وجوب رد امانت و حلال شدن فروج می شود، اما ثواب و اجر اخروی متعلق به ایمان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همچنین امام باقر علیه السلام در پاسخ اسماعیل جعفی که از دایره دین سؤال می کند،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وسیع است و خوارج به دلیل نادانی آن را بر خود تنگ کردند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صادق علیه السلام در جواب مردی که معنای اسلام و ایمان را سؤال کرد، فرمودند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همان ظاهری است که مردم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وحدانیت خدا و رسالت پیامبر اسلام صلی الله علیه واله این شهادت می دهند، نماز اقامه میکنند، زکات می پردازند و حج به جا </w:t>
      </w:r>
      <w:bookmarkStart w:id="304" w:name="pg6894_74593"/>
    </w:p>
    <w:p>
      <w:pPr>
        <w:pStyle w:val="BookText"/>
        <w:rPr/>
      </w:pPr>
      <w:bookmarkEnd w:id="304"/>
      <w:r>
        <w:rPr>
          <w:rFonts w:ascii="IRNazanin" w:hAnsi="IRNazanin" w:eastAsia="IRNazanin"/>
          <w:color w:val="111111"/>
          <w:sz w:val="28"/>
          <w:sz w:val="28"/>
          <w:szCs w:val="28"/>
          <w:rtl w:val="true"/>
          <w:lang w:bidi="fa-IR"/>
        </w:rPr>
        <w:t>می آورند و روزه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شناخت قلبی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شهادت را به زبان آورد، اما اقرار به ولایت نداشته باشد، مسلمان گمراه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باب اول از جلد اول وسائل آمده است که 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زکات، روزه،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مظاهر و امهات اسلام است که هر مسلمانی باید آنها را بداند </w:t>
      </w:r>
      <w:r>
        <w:rPr>
          <w:rStyle w:val="FootnoteAnchor"/>
          <w:rtl w:val="true"/>
        </w:rPr>
        <w:footnoteReference w:id="283"/>
      </w:r>
      <w:r>
        <w:rPr>
          <w:rFonts w:ascii="IRNazanin" w:hAnsi="IRNazanin" w:eastAsia="IRNazanin"/>
          <w:color w:val="111111"/>
          <w:sz w:val="28"/>
          <w:sz w:val="28"/>
          <w:szCs w:val="28"/>
          <w:rtl w:val="true"/>
          <w:lang w:bidi="fa-IR"/>
        </w:rPr>
        <w:t>و به آنها عمل کند</w:t>
      </w:r>
      <w:r>
        <w:rPr>
          <w:rFonts w:eastAsia="IRNazanin" w:cs="IRNazanin"/>
          <w:color w:val="111111"/>
          <w:sz w:val="28"/>
          <w:szCs w:val="28"/>
          <w:rtl w:val="true"/>
          <w:lang w:bidi="fa-IR"/>
        </w:rPr>
        <w:t>.</w:t>
      </w:r>
    </w:p>
    <w:p>
      <w:pPr>
        <w:pStyle w:val="Heading6"/>
        <w:numPr>
          <w:ilvl w:val="5"/>
          <w:numId w:val="1"/>
        </w:numPr>
        <w:rPr/>
      </w:pPr>
      <w:bookmarkStart w:id="305" w:name="__RefHeading___Toc1440454_372815092"/>
      <w:bookmarkStart w:id="306" w:name="_Toc113"/>
      <w:bookmarkEnd w:id="305"/>
      <w:r>
        <w:rPr>
          <w:rtl w:val="true"/>
        </w:rPr>
        <w:t>كفر چیست، کافر کیست؟</w:t>
      </w:r>
      <w:bookmarkEnd w:id="306"/>
    </w:p>
    <w:p>
      <w:pPr>
        <w:pStyle w:val="BookText"/>
        <w:rPr/>
      </w:pPr>
      <w:r>
        <w:rPr>
          <w:rFonts w:ascii="IRNazanin" w:hAnsi="IRNazanin" w:eastAsia="IRNazanin"/>
          <w:color w:val="111111"/>
          <w:sz w:val="28"/>
          <w:sz w:val="28"/>
          <w:szCs w:val="28"/>
          <w:rtl w:val="true"/>
          <w:lang w:bidi="fa-IR"/>
        </w:rPr>
        <w:t>کفر در لغت به معنای پوشش است و وجه تسمیه کفاره به این نام آن است که گناه را می پوشاند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به کشاورز نیز کافر می گویند چون بذر را در زمین پنهان می کند و کافور به پوسته میوه گفته می شود</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 کفر در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بَعْدَ ذلِكَ 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نیز به معنای ساتر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کفر به معنای مطلق، اعظم از فسق </w:t>
      </w:r>
      <w:r>
        <w:rPr>
          <w:rStyle w:val="FootnoteAnchor"/>
          <w:rtl w:val="true"/>
        </w:rPr>
        <w:footnoteReference w:id="287"/>
      </w:r>
      <w:r>
        <w:rPr>
          <w:rFonts w:ascii="IRNazanin" w:hAnsi="IRNazanin" w:eastAsia="IRNazanin"/>
          <w:color w:val="111111"/>
          <w:sz w:val="28"/>
          <w:sz w:val="28"/>
          <w:szCs w:val="28"/>
          <w:rtl w:val="true"/>
          <w:lang w:bidi="fa-IR"/>
        </w:rPr>
        <w:t>و فسق، به معنای خروج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 العقول از امام صادق عليه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يخرج من الايمان بخمس جهات من الفعل كلها متشابهات معروفات، الكفر و</w:t>
      </w:r>
    </w:p>
    <w:p>
      <w:pPr>
        <w:pStyle w:val="BookText"/>
        <w:rPr/>
      </w:pPr>
      <w:r>
        <w:rPr>
          <w:rFonts w:ascii="IRNazanin" w:hAnsi="IRNazanin" w:eastAsia="IRNazanin"/>
          <w:color w:val="111111"/>
          <w:sz w:val="28"/>
          <w:sz w:val="28"/>
          <w:szCs w:val="28"/>
          <w:rtl w:val="true"/>
          <w:lang w:bidi="fa-IR"/>
        </w:rPr>
        <w:t>الشرک و الضلال و الفسق و ركوب الكبائر</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 کافر</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الفريضة كافر</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قرآن کریم پنج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جحود و انکار؛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ترک دستورات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برائت؛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و انکار،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قلب است و در زبان مقر است و یا به عکس</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جحود لفظی این است که اگر معصیت می کند، اقرار به معصیت خود نداشته باشد</w:t>
      </w:r>
      <w:r>
        <w:rPr>
          <w:rFonts w:eastAsia="IRNazanin" w:cs="IRNazanin"/>
          <w:color w:val="111111"/>
          <w:sz w:val="28"/>
          <w:szCs w:val="28"/>
          <w:rtl w:val="true"/>
          <w:lang w:bidi="fa-IR"/>
        </w:rPr>
        <w:t xml:space="preserve">. </w:t>
      </w:r>
      <w:bookmarkStart w:id="307" w:name="pg6894_74594"/>
    </w:p>
    <w:p>
      <w:pPr>
        <w:pStyle w:val="BookText"/>
        <w:rPr/>
      </w:pPr>
      <w:bookmarkEnd w:id="307"/>
      <w:r>
        <w:rPr>
          <w:rFonts w:ascii="IRNazanin" w:hAnsi="IRNazanin" w:eastAsia="IRNazanin"/>
          <w:color w:val="111111"/>
          <w:sz w:val="28"/>
          <w:sz w:val="28"/>
          <w:szCs w:val="28"/>
          <w:rtl w:val="true"/>
          <w:lang w:bidi="fa-IR"/>
        </w:rPr>
        <w:t>با توجه به مطالب و روایات فوق، آشکار می شود که کفر، حقیقت شرعیه ندارد،</w:t>
      </w:r>
    </w:p>
    <w:p>
      <w:pPr>
        <w:pStyle w:val="BookText"/>
        <w:rPr/>
      </w:pPr>
      <w:r>
        <w:rPr>
          <w:rFonts w:ascii="IRNazanin" w:hAnsi="IRNazanin" w:eastAsia="IRNazanin"/>
          <w:color w:val="111111"/>
          <w:sz w:val="28"/>
          <w:sz w:val="28"/>
          <w:szCs w:val="28"/>
          <w:rtl w:val="true"/>
          <w:lang w:bidi="fa-IR"/>
        </w:rPr>
        <w:t xml:space="preserve">بلکه اعم است از معصیت خدا در عین پذیرش او و یا انکار هر یک از اصول سه گانه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و احکام ضروری اسلام</w:t>
      </w:r>
      <w:r>
        <w:rPr>
          <w:rFonts w:eastAsia="IRNazanin" w:cs="IRNazanin"/>
          <w:color w:val="111111"/>
          <w:sz w:val="28"/>
          <w:szCs w:val="28"/>
          <w:rtl w:val="true"/>
          <w:lang w:bidi="fa-IR"/>
        </w:rPr>
        <w:t>.</w:t>
      </w:r>
    </w:p>
    <w:p>
      <w:pPr>
        <w:pStyle w:val="Heading6"/>
        <w:numPr>
          <w:ilvl w:val="5"/>
          <w:numId w:val="1"/>
        </w:numPr>
        <w:rPr/>
      </w:pPr>
      <w:bookmarkStart w:id="308" w:name="__RefHeading___Toc1440456_372815092"/>
      <w:bookmarkStart w:id="309" w:name="_Toc114"/>
      <w:bookmarkEnd w:id="308"/>
      <w:r>
        <w:rPr>
          <w:rtl w:val="true"/>
        </w:rPr>
        <w:t>شرک و توحید</w:t>
      </w:r>
      <w:bookmarkEnd w:id="309"/>
    </w:p>
    <w:p>
      <w:pPr>
        <w:pStyle w:val="BookText"/>
        <w:rPr/>
      </w:pPr>
      <w:r>
        <w:rPr>
          <w:rFonts w:ascii="IRNazanin" w:hAnsi="IRNazanin" w:eastAsia="IRNazanin"/>
          <w:color w:val="111111"/>
          <w:sz w:val="28"/>
          <w:sz w:val="28"/>
          <w:szCs w:val="28"/>
          <w:rtl w:val="true"/>
          <w:lang w:bidi="fa-IR"/>
        </w:rPr>
        <w:t>از آن جا که ممکن است ارتداد و بازگشت از دین به شرک باشد، مختصرا بحث ذیل</w:t>
      </w:r>
    </w:p>
    <w:p>
      <w:pPr>
        <w:pStyle w:val="BookText"/>
        <w:rPr/>
      </w:pPr>
      <w:r>
        <w:rPr>
          <w:rFonts w:ascii="IRNazanin" w:hAnsi="IRNazanin" w:eastAsia="IRNazanin"/>
          <w:color w:val="111111"/>
          <w:sz w:val="28"/>
          <w:sz w:val="28"/>
          <w:szCs w:val="28"/>
          <w:rtl w:val="true"/>
          <w:lang w:bidi="fa-IR"/>
        </w:rPr>
        <w:t>عنوان می شود شرک مراتبی دارد که یکی از مراتب آن، شرک در عبادت است که مشرکان عرب این گونه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شرک، شرک در طاعت است که در مقابل توحید در عبادت و طاعت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معنای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مایؤمن أَكْثَرُهُمْ بِاللَّهِ الَّا وَ هُمْ مُشْرِكُونَ </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شرک در آیه، شرک طاعت است، نه عبادت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در روایات دیگری، ایجاد بدعت و طاعت از شیطان و غیر خدا، شرک شمرده شده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آنچه موجب خروج از اسلام می شود و یا کفر به معنای مطلق است، شرک در ذات و یا عبادت است و شرک در طاعت، تعبیر دیگری از معصیت خدا در جهت طاعت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عباس بن یزید از امام صادق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عوام گمان می کنند شرک پنهانتر است از مورچه در شب تاریک و روی سنگ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مشرک نمی شود، مگر این که برای غیر خدا نماز بخواند یا برای غیر خدا ذبح کند و یا غیر خدا را بخواند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این روایت نیز به روشنی بیانگر این است که شرک به معنای مطلق، عبادت غیر خداست</w:t>
      </w:r>
      <w:r>
        <w:rPr>
          <w:rFonts w:eastAsia="IRNazanin" w:cs="IRNazanin"/>
          <w:color w:val="111111"/>
          <w:sz w:val="28"/>
          <w:szCs w:val="28"/>
          <w:rtl w:val="true"/>
          <w:lang w:bidi="fa-IR"/>
        </w:rPr>
        <w:t>.</w:t>
      </w:r>
    </w:p>
    <w:p>
      <w:pPr>
        <w:pStyle w:val="Heading6"/>
        <w:numPr>
          <w:ilvl w:val="5"/>
          <w:numId w:val="1"/>
        </w:numPr>
        <w:rPr/>
      </w:pPr>
      <w:bookmarkStart w:id="310" w:name="__RefHeading___Toc1440458_372815092"/>
      <w:bookmarkStart w:id="311" w:name="_Toc115"/>
      <w:bookmarkEnd w:id="310"/>
      <w:r>
        <w:rPr>
          <w:rtl w:val="true"/>
        </w:rPr>
        <w:t>لغت و مفهوم ارتداد</w:t>
      </w:r>
      <w:bookmarkEnd w:id="31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راء و تشدید دال، اسم است به معنای بازگشت به چیزی که قبلا </w:t>
      </w:r>
      <w:bookmarkStart w:id="312" w:name="pg6894_74595"/>
    </w:p>
    <w:p>
      <w:pPr>
        <w:pStyle w:val="BookText"/>
        <w:rPr/>
      </w:pPr>
      <w:bookmarkEnd w:id="312"/>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در آیات شریفه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الْبَشِيرُ أَلْقاهُ عَلى وَجْهِهِ فَارْتَدَّ بَصِيراً </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پس از آن که بشیر مژده یافت شدن يوسف علیه السلام را آورد و پیراهن او را بر رخسار یعقوب علیه السلام افکند، دیده انتظار او به وصل روشن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فَارْتَدَّا عَلى آثارِهِما قَصَصاً</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موسی و یوشع از همان جا که آمده بودند، بازگشتند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تَرْتَدُّوا عَلَى أَدْبَارِكُمْ فَتَنْقَلِبُوا خاسرین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پشت به حکم خدا مکنید که زیانکار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ارتداد به معانی مختلفی آمده است که پس از این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دعائم الاسلام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ارتداد، رجوع است و مرتد به کسی گفته</w:t>
      </w:r>
    </w:p>
    <w:p>
      <w:pPr>
        <w:pStyle w:val="BookText"/>
        <w:rPr/>
      </w:pPr>
      <w:r>
        <w:rPr>
          <w:rFonts w:ascii="IRNazanin" w:hAnsi="IRNazanin" w:eastAsia="IRNazanin"/>
          <w:color w:val="111111"/>
          <w:sz w:val="28"/>
          <w:sz w:val="28"/>
          <w:szCs w:val="28"/>
          <w:rtl w:val="true"/>
          <w:lang w:bidi="fa-IR"/>
        </w:rPr>
        <w:t>می شود که از چیزی خارج شود و دوباره به آن رجوع کند مثل کسی که مشرک بوده است مسلمان شده و دوباره به شرک بازگشت کند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با توجه به آیات فوق، ارتداد نیز حقیقت شرعیه ندارد و در معانی مختلف به کار</w:t>
      </w:r>
    </w:p>
    <w:p>
      <w:pPr>
        <w:pStyle w:val="BookText"/>
        <w:rPr/>
      </w:pPr>
      <w:r>
        <w:rPr>
          <w:rFonts w:ascii="IRNazanin" w:hAnsi="IRNazanin" w:eastAsia="IRNazanin"/>
          <w:color w:val="111111"/>
          <w:sz w:val="28"/>
          <w:sz w:val="28"/>
          <w:szCs w:val="28"/>
          <w:rtl w:val="true"/>
          <w:lang w:bidi="fa-IR"/>
        </w:rPr>
        <w:t>رفته است و همچون کفر و شرک، مراتبی دارد که یکی از مراتب آن، رجوع از ایمان و ولایت است و مرتبه دیگر، رجوع از اصل دین است که این نوع ارتداد مصطلح فقهی است</w:t>
      </w:r>
      <w:r>
        <w:rPr>
          <w:rFonts w:eastAsia="IRNazanin" w:cs="IRNazanin"/>
          <w:color w:val="111111"/>
          <w:sz w:val="28"/>
          <w:szCs w:val="28"/>
          <w:rtl w:val="true"/>
          <w:lang w:bidi="fa-IR"/>
        </w:rPr>
        <w:t>.</w:t>
      </w:r>
    </w:p>
    <w:p>
      <w:pPr>
        <w:pStyle w:val="Heading6"/>
        <w:numPr>
          <w:ilvl w:val="5"/>
          <w:numId w:val="1"/>
        </w:numPr>
        <w:rPr/>
      </w:pPr>
      <w:bookmarkStart w:id="313" w:name="__RefHeading___Toc1440460_372815092"/>
      <w:bookmarkStart w:id="314" w:name="_Toc116"/>
      <w:bookmarkEnd w:id="313"/>
      <w:r>
        <w:rPr>
          <w:rtl w:val="true"/>
        </w:rPr>
        <w:t>تعریف ارتداد در فقه</w:t>
      </w:r>
      <w:bookmarkEnd w:id="314"/>
    </w:p>
    <w:p>
      <w:pPr>
        <w:pStyle w:val="BookText"/>
        <w:rPr/>
      </w:pPr>
      <w:r>
        <w:rPr>
          <w:rFonts w:ascii="IRNazanin" w:hAnsi="IRNazanin" w:eastAsia="IRNazanin"/>
          <w:color w:val="111111"/>
          <w:sz w:val="28"/>
          <w:sz w:val="28"/>
          <w:szCs w:val="28"/>
          <w:rtl w:val="true"/>
          <w:lang w:bidi="fa-IR"/>
        </w:rPr>
        <w:t>فقها خروج از دین را با تعابیر مختلفی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کسی است که بعد از اسلام کافر شود و کلمه اسلام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لا اله الا الله و اشهد ان محمدا رسول الله</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قطع اسلام به قول و یا فعل است </w:t>
      </w:r>
      <w:r>
        <w:rPr>
          <w:rStyle w:val="FootnoteAnchor"/>
          <w:rtl w:val="true"/>
        </w:rPr>
        <w:footnoteReference w:id="302"/>
      </w:r>
      <w:r>
        <w:rPr>
          <w:rFonts w:ascii="IRNazanin" w:hAnsi="IRNazanin" w:eastAsia="IRNazanin"/>
          <w:color w:val="111111"/>
          <w:sz w:val="28"/>
          <w:sz w:val="28"/>
          <w:szCs w:val="28"/>
          <w:rtl w:val="true"/>
          <w:lang w:bidi="fa-IR"/>
        </w:rPr>
        <w:t xml:space="preserve">و یا ارتداد، رجوع از اسلام به کفر است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315" w:name="pg6894_74596"/>
    </w:p>
    <w:p>
      <w:pPr>
        <w:pStyle w:val="BookText"/>
        <w:rPr/>
      </w:pPr>
      <w:bookmarkEnd w:id="315"/>
      <w:r>
        <w:rPr>
          <w:rFonts w:ascii="IRNazanin" w:hAnsi="IRNazanin" w:eastAsia="IRNazanin"/>
          <w:color w:val="111111"/>
          <w:sz w:val="28"/>
          <w:sz w:val="28"/>
          <w:szCs w:val="28"/>
          <w:rtl w:val="true"/>
          <w:lang w:bidi="fa-IR"/>
        </w:rPr>
        <w:t>در قرآن کریم آیاتی راجع به ارتداد و بازگشت از دین داریم که از جمله آیات شریفه،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الَّذِينَ آمَنُوا مَنْ يَرْتَدَّ مِنْكُمْ عَنْ دِينِهِ فَسَوْفَ يَأْتِى اللَّهُ بِقَوْمٍ يُحِبُّهُمْ وَ يُحِبُّونَهُ أَذِلَّةٍ عَلَى المومنین أَعِزَّةٍ عَلَى الْكافِرِينَ يُجاهِدُونَ فِي سَبِيلِ اللَّهِ وَ لا يَخافُونَ لَوْمَةَ لائِمٍ ذلِكَ فَضْلُ اللَّهِ يُؤْتِيهِ مَنْ يَشاءُ وَ اللَّهُ واسِعُ عَلِيمُ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ای گروهی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شما از دین خود برگردد بزودی خدا قومی را که بسیار دوست می دارد و آنها نیز خدا را دوست دارند و نسبت به مؤمنین سرافکنده و فروتن و به کافران، سرافراز و مقتدرند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و شیعیانش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نصرت اسلام برمی انگیزد که در راه خدا جهاد کنند و در راه دین از نکوهش و ملامت احدی باک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فضل خدا که به هر کس خواهد عطا کند و خدا را رحمت وسیع و نامنتها است و به احوال هرکه استحقاق آن را دارد دانا است</w:t>
      </w:r>
      <w:r>
        <w:rPr>
          <w:rFonts w:eastAsia="IRNazanin" w:cs="IRNazanin"/>
          <w:color w:val="111111"/>
          <w:sz w:val="28"/>
          <w:szCs w:val="28"/>
          <w:rtl w:val="true"/>
          <w:lang w:bidi="fa-IR"/>
        </w:rPr>
        <w:t>.</w:t>
      </w:r>
    </w:p>
    <w:p>
      <w:pPr>
        <w:pStyle w:val="Heading6"/>
        <w:numPr>
          <w:ilvl w:val="5"/>
          <w:numId w:val="1"/>
        </w:numPr>
        <w:rPr/>
      </w:pPr>
      <w:bookmarkStart w:id="316" w:name="__RefHeading___Toc1440462_372815092"/>
      <w:bookmarkStart w:id="317" w:name="_Toc117"/>
      <w:bookmarkEnd w:id="316"/>
      <w:r>
        <w:rPr>
          <w:rtl w:val="true"/>
        </w:rPr>
        <w:t>اقسام ارتداد در فقه</w:t>
      </w:r>
      <w:bookmarkEnd w:id="317"/>
    </w:p>
    <w:p>
      <w:pPr>
        <w:pStyle w:val="BookText"/>
        <w:rPr/>
      </w:pPr>
      <w:r>
        <w:rPr>
          <w:rFonts w:ascii="IRNazanin" w:hAnsi="IRNazanin" w:eastAsia="IRNazanin"/>
          <w:color w:val="111111"/>
          <w:sz w:val="28"/>
          <w:sz w:val="28"/>
          <w:szCs w:val="28"/>
          <w:rtl w:val="true"/>
          <w:lang w:bidi="fa-IR"/>
        </w:rPr>
        <w:t>مرحوم شهید در مسالک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بین اصحاب، ارتداد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آن است که نطفه اش در حالی بسته شده باشد که پدر و مادر یا یکی از آن دو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این شخص قبول نمی شود و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جنید ارتداد را یک قسم می داند و می گوید مرتد باید توبه داده شود و اگر توبه نکرد کشته می شود که عامه نیز همین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اطلاقات معتبر نیز بر همین رأی دلالت دارد و تقیید این مطلقات به روایت عمار خالی از اشکال نیست و روایت علی بن جعفر نیز صراحت ندارد جز این که نظر مشهور، خلاف ابن جنید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مذهب شیعه بین مرتد فطری و ملی تفصیل قائل شده اند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 مرتد ملی آن است که کافر بوده مسلمان شده و دوباره به کفر بازگشت نماید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ارتداد را دو قسم ملی و فطری می دانند، درباره مرتد فطری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مرتد فطری را کسی می دانند که هنگام بسته شدن نطفه او پدر و مادر یا </w:t>
      </w:r>
      <w:bookmarkStart w:id="318" w:name="pg6894_74597"/>
    </w:p>
    <w:p>
      <w:pPr>
        <w:pStyle w:val="BookText"/>
        <w:rPr/>
      </w:pPr>
      <w:bookmarkEnd w:id="318"/>
      <w:r>
        <w:rPr>
          <w:rFonts w:ascii="IRNazanin" w:hAnsi="IRNazanin" w:eastAsia="IRNazanin"/>
          <w:color w:val="111111"/>
          <w:sz w:val="28"/>
          <w:sz w:val="28"/>
          <w:szCs w:val="28"/>
          <w:rtl w:val="true"/>
          <w:lang w:bidi="fa-IR"/>
        </w:rPr>
        <w:t>یکی از آن دو مسلمان باشند که از عبارت شهید همین معنا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تولد، پدر و مادر یا یکی از آن دو باید مسلمان باشند و قدر متیقن از مرتد فطری این است که علاوه بر موارد فوق، بعد از بلوغ نیز اسلام را اختیار کرده و موصوف به وصف اسلام باشد </w:t>
      </w:r>
      <w:r>
        <w:rPr>
          <w:rStyle w:val="FootnoteAnchor"/>
          <w:rtl w:val="true"/>
        </w:rPr>
        <w:footnoteReference w:id="306"/>
      </w:r>
      <w:r>
        <w:rPr>
          <w:rFonts w:ascii="IRNazanin" w:hAnsi="IRNazanin" w:eastAsia="IRNazanin"/>
          <w:color w:val="111111"/>
          <w:sz w:val="28"/>
          <w:sz w:val="28"/>
          <w:szCs w:val="28"/>
          <w:rtl w:val="true"/>
          <w:lang w:bidi="fa-IR"/>
        </w:rPr>
        <w:t>و طفل مسلمان قبل از این که شخصا اسلام را پذیرفته باشد اگر مرتد شود کماکان در حکم اسلام است و بعد از بلوغ و قبل از این که اسلام را پذیرفته باشد اگر مرتد شود فطری نخواهد بود و باید توبه داده شود و در صورت توبه نکردن کشته خواهد شد</w:t>
      </w:r>
      <w:r>
        <w:rPr>
          <w:rFonts w:eastAsia="IRNazanin" w:cs="IRNazanin"/>
          <w:color w:val="111111"/>
          <w:sz w:val="28"/>
          <w:szCs w:val="28"/>
          <w:rtl w:val="true"/>
          <w:lang w:bidi="fa-IR"/>
        </w:rPr>
        <w:t xml:space="preserve">. </w:t>
      </w:r>
      <w:r>
        <w:rPr>
          <w:rStyle w:val="FootnoteAnchor"/>
          <w:rtl w:val="true"/>
        </w:rPr>
        <w:footnoteReference w:id="307"/>
      </w:r>
    </w:p>
    <w:p>
      <w:pPr>
        <w:pStyle w:val="Heading6"/>
        <w:numPr>
          <w:ilvl w:val="5"/>
          <w:numId w:val="1"/>
        </w:numPr>
        <w:rPr/>
      </w:pPr>
      <w:bookmarkStart w:id="319" w:name="__RefHeading___Toc1440464_372815092"/>
      <w:bookmarkStart w:id="320" w:name="_Toc118"/>
      <w:bookmarkEnd w:id="319"/>
      <w:r>
        <w:rPr>
          <w:rtl w:val="true"/>
        </w:rPr>
        <w:t>شرایط ارتداد و ارتداد غیربالغ</w:t>
      </w:r>
      <w:bookmarkEnd w:id="320"/>
    </w:p>
    <w:p>
      <w:pPr>
        <w:pStyle w:val="BookText"/>
        <w:rPr/>
      </w:pPr>
      <w:r>
        <w:rPr>
          <w:rFonts w:ascii="IRNazanin" w:hAnsi="IRNazanin" w:eastAsia="IRNazanin"/>
          <w:color w:val="111111"/>
          <w:sz w:val="28"/>
          <w:sz w:val="28"/>
          <w:szCs w:val="28"/>
          <w:rtl w:val="true"/>
          <w:lang w:bidi="fa-IR"/>
        </w:rPr>
        <w:t xml:space="preserve">ارتداد در فقه همچون سایر تکالیف، مشروط به شرایط عامه تکلیف است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اختیار و قصد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بنابراین، ارتداد مجنون، مکره و هر کسی که با فعل یا گفتار خود قصد بازگشت از دین را ندارد هیچ گونه اثری نخواهد داشت و غیر بالغ کماکان در حکم مسلمان است </w:t>
      </w:r>
      <w:r>
        <w:rPr>
          <w:rStyle w:val="FootnoteAnchor"/>
          <w:rtl w:val="true"/>
        </w:rPr>
        <w:footnoteReference w:id="309"/>
      </w:r>
      <w:r>
        <w:rPr>
          <w:rFonts w:ascii="IRNazanin" w:hAnsi="IRNazanin" w:eastAsia="IRNazanin"/>
          <w:color w:val="111111"/>
          <w:sz w:val="28"/>
          <w:sz w:val="28"/>
          <w:szCs w:val="28"/>
          <w:rtl w:val="true"/>
          <w:lang w:bidi="fa-IR"/>
        </w:rPr>
        <w:t>و فقط تعزیر می شود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در مقابل این نظر، شیخ طوسی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 ظاهر و باطنا مسلمان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مرحوم محقق اردبیلی نیز در مجمع الفائدة و البرهان، شرح ارشاد علامه،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این است که طفل مسلمان تنها تأدیب می شود </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علامه در ارشاد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ارتداد جدا شدن مکلف از اسلام است</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طفل، حکمی ندارد هر چند ممیز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قول، اجماع فقها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با استناد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الصبي اذا بلغ عشر </w:t>
      </w:r>
      <w:bookmarkStart w:id="321" w:name="pg6894_74598"/>
    </w:p>
    <w:p>
      <w:pPr>
        <w:pStyle w:val="BookText"/>
        <w:rPr/>
      </w:pPr>
      <w:bookmarkEnd w:id="321"/>
      <w:r>
        <w:rPr>
          <w:rFonts w:ascii="IRNazanin" w:hAnsi="IRNazanin" w:eastAsia="IRNazanin"/>
          <w:color w:val="111111"/>
          <w:sz w:val="28"/>
          <w:sz w:val="28"/>
          <w:szCs w:val="28"/>
          <w:rtl w:val="true"/>
          <w:lang w:bidi="fa-IR"/>
        </w:rPr>
        <w:t>سنين أقيمت عليه الحدود التامه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طفل مميز را پذیرفته است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از علمای اهل سنت شمس الدین سرخسی در کتاب مبسوط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و ارتداد طفل اختلاف است </w:t>
      </w:r>
      <w:r>
        <w:rPr>
          <w:rStyle w:val="FootnoteAnchor"/>
          <w:rtl w:val="true"/>
        </w:rPr>
        <w:footnoteReference w:id="315"/>
      </w:r>
      <w:r>
        <w:rPr>
          <w:rFonts w:ascii="IRNazanin" w:hAnsi="IRNazanin" w:eastAsia="IRNazanin"/>
          <w:color w:val="111111"/>
          <w:sz w:val="28"/>
          <w:sz w:val="28"/>
          <w:szCs w:val="28"/>
          <w:rtl w:val="true"/>
          <w:lang w:bidi="fa-IR"/>
        </w:rPr>
        <w:t>و دکتر زحیلی در فقه الاسلام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اهل سنت اسلام و ارتداد طفل را پذیرفته اند</w:t>
      </w:r>
      <w:r>
        <w:rPr>
          <w:rFonts w:eastAsia="IRNazanin" w:cs="IRNazanin"/>
          <w:color w:val="111111"/>
          <w:sz w:val="28"/>
          <w:szCs w:val="28"/>
          <w:rtl w:val="true"/>
          <w:lang w:bidi="fa-IR"/>
        </w:rPr>
        <w:t xml:space="preserve">.» </w:t>
      </w:r>
      <w:r>
        <w:rPr>
          <w:rStyle w:val="FootnoteAnchor"/>
          <w:rtl w:val="true"/>
        </w:rPr>
        <w:footnoteReference w:id="316"/>
      </w:r>
    </w:p>
    <w:p>
      <w:pPr>
        <w:pStyle w:val="Heading6"/>
        <w:numPr>
          <w:ilvl w:val="5"/>
          <w:numId w:val="1"/>
        </w:numPr>
        <w:rPr/>
      </w:pPr>
      <w:bookmarkStart w:id="322" w:name="__RefHeading___Toc1440466_372815092"/>
      <w:bookmarkStart w:id="323" w:name="_Toc119"/>
      <w:bookmarkEnd w:id="322"/>
      <w:r>
        <w:rPr>
          <w:rtl w:val="true"/>
        </w:rPr>
        <w:t>حکم ارتداد حين بلوغ</w:t>
      </w:r>
      <w:bookmarkEnd w:id="323"/>
    </w:p>
    <w:p>
      <w:pPr>
        <w:pStyle w:val="BookText"/>
        <w:rPr/>
      </w:pPr>
      <w:r>
        <w:rPr>
          <w:rFonts w:ascii="IRNazanin" w:hAnsi="IRNazanin" w:eastAsia="IRNazanin"/>
          <w:color w:val="111111"/>
          <w:sz w:val="28"/>
          <w:sz w:val="28"/>
          <w:szCs w:val="28"/>
          <w:rtl w:val="true"/>
          <w:lang w:bidi="fa-IR"/>
        </w:rPr>
        <w:t>با توجه به این که مرتد فطری کسی است که بعد از بلوغ، اسلام را پذیرفته و وصف اسلام داشته باشد و طفل مسلمان، تنها در حکم مسلمان است و نیز با عنایت به این که ارتداد به معنای بازگشت از دین است، اگر کسی همزمان با بلوغ و قبل از پذیرش اسلام، از دین پدر و مادر خود که اسلام است، بازگشت کند، چه حکمی خواهد داشت؟ آیا این فرد، مرتد است و اگر مرتد است، فطری است یا ملی؟ این موضوع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همچون علامه، فاضل هندی، صاحب جواهر و امام خمینی که وصف اسلام را در فطری لازم می دانند، معتقدند که وی باید توبه داده شود و اگر توبه نکرد، کشته خواهد شد و این ارتداد در حکم ارتداد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که ملاک فطری بودن را انعقاد نطفه دانسته اند و موصوف بودن به وصف اسلام را بعد از بلوغ، لازم ندانسته اند؛ مثلا شهید در مسالک،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ارتداد، فطری است و مرتد، بدون توبه دادن، کشته می شود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گروه دیگری که شیخ در مبسوط به سخن آنان اشاره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هیچ نوع ارتدادی صادق نیست و فرد، کشته نمی شود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ضابطه ای که برای مرتد فطری بیان کردیم و با در نظر گرفتن این که طفل مسلمان، تنها در حکم مسلمان بوده است، به نظر می رسد نظریه سوم صحیح باشد؛ چرا که این شخص سابقه اسلام یا کفر نداشته است و فرض این است که اسلام را بعد از بلوغ نپذیرفته و همزمان با بلوغ از دین پدر و مادر مسلمان خود بازگشت کرده است و این </w:t>
      </w:r>
    </w:p>
    <w:p>
      <w:pPr>
        <w:pStyle w:val="BookText"/>
        <w:rPr/>
      </w:pPr>
      <w:r>
        <w:rPr>
          <w:rFonts w:ascii="IRNazanin" w:hAnsi="IRNazanin" w:eastAsia="IRNazanin"/>
          <w:color w:val="111111"/>
          <w:sz w:val="28"/>
          <w:sz w:val="28"/>
          <w:szCs w:val="28"/>
          <w:rtl w:val="true"/>
          <w:lang w:bidi="fa-IR"/>
        </w:rPr>
        <w:t>بازگشت فطری نیست؛ زیرا تا پیش از بلوغ، تنها در حکم اسلام بوده است، در حالی که شرط فطری بودن این است که وی پس از بلوغ موصوف به وصف اسلام باشد و این شرط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 هم نیست؛ چرا که مسلمان نشده است که دوباره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باید طفل مسلمان را همچون شیخ ظاهر و باطنا مسلمان دانست که در این صورت ارتداد همزمان با بلوغ فطری است و نظر شیخ مبنی بر این که باید او را توبه داد خلاف مبنای وی است و اگر طفل مسلمان تنها در حکم اسلام باشد، به دلائل ذیل هیچگونه ارتدادی بر عمل او صادق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طفل مسلمان قبل از بلوغ تنها در حکم مسلمان بوده است و چون سابقه اسلام یا کفر نداشته است ارتداد، اعم از فطری و ملی، بر او صادق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ارتداد همچون روایت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عن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مسلم بين المسلمين</w:t>
      </w:r>
      <w:r>
        <w:rPr>
          <w:rFonts w:eastAsia="Amiri" w:cs="Amiri" w:ascii="Amiri" w:hAnsi="Amiri"/>
          <w:color w:val="111111"/>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و روایت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مسلم تنصر</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و غیره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آمده است شامل چنین فردی نمی شود، بلکه اختصاص به کسی دارد که شخصا اسلام را بعد از بلوغ پذیرفته و آنگاه مرتد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تدرء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فردی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عبید بن زراره و ابان بن عثمان </w:t>
      </w:r>
      <w:r>
        <w:rPr>
          <w:rStyle w:val="FootnoteAnchor"/>
          <w:rtl w:val="true"/>
        </w:rPr>
        <w:footnoteReference w:id="321"/>
      </w:r>
      <w:r>
        <w:rPr>
          <w:rFonts w:ascii="IRNazanin" w:hAnsi="IRNazanin" w:eastAsia="IRNazanin"/>
          <w:color w:val="111111"/>
          <w:sz w:val="28"/>
          <w:sz w:val="28"/>
          <w:szCs w:val="28"/>
          <w:rtl w:val="true"/>
          <w:lang w:bidi="fa-IR"/>
        </w:rPr>
        <w:t xml:space="preserve">که در همین زمینه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لايترك و لكن يضرب على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به این دو روایت بر لزوم توبه دادن و قتل در صورت توبه نکردن،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مطالب گفته شده على القاعده است، اما یک روایت از امیرالمؤمنین علیه السلام به طور مرسل در فقیه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پدر مسلمان شود، فرزندان به اسلام در می آیند و هر گاه فرزندان بالغ شوند، به اسلام دعوت و در صورت عدم قبول، کشته می شوند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فوق اگر مطلق باشد و مرتد فطری و ملی را شامل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فرزندی که نطفه اش بر اسلام منعقد شده و هم فرزندی که بر اسلام منعقد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bookmarkStart w:id="324" w:name="pg6894_74600"/>
    </w:p>
    <w:p>
      <w:pPr>
        <w:pStyle w:val="BookText"/>
        <w:rPr/>
      </w:pPr>
      <w:bookmarkEnd w:id="324"/>
      <w:r>
        <w:rPr>
          <w:rFonts w:ascii="IRNazanin" w:hAnsi="IRNazanin" w:eastAsia="IRNazanin"/>
          <w:color w:val="111111"/>
          <w:sz w:val="28"/>
          <w:sz w:val="28"/>
          <w:szCs w:val="28"/>
          <w:rtl w:val="true"/>
          <w:lang w:bidi="fa-IR"/>
        </w:rPr>
        <w:t>صاحب جواهر مبنی بر این که ارتداد حين بلوغ در حکم ملی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شامل مرتد فطری باشد، اصل، عدم جواز قتل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بر مرتد ملی حمل شود، جواز قتل فطری با اولویت ثابت خواهد شد و ظاهر روایت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روایت تکلیف روایت عبید و ابان را نیز روشن خواهد کرد و اصولی که اشاره شد، با این نص جاری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روایت خالی از اشکال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کنیم مرسلات صدوق مسند است؛ خصوصا در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مستقیما به امام علیه السلام نسبت داده شده است که این امر، اعتماد صدوق را به روایت می رساند، باز هم این اشکال هست که ظاهر روایت به مسلمان شدن یا مسلمان بودن پدر اختصاص دارد در حالی که از نظر فقها بین این که پدر مسلمان باشد یا مادر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ایراد و نیز مرسل بودن روایت به گونه ای حل شود، نظر گروهی از فقها که می گویند مرتد همزمان با بلوغ و پیش از در آمدن به وصف اسلام توبه داده می شود و در حکم مرتد ملی است و در صورت توبه نکردن، کشته می شود، صحیح خواهد بود</w:t>
      </w:r>
      <w:r>
        <w:rPr>
          <w:rFonts w:eastAsia="IRNazanin" w:cs="IRNazanin"/>
          <w:color w:val="111111"/>
          <w:sz w:val="28"/>
          <w:szCs w:val="28"/>
          <w:rtl w:val="true"/>
          <w:lang w:bidi="fa-IR"/>
        </w:rPr>
        <w:t>.</w:t>
      </w:r>
    </w:p>
    <w:p>
      <w:pPr>
        <w:pStyle w:val="Heading5"/>
        <w:numPr>
          <w:ilvl w:val="4"/>
          <w:numId w:val="1"/>
        </w:numPr>
        <w:rPr/>
      </w:pPr>
      <w:bookmarkStart w:id="325" w:name="__RefHeading___Toc1440468_372815092"/>
      <w:bookmarkStart w:id="326" w:name="_Toc120"/>
      <w:bookmarkEnd w:id="325"/>
      <w:r>
        <w:rPr>
          <w:rtl w:val="true"/>
        </w:rPr>
        <w:t>عوامل ارتداد</w:t>
      </w:r>
      <w:bookmarkEnd w:id="326"/>
    </w:p>
    <w:p>
      <w:pPr>
        <w:pStyle w:val="Heading6"/>
        <w:numPr>
          <w:ilvl w:val="5"/>
          <w:numId w:val="1"/>
        </w:numPr>
        <w:rPr/>
      </w:pPr>
      <w:bookmarkStart w:id="327" w:name="__RefHeading___Toc1440470_372815092"/>
      <w:bookmarkStart w:id="328" w:name="_Toc121"/>
      <w:bookmarkEnd w:id="327"/>
      <w:r>
        <w:rPr/>
        <w:t>1</w:t>
      </w:r>
      <w:r>
        <w:rPr>
          <w:rtl w:val="true"/>
        </w:rPr>
        <w:t xml:space="preserve">. </w:t>
      </w:r>
      <w:r>
        <w:rPr>
          <w:rtl w:val="true"/>
        </w:rPr>
        <w:t>انکار هر یک از اصول سه گانه</w:t>
      </w:r>
      <w:bookmarkEnd w:id="328"/>
    </w:p>
    <w:p>
      <w:pPr>
        <w:pStyle w:val="BookText"/>
        <w:rPr/>
      </w:pPr>
      <w:r>
        <w:rPr>
          <w:rFonts w:ascii="IRNazanin" w:hAnsi="IRNazanin" w:eastAsia="IRNazanin"/>
          <w:color w:val="111111"/>
          <w:sz w:val="28"/>
          <w:sz w:val="28"/>
          <w:szCs w:val="28"/>
          <w:rtl w:val="true"/>
          <w:lang w:bidi="fa-IR"/>
        </w:rPr>
        <w:t xml:space="preserve">دین مبین اسلام، مبتنی بر اصول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یکی از این اصول را انکار کند، کافر یا مرتد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مورد اتفاق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گفته و یا عملی که به انکار هر یک از این اصول بازگردد و ابراز کننده آگاهی و شرایط تکلیف را داشته باشد موجب کفر به معنای مطلق و ارتداد است و نیز اعتقاد به جبر و تشبیه از نظر عدلیه کفر است، اما به دلیل این که این اشخاص خود را مسلمان می خوانند و شهادتین می گویند ارتداد آنها را </w:t>
      </w:r>
    </w:p>
    <w:p>
      <w:pPr>
        <w:pStyle w:val="BookText"/>
        <w:rPr/>
      </w:pPr>
      <w:r>
        <w:rPr>
          <w:rFonts w:ascii="IRNazanin" w:hAnsi="IRNazanin" w:eastAsia="IRNazanin"/>
          <w:color w:val="111111"/>
          <w:sz w:val="28"/>
          <w:sz w:val="28"/>
          <w:szCs w:val="28"/>
          <w:rtl w:val="true"/>
          <w:lang w:bidi="fa-IR"/>
        </w:rPr>
        <w:t>مسلم ندانسته اند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اگر مراد عدلیه از کفر اهل تشبیه و جبر و غیره، کفر به معنای مطلق و خروج از دین اسلام باشد مرتکب تناقض شده اند؛ چرا که اطلاق کفر بر آنان از یک سو و حکم به عدم ارتداد به دلیل اظهار شهادتین، از سوی دیگر ممکن نیست؛ زیرا این اشخاص، مسلمان زاده اند و اگر کافر باشند، قطعا باید مرتد باشند، و کافر شدن مسلمان، جز به ارتداد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افرادی، به همان دلیل که نمی توانند مرتد باشند، کافر نیز نمی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این گونه اعتقادات که به نظر دیگران و حتی در واقع با معاد یا توحید منافات دارد، گر چه به استناد بعضی روایات نوعی کفر است اما نمی توان آن را به معنای مطلق و خروج از دین دانست چرا که این افراد اصول اسلام و اجما آنچه را جزو اسلام است، پذیرفته اند که اظهار شهادتین یا نام مسلمان بر خود نهادن بیانگر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ناخواسته یا ندانسته منکر امری از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اصول سه گانه که اجمالا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یا حکمی را که در واقع از اسلام است از اسلام نداند، به معنای انکار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شخص این است که این امر از اسلام نیست و یا فلان امر از اسلام هست در حالی که این اعتقاد، خلاف واقع است و این غیر از قبول نداشتن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اگر هر کس که به دلیل جهل، منکر انتساب یا عدم انتساب امری به اسلام شود، کافر مطلق محسوب گردد، شاید به استثنای معصومین علیهم السلام مسلمانی یافت نشود؛ چرا که هیچ کس احاطه بر تمام اسلام؛ اعم از اصول اعتقادات و فروع آن ندارد و ممکن است چیزی را زیاد یا کم کند که ربطی به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معنای اسلام، روایاتی را بیان کردیم که بر اساس آنها اعتقاد به ظاهر اسلام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مسلمانی کافی است، و لو این که فرد از دل اعتقاد نداشته باشد؛ حال چگونه ممکن است شخصی یا فرقه ای که عمیقا اسلام را به طور اجمال پذیرفته است، به دلیل یک اشتباه، کافر و یا مرتد باشد، با این که قصد خروج از دین را که یکی از شرایط عامه است، نداشته باشد و حتی بر عقیده خود مبنی بر جبر یا تشبیه به ظواهر قرآن استدلال می کند؟ </w:t>
      </w:r>
      <w:bookmarkStart w:id="329" w:name="pg6894_74602"/>
    </w:p>
    <w:p>
      <w:pPr>
        <w:pStyle w:val="Heading6"/>
        <w:numPr>
          <w:ilvl w:val="5"/>
          <w:numId w:val="1"/>
        </w:numPr>
        <w:rPr/>
      </w:pPr>
      <w:bookmarkStart w:id="330" w:name="__RefHeading___Toc1440472_372815092"/>
      <w:bookmarkStart w:id="331" w:name="_Toc122"/>
      <w:bookmarkEnd w:id="329"/>
      <w:bookmarkEnd w:id="330"/>
      <w:r>
        <w:rPr/>
        <w:t>2</w:t>
      </w:r>
      <w:r>
        <w:rPr>
          <w:rtl w:val="true"/>
        </w:rPr>
        <w:t xml:space="preserve">. </w:t>
      </w:r>
      <w:r>
        <w:rPr>
          <w:rtl w:val="true"/>
        </w:rPr>
        <w:t>انکار خاتمیت حضرت محمد صلی الله علیه واله</w:t>
      </w:r>
      <w:bookmarkEnd w:id="331"/>
    </w:p>
    <w:p>
      <w:pPr>
        <w:pStyle w:val="BookText"/>
        <w:rPr/>
      </w:pPr>
      <w:r>
        <w:rPr>
          <w:rFonts w:ascii="IRNazanin" w:hAnsi="IRNazanin" w:eastAsia="IRNazanin"/>
          <w:color w:val="111111"/>
          <w:sz w:val="28"/>
          <w:sz w:val="28"/>
          <w:szCs w:val="28"/>
          <w:rtl w:val="true"/>
          <w:lang w:bidi="fa-IR"/>
        </w:rPr>
        <w:t xml:space="preserve">اصولا هر مسلمانی به پیروی از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مُحَمَّدُ ، أَبا أَحَدٍ مِنْ رجالکم وَ لکن رَسُولَ اللَّهِ وَ خاتَمَ النَّبِيِّينَ وَ كانَ اللَّهُ بِكُلِّ شَيْ‌ءٍ عَلِيماً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پیامبر اسلام را خاتم پیامبران جامعه بشری تا روز قیامت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بر این امر صراحت دارد و تمامی مفسران خاتم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روایات متعددی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حلالی حلال إلى يوم القيامه</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منی بِمَنْزِلَةِ هَارُونَ مِنْ مُوسَى الَّا انْهَ لانبی بعدی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خاتم النبيين جئت فتختمت الانبياء</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و احادیث دیگر بر این امر تصریح شده است که وضوح مطلب ما را از بحث بیشتر درباره آن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مسلم بودن خاتمیت حضرت محمد صلی الله علیه واله اگر کسی منکر آن شده و معتقد باشد که پیامبر دیگری ظهور کرده و اسلام را منسوخ بداند قطعأ مرتد است چرا که منکر دین است و یکی از اصول سه گانه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اعتقاد به خاتمیت آن حضرت نداشته باشد در عین حال معتقد باشد که تاکنون پیامبر دیگری ظهور نکرده است ممکن است دو نظر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این شخص کماکان اسلام را قبول دارد و مسلمان است اما منکر ضروری دین شده است و انکار ضروری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موجب انکار دین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مستقل ارتداد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این است که اگر انکار خاتمیت بازگشت به انکار یکی از اصول دین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منکر کافر یا مرتد است و در غیر این صورت مرتد نیست چرا که همچنان اصول سه گانه را قبول دارد و شهادتین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مبحث منکر ضروری دین بیشتر سخن خواهیم گفت</w:t>
      </w:r>
      <w:r>
        <w:rPr>
          <w:rFonts w:eastAsia="IRNazanin" w:cs="IRNazanin"/>
          <w:color w:val="111111"/>
          <w:sz w:val="28"/>
          <w:szCs w:val="28"/>
          <w:rtl w:val="true"/>
          <w:lang w:bidi="fa-IR"/>
        </w:rPr>
        <w:t xml:space="preserve">. </w:t>
      </w:r>
      <w:bookmarkStart w:id="332" w:name="pg6894_74603"/>
    </w:p>
    <w:p>
      <w:pPr>
        <w:pStyle w:val="Heading6"/>
        <w:numPr>
          <w:ilvl w:val="5"/>
          <w:numId w:val="1"/>
        </w:numPr>
        <w:rPr/>
      </w:pPr>
      <w:bookmarkStart w:id="333" w:name="__RefHeading___Toc1440474_372815092"/>
      <w:bookmarkStart w:id="334" w:name="_Toc123"/>
      <w:bookmarkEnd w:id="332"/>
      <w:bookmarkEnd w:id="333"/>
      <w:r>
        <w:rPr/>
        <w:t>3</w:t>
      </w:r>
      <w:r>
        <w:rPr>
          <w:rtl w:val="true"/>
        </w:rPr>
        <w:t xml:space="preserve">. </w:t>
      </w:r>
      <w:r>
        <w:rPr>
          <w:rtl w:val="true"/>
        </w:rPr>
        <w:t>ادعای نبوت</w:t>
      </w:r>
      <w:bookmarkEnd w:id="334"/>
    </w:p>
    <w:p>
      <w:pPr>
        <w:pStyle w:val="BookText"/>
        <w:rPr/>
      </w:pPr>
      <w:r>
        <w:rPr>
          <w:rFonts w:ascii="IRNazanin" w:hAnsi="IRNazanin" w:eastAsia="IRNazanin"/>
          <w:color w:val="111111"/>
          <w:sz w:val="28"/>
          <w:sz w:val="28"/>
          <w:szCs w:val="28"/>
          <w:rtl w:val="true"/>
          <w:lang w:bidi="fa-IR"/>
        </w:rPr>
        <w:t>اگر کسی مدعی نبوت شود، طبعا حضرت محمد صلی الله علیه واله را قبول ندارد و با ادعای شریعت جدید، اسلام را منسوخ می داند، پس مدعی پیامبری، منکر اسلام است و آنها که از او پیروی نمایند نیز مرتد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که مسیلمه کذاب از یمامه ادعای پیامبری کرده بود دو نفر را نزد پیامبر اسلام صلی الله علیه واله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نفر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به عنوان فرستاده نیامده بودید هر آینه کشته می شدید، چون قبلا مسلمان</w:t>
      </w:r>
    </w:p>
    <w:p>
      <w:pPr>
        <w:pStyle w:val="BookText"/>
        <w:rPr/>
      </w:pPr>
      <w:r>
        <w:rPr>
          <w:rFonts w:ascii="IRNazanin" w:hAnsi="IRNazanin" w:eastAsia="IRNazanin"/>
          <w:color w:val="111111"/>
          <w:sz w:val="28"/>
          <w:sz w:val="28"/>
          <w:szCs w:val="28"/>
          <w:rtl w:val="true"/>
          <w:lang w:bidi="fa-IR"/>
        </w:rPr>
        <w:t>بوده اند و اکنون مرتد شده اید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کتاب شریف بحار به نقل از علل الشرایع از حضرت رضا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محمد صلی الله علیه واله تا روز قیامت نسخ نمی شود و پیامبری بعد از او نخواهد آمد پس هر کس ادعای پیامبری کند و مدعی کتابی غیر از قرآن شود خونش مباح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شیخ طوسی در تهذیب الاحکام از ابن ابی یعفور از امام صادق علیه السلام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مدعی پیامبری کشته می شود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ابن ادریس در سرائر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ادعای پیامبری کند، خونش مباح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مرحوم مفید در مقنعه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بعد از پیامبر اسلام ادعای نبوت کند، بر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 است و هر کس شریعت خدا را تغییر دهد، گمراه و کافر است و اهل آتش می باشد، مگر این که توبه کرده و به حق باز گردد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مرحوم ابن فهد حلی در مهذب البارع میگوید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نبوت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بگوید نمی دانم محمد صادق است یا خیر </w:t>
      </w:r>
      <w:bookmarkStart w:id="335" w:name="pg6894_74604"/>
    </w:p>
    <w:p>
      <w:pPr>
        <w:pStyle w:val="BookText"/>
        <w:rPr/>
      </w:pPr>
      <w:bookmarkEnd w:id="335"/>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مرحوم جواد مغنیه به نقل از جواهر گفته است که مدعی نبوت قتلش بالاجماع واجب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ابن قدامه از اهل سنت در مغنی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نمی شود مگر این که سی نفر دروغگو ظاهر شوند و هر یک ادعای پیامبری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ادعای پیامبری کند یا مدعی را تصدیق کند، مرتد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بنابراین، جای تردید نیست که مدعی پیامبری، مرتد است و همه مسلمانان در این</w:t>
      </w:r>
    </w:p>
    <w:p>
      <w:pPr>
        <w:pStyle w:val="BookText"/>
        <w:rPr/>
      </w:pPr>
      <w:r>
        <w:rPr>
          <w:rFonts w:ascii="IRNazanin" w:hAnsi="IRNazanin" w:eastAsia="IRNazanin"/>
          <w:color w:val="111111"/>
          <w:sz w:val="28"/>
          <w:sz w:val="28"/>
          <w:szCs w:val="28"/>
          <w:rtl w:val="true"/>
          <w:lang w:bidi="fa-IR"/>
        </w:rPr>
        <w:t>امر اتفاق نظر دارند</w:t>
      </w:r>
      <w:r>
        <w:rPr>
          <w:rFonts w:eastAsia="IRNazanin" w:cs="IRNazanin"/>
          <w:color w:val="111111"/>
          <w:sz w:val="28"/>
          <w:szCs w:val="28"/>
          <w:rtl w:val="true"/>
          <w:lang w:bidi="fa-IR"/>
        </w:rPr>
        <w:t>.</w:t>
      </w:r>
    </w:p>
    <w:p>
      <w:pPr>
        <w:pStyle w:val="Heading6"/>
        <w:numPr>
          <w:ilvl w:val="5"/>
          <w:numId w:val="1"/>
        </w:numPr>
        <w:rPr/>
      </w:pPr>
      <w:bookmarkStart w:id="336" w:name="__RefHeading___Toc1440476_372815092"/>
      <w:bookmarkStart w:id="337" w:name="_Toc124"/>
      <w:bookmarkEnd w:id="336"/>
      <w:r>
        <w:rPr/>
        <w:t>4</w:t>
      </w:r>
      <w:r>
        <w:rPr>
          <w:rtl w:val="true"/>
        </w:rPr>
        <w:t xml:space="preserve">. </w:t>
      </w:r>
      <w:r>
        <w:rPr>
          <w:rtl w:val="true"/>
        </w:rPr>
        <w:t>اهانت به پیامبر صلی الله علیه واله</w:t>
      </w:r>
      <w:bookmarkEnd w:id="337"/>
    </w:p>
    <w:p>
      <w:pPr>
        <w:pStyle w:val="Heading6"/>
        <w:numPr>
          <w:ilvl w:val="5"/>
          <w:numId w:val="1"/>
        </w:numPr>
        <w:rPr/>
      </w:pPr>
      <w:bookmarkStart w:id="338" w:name="__RefHeading___Toc1440478_372815092"/>
      <w:bookmarkStart w:id="339" w:name="_Toc125"/>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هر کس به پیامبر اسلام اهانت کند، چه مسلمان باشد یا کافر، کشته می شود؛ اگر مسلمان بوده مرتد است چرا که لازمه اهانت قبول نداشتن و رد آن حضرت است و بازگشت این عمل زشت به کفر و ارتداد از نظر عقل روشن و مورد اتفاق فقها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اهانت کننده مسلمان نباشد به دلیل روایات و اتفاق مسلمانان او هم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هر کس به یکی از ائمه طاهرین اهانت کند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مورداجماع فقهاست </w:t>
      </w:r>
      <w:r>
        <w:rPr>
          <w:rStyle w:val="FootnoteAnchor"/>
          <w:rtl w:val="true"/>
        </w:rPr>
        <w:footnoteReference w:id="336"/>
      </w:r>
      <w:r>
        <w:rPr>
          <w:rFonts w:ascii="IRNazanin" w:hAnsi="IRNazanin" w:eastAsia="IRNazanin"/>
          <w:color w:val="111111"/>
          <w:sz w:val="28"/>
          <w:sz w:val="28"/>
          <w:szCs w:val="28"/>
          <w:rtl w:val="true"/>
          <w:lang w:bidi="fa-IR"/>
        </w:rPr>
        <w:t>ولو ظاهرا مسلمان بوده و به اصول سه گانه اقرار داشته باشد</w:t>
      </w:r>
      <w:r>
        <w:rPr>
          <w:rFonts w:eastAsia="IRNazanin" w:cs="IRNazanin"/>
          <w:color w:val="111111"/>
          <w:sz w:val="28"/>
          <w:szCs w:val="28"/>
          <w:rtl w:val="true"/>
          <w:lang w:bidi="fa-IR"/>
        </w:rPr>
        <w:t>.</w:t>
      </w:r>
    </w:p>
    <w:p>
      <w:pPr>
        <w:pStyle w:val="Heading6"/>
        <w:numPr>
          <w:ilvl w:val="5"/>
          <w:numId w:val="1"/>
        </w:numPr>
        <w:rPr/>
      </w:pPr>
      <w:bookmarkStart w:id="340" w:name="__RefHeading___Toc1440480_372815092"/>
      <w:bookmarkStart w:id="341" w:name="_Toc126"/>
      <w:bookmarkEnd w:id="340"/>
      <w:r>
        <w:rPr>
          <w:rtl w:val="true"/>
        </w:rPr>
        <w:t>انکار امامت ائمه دوازده گانه</w:t>
      </w:r>
      <w:bookmarkEnd w:id="34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لغت ارتداد آوردیم، مرتد کسی است که به آنچه قبلا بوده است، </w:t>
      </w:r>
    </w:p>
    <w:p>
      <w:pPr>
        <w:pStyle w:val="BookText"/>
        <w:rPr/>
      </w:pPr>
      <w:r>
        <w:rPr>
          <w:rFonts w:ascii="IRNazanin" w:hAnsi="IRNazanin" w:eastAsia="IRNazanin"/>
          <w:color w:val="111111"/>
          <w:sz w:val="28"/>
          <w:sz w:val="28"/>
          <w:szCs w:val="28"/>
          <w:rtl w:val="true"/>
          <w:lang w:bidi="fa-IR"/>
        </w:rPr>
        <w:t>بازگشت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است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همچون ایمان و کفر مراتبی دارد که یکی از مراتب آن، بازگشت از اصل دین است، که بحث آن گذشت، و مرتبه دیگر آن، ارتداد از ایمان و ولایت اهل بیت عصمت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است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حسین علیه السلام تمام مردم به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یحیی بن ام طویل و جبیر بن مطعم مرتد شدند، سپس دوباره به ائمه روی آوردند و تعداد شیعیان زیاد شد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همچنین از امام باقر عليه 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و انصار بعد از فوت پیامبر صلی الله علیه واله مرتد شدند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و مقداد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مراد از ارتداد در این روایات، به قرینه روایات دیگر، بازگشت از ولایت و امامت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تاریخ هم نشان می دهد که مردم از دین روی گردان نشدند بلکه بر ظاهر اسلام باقی بودند گرچه از امامت و اهل بیت علیهم السلام رویگردان شدند که اینان به فرموده امام صادق علیه السلام مسلمان گمراهند</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و روی گردانی از ولایت و امامت در هریک از موارد دلائلی داشته است که دنیاطلبی و حسادت </w:t>
      </w:r>
      <w:r>
        <w:rPr>
          <w:rStyle w:val="FootnoteAnchor"/>
          <w:rtl w:val="true"/>
        </w:rPr>
        <w:footnoteReference w:id="341"/>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عین این که مسلمان بودند عصیان کردند و دست از ولایت برداشتند و یا به عکس نسبت به ائمه علیهم السلام گرفتار غلو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حوادثی در عصر بسیاری از ائمه علیهم السلام اتفاق افتاده است که منجر به انشعاب مذهب امامیه نیز شده است</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در هر حال، این نوع ارتداد به معنای خروج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ضروری دین است و منکر ضروری دین مرتد است که این </w:t>
      </w:r>
      <w:bookmarkStart w:id="342" w:name="pg6894_74606"/>
    </w:p>
    <w:p>
      <w:pPr>
        <w:pStyle w:val="BookText"/>
        <w:rPr/>
      </w:pPr>
      <w:bookmarkEnd w:id="342"/>
      <w:r>
        <w:rPr>
          <w:rFonts w:ascii="IRNazanin" w:hAnsi="IRNazanin" w:eastAsia="IRNazanin"/>
          <w:color w:val="111111"/>
          <w:sz w:val="28"/>
          <w:sz w:val="28"/>
          <w:szCs w:val="28"/>
          <w:rtl w:val="true"/>
          <w:lang w:bidi="fa-IR"/>
        </w:rPr>
        <w:t>نظریه با دلایلی چند که در ذیل به آنها اشاره می شود،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ضروری دین آنگاه کفریا ارتداد است که انکار کننده بداند انکار آن به منزله انکار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که منکر امامت بر این امر آگاهی داشته باشد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در روایاتی که منکر امامت کافر شمرده شده، کفر به معنای معصیت و رجوع از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نصوص متواتری حاکی از این که اسلام عبارت است از پذیرش اصول سه گانه و پذیرش اسلام به طور اجمالی ولو در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مذهب و سیره ائمه علیهم السلام که با کیسانیه، واقفيه، فطحیه و بنوفضال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داشته اند و حتی تعدادی از آنها از راویان ثقه می باشند، در حالی که ائمه می توانستند آنان را از خود برانند و با آنان همچون مرتد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مسلمان منحرفند</w:t>
      </w:r>
      <w:r>
        <w:rPr>
          <w:rFonts w:eastAsia="IRNazanin" w:cs="IRNazanin"/>
          <w:color w:val="111111"/>
          <w:sz w:val="28"/>
          <w:szCs w:val="28"/>
          <w:rtl w:val="true"/>
          <w:lang w:bidi="fa-IR"/>
        </w:rPr>
        <w:t xml:space="preserve">». </w:t>
      </w:r>
      <w:r>
        <w:rPr>
          <w:rStyle w:val="FootnoteAnchor"/>
          <w:rtl w:val="true"/>
        </w:rPr>
        <w:footnoteReference w:id="344"/>
      </w:r>
    </w:p>
    <w:p>
      <w:pPr>
        <w:pStyle w:val="Heading6"/>
        <w:numPr>
          <w:ilvl w:val="5"/>
          <w:numId w:val="1"/>
        </w:numPr>
        <w:rPr/>
      </w:pPr>
      <w:bookmarkStart w:id="343" w:name="__RefHeading___Toc1440482_372815092"/>
      <w:bookmarkStart w:id="344" w:name="_Toc127"/>
      <w:bookmarkEnd w:id="343"/>
      <w:r>
        <w:rPr>
          <w:rtl w:val="true"/>
        </w:rPr>
        <w:t>محارب امام معصوم</w:t>
      </w:r>
      <w:bookmarkEnd w:id="344"/>
    </w:p>
    <w:p>
      <w:pPr>
        <w:pStyle w:val="BookText"/>
        <w:rPr/>
      </w:pPr>
      <w:r>
        <w:rPr>
          <w:rFonts w:ascii="IRNazanin" w:hAnsi="IRNazanin" w:eastAsia="IRNazanin"/>
          <w:color w:val="111111"/>
          <w:sz w:val="28"/>
          <w:sz w:val="28"/>
          <w:szCs w:val="28"/>
          <w:rtl w:val="true"/>
          <w:lang w:bidi="fa-IR"/>
        </w:rPr>
        <w:t>به رغم روایات متعددی که دلالت بر کفر این گروه می کند، سیره امام علی علیه السلام با اهل جمل، نهروان و صفین به گونه دیگری است که به چند قطعه از تاریخ و سیره آن حضرت اشاره می کنیم</w:t>
      </w:r>
    </w:p>
    <w:p>
      <w:pPr>
        <w:pStyle w:val="BookText"/>
        <w:rPr/>
      </w:pPr>
      <w:r>
        <w:rPr>
          <w:rFonts w:ascii="IRNazanin" w:hAnsi="IRNazanin" w:eastAsia="IRNazanin"/>
          <w:color w:val="111111"/>
          <w:sz w:val="28"/>
          <w:sz w:val="28"/>
          <w:szCs w:val="28"/>
          <w:rtl w:val="true"/>
          <w:lang w:bidi="fa-IR"/>
        </w:rPr>
        <w:t>در مسجد کوفه گروهی به على علیه السلام اهانت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قبل از این که دست به جنگ بزنند، نباید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زمانی که حضرت خطبه می خواند، خوارج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حقی است که از آن باطل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مسجد منع نمیکنم و تا زمانی که دست شما در دست ماست و جنگ نکنید، دادن فیء را به شما ادامه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روز جمل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کننده را تعقیب نکنید، اسیر را نکشید، به مجروح ضربت نزنید، کشف ستر نکنید و </w:t>
      </w:r>
    </w:p>
    <w:p>
      <w:pPr>
        <w:pStyle w:val="BookText"/>
        <w:rPr/>
      </w:pPr>
      <w:r>
        <w:rPr>
          <w:rFonts w:ascii="IRNazanin" w:hAnsi="IRNazanin" w:eastAsia="IRNazanin"/>
          <w:color w:val="111111"/>
          <w:sz w:val="28"/>
          <w:sz w:val="28"/>
          <w:szCs w:val="28"/>
          <w:rtl w:val="true"/>
          <w:lang w:bidi="fa-IR"/>
        </w:rPr>
        <w:t>مالشان را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اموال اهل نهروان را رها کرد، و چون در جمل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ما غنیمت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عایشه را می گیرد؟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در جنگ نهروان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جنگ را آغاز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نهروان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کفر 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منافقین بندرت یاد خدا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سرانجام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مردمانی هستند که گرفتار فتنه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وصیت خود به امام حسن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اسیر خود خوش رفتار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خودم می دانم و اگر شهید شدم، فقط با یک ضربت، او را قصاص کنید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نیز آمده است که پیامبر صلی الله علیه واله به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نزول قرآن جنگیدم و تو بر تأویل آن خواهی جنگید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پیامبر صلی الله علیه واله این مردم را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مايؤمن اكثرهم بالله الا و هم مشركون</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می داند و از سوی دیگر، 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شرک در این آیه، شرک در طاعت است، نه عبادت</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على علیه السلام از پیامبر صلی الله علیه واله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اینها که با من جنگ خواهند کرد اهل فتنه اند یا اهل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فتنه اند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از طرف دیگر، روایاتی نقل شده است که صراحت در کفر این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جابر و او از پیامبر صلی الله علیه واله نقل نموده است که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خبر دهم به شما که بعد از من این مردم به کفر بازگشت میکنند و بعضی گردن بعضی دیگر را می زنند؟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نیز آمده است که علی علیه السلام به اصحاب معاویه و اهل شام نظر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دانه را شکافت و خلق را آفرید، اینها بظاهر ادعای اسلام نمودند و کفر را در دلهایشان پنهان داشتند و آنگاه که یارانشان زیاد شدند، به عداوت و کفرشان بازگشتند، جز این که نماز را ترک نکردند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اصبغ بن نباته نقل شده است که مردی به نزد على علیه السلام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با ما در جنگند، همانند ما دعوتشان اسلام است، یک پیامبر را قبول داریم و</w:t>
      </w:r>
    </w:p>
    <w:p>
      <w:pPr>
        <w:pStyle w:val="BookText"/>
        <w:rPr/>
      </w:pPr>
      <w:r>
        <w:rPr>
          <w:rFonts w:ascii="IRNazanin" w:hAnsi="IRNazanin" w:eastAsia="IRNazanin"/>
          <w:color w:val="111111"/>
          <w:sz w:val="28"/>
          <w:sz w:val="28"/>
          <w:szCs w:val="28"/>
          <w:rtl w:val="true"/>
          <w:lang w:bidi="fa-IR"/>
        </w:rPr>
        <w:t xml:space="preserve">همچون ما نماز اقامه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اینها چه باید باشد؟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کفر که در قرآن بر آنها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اختلفوا فمنهم من آمن و منهم من كفر</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 اسلام و کفر در فصل اول و سیره امام علی علیه السلام و دسته اول روایات شاید بتوان به این نتیجه رسید که بسیاری از این مردم، خصوصا سردمدارانشان، دلهایی لبریز از کفر و عناد داشته اند و در ظاهر ادعای مسلمانی می کرده اند و رفتار على علیه السلام بر مبنای ظاهر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که آنان ظاهر مسلمان بوده اند، فقها باب خاصی تحت عنوان بغات باز کرده اند و به عنوان اهل رد از آنها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مرحوم شهید اول در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خود او در آخرین سطور کتاب، احکام ذکر شده در این کتاب موافق با نظر مشهور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راجع به بغات است و هرکس بر امام معصوم خروج کند باغی است و با او همانند کفار جنگ خواهد شد و آنها که دارای گروه و مرکزیت هستند مجروحشان کشته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مرکزیت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متفرق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اصح این است که اموالشان مطابق تقسیم نمی شود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مرحوم شیخ طوسی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محارب علی کافر و مخالف او فاسق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که به قرینه گفته دیگر او درباره کفر مجبره </w:t>
      </w:r>
      <w:bookmarkStart w:id="345" w:name="pg6894_74609"/>
    </w:p>
    <w:p>
      <w:pPr>
        <w:pStyle w:val="BookText"/>
        <w:rPr/>
      </w:pPr>
      <w:bookmarkEnd w:id="345"/>
      <w:r>
        <w:rPr>
          <w:rFonts w:ascii="IRNazanin" w:hAnsi="IRNazanin" w:eastAsia="IRNazanin"/>
          <w:color w:val="111111"/>
          <w:sz w:val="28"/>
          <w:sz w:val="28"/>
          <w:szCs w:val="28"/>
          <w:rtl w:val="true"/>
          <w:lang w:bidi="fa-IR"/>
        </w:rPr>
        <w:t xml:space="preserve">که نسبت به آن ادعای اجماع کرده، اما به دلیل این که ظاهرا مسلمانند در حکم ارتداد آنها تردید کرده است </w:t>
      </w:r>
      <w:r>
        <w:rPr>
          <w:rStyle w:val="FootnoteAnchor"/>
          <w:rtl w:val="true"/>
        </w:rPr>
        <w:footnoteReference w:id="356"/>
      </w:r>
      <w:r>
        <w:rPr>
          <w:rFonts w:ascii="IRNazanin" w:hAnsi="IRNazanin" w:eastAsia="IRNazanin"/>
          <w:color w:val="111111"/>
          <w:sz w:val="28"/>
          <w:sz w:val="28"/>
          <w:szCs w:val="28"/>
          <w:rtl w:val="true"/>
          <w:lang w:bidi="fa-IR"/>
        </w:rPr>
        <w:t>می توان گفت مراد از کفر محارب على علیه السلام نیز همان کفر باطنی است که با ظاهر اسلامی منافاتی ندارد و در مبسوط به این مطلب تصریح کرده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گذشته از این، در صدر اسلام منافقان کاملا برای مردم شناخته شده بودند، در عین حال رفتار با آنها همانند یک مسلمان بود و بر جنازه شان نماز گذاشته می شد، اما بعد از تکبیر آخر لعنت می شدند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ابن ادریس نظر شیخ را در مبسوط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تمام شدن جنگ هر کس احق به مال خود است و اگر مالش را نزد دیگری یافت می تواند بگیرد، به دلیل روایت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اخ المسلم و لايحل له دمه و ماله الا بطيبة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حرمت اسلام محترمند پس اموالشان</w:t>
      </w:r>
    </w:p>
    <w:p>
      <w:pPr>
        <w:pStyle w:val="BookText"/>
        <w:rPr/>
      </w:pP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اهل بغی مانند اموال اهل حرب به غنیمت برده نمی شود و در این موضوع خلافی نمی شناسم</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با توجه به مطالب فوق، نظر بسیاری از فقها بر نجاست ظاهری این اشخاص قابل تردید است ولو ضرر و زیانی که این عده از مسلمان نمایان به اسلام دارند از کنار اصلی هم بیشتر باشد چرا که اطلاق کفر بر اینها به معنای مطلق نیست و روایاتی که ظاهر در نجاست آنهاست از نظر دلالت قابل مناقشه است</w:t>
      </w:r>
      <w:r>
        <w:rPr>
          <w:rFonts w:eastAsia="IRNazanin" w:cs="IRNazanin"/>
          <w:color w:val="111111"/>
          <w:sz w:val="28"/>
          <w:szCs w:val="28"/>
          <w:rtl w:val="true"/>
          <w:lang w:bidi="fa-IR"/>
        </w:rPr>
        <w:t xml:space="preserve">. </w:t>
      </w:r>
      <w:r>
        <w:rPr>
          <w:rStyle w:val="FootnoteAnchor"/>
          <w:rtl w:val="true"/>
        </w:rPr>
        <w:footnoteReference w:id="360"/>
      </w:r>
    </w:p>
    <w:p>
      <w:pPr>
        <w:pStyle w:val="Heading6"/>
        <w:numPr>
          <w:ilvl w:val="5"/>
          <w:numId w:val="1"/>
        </w:numPr>
        <w:rPr/>
      </w:pPr>
      <w:bookmarkStart w:id="346" w:name="__RefHeading___Toc1440484_372815092"/>
      <w:bookmarkStart w:id="347" w:name="_Toc128"/>
      <w:bookmarkEnd w:id="346"/>
      <w:r>
        <w:rPr/>
        <w:t>5</w:t>
      </w:r>
      <w:r>
        <w:rPr>
          <w:rtl w:val="true"/>
        </w:rPr>
        <w:t xml:space="preserve">. </w:t>
      </w:r>
      <w:r>
        <w:rPr>
          <w:rtl w:val="true"/>
        </w:rPr>
        <w:t>انکار ضروریات دین</w:t>
      </w:r>
      <w:bookmarkEnd w:id="347"/>
    </w:p>
    <w:p>
      <w:pPr>
        <w:pStyle w:val="Heading6"/>
        <w:numPr>
          <w:ilvl w:val="5"/>
          <w:numId w:val="1"/>
        </w:numPr>
        <w:rPr/>
      </w:pPr>
      <w:bookmarkStart w:id="348" w:name="__RefHeading___Toc1440486_372815092"/>
      <w:bookmarkStart w:id="349" w:name="_Toc129"/>
      <w:bookmarkEnd w:id="348"/>
      <w:r>
        <w:rPr>
          <w:rtl w:val="true"/>
        </w:rPr>
        <w:t>اشاره</w:t>
      </w:r>
      <w:bookmarkEnd w:id="34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دین یعنی چیزی که وجود آن در دین، مسلم و قطعی است، اما این که این امر از دید چه کسی یا کسانی باید قطعی و مسلم باشد تا منکر آن مرتد باشد،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 باید مورد اتفاق اهل حل و عقد از تمام مسلمانان باشد و اگر در آن اختلاف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دوم این است که اگر مورد اجماع شیعه هم باشد </w:t>
      </w:r>
    </w:p>
    <w:p>
      <w:p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و نظریه سوم این است که اگر برای خود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برهان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که امری از دین است و آن را انکار کند، مرتد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از بین نظرات فوق ما نظر سوم را انتخاب می کنیم، گرچه در صورت اتفاق جميع</w:t>
      </w:r>
    </w:p>
    <w:p>
      <w:pPr>
        <w:pStyle w:val="BookText"/>
        <w:rPr/>
      </w:pPr>
      <w:r>
        <w:rPr>
          <w:rFonts w:ascii="IRNazanin" w:hAnsi="IRNazanin" w:eastAsia="IRNazanin"/>
          <w:color w:val="111111"/>
          <w:sz w:val="28"/>
          <w:sz w:val="28"/>
          <w:szCs w:val="28"/>
          <w:rtl w:val="true"/>
          <w:lang w:bidi="fa-IR"/>
        </w:rPr>
        <w:t xml:space="preserve">مسلمانان بر امری لاجرم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اطلاع از این اتفاق برای شخص نیز علم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اول نیز صحیح است، اما جامع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باید گفت آنچه در روایات آمده این است که منکر حکم خدا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که بعضی از منقولات ممکن است حکم دین نباشد فقها قید ضروری دین بودن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كونه من الدين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اند تا معلوم باشد آنچه مورد انکار قرار گرفته است در واقع هم حکم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رسیدن به این که حکمی در واقع جزو دین است، اجماع و یا اتفاق مسلمین است و نیز ممکن است تنها برای منکر علم حاصل شود که حکمی از اسلام است و آن را انکار کند، ولو مورد اجماع نباشد و حتی روایتی هم درباره آن نرسیده و تنها با برهان عقلی برای او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اجماع وجود دارد و برای منکر هم علم حاصل شده است و نیز موردی که تنها برای منکر علم حاصل است، انکار حکم نمی تواند جدا از انکار اصل دین باشد و در این دو مورد منکر در واقع اصل دین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دوم تفاوتی نمی کند که آنچه به نظر منکر از دین بوده است و انکار کرده در واقع هم از دین باشد یا نباشد، چرا که نظر واقعی در این فرض انکار اصل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بین دو مورد وجود دارد عبارت است از تفاوت علم یک شخص با علم تمام اهل حل و عقد در مطابقت آن حکم با واقع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جهت که هر دو بازگشت به انکار اصل دین دارند،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آن جا که منکر جاهل است و امری از دین را انکار می کند، چه باید گفت؟ عده ای من جمله صاحب جواهر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ضروری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آن تعبیر به حکم مسلم دینی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مطلقأ موجب ارتداد است چه به انکار اصل دین برگشت کند و چه برگش نکند و چه منکر علم داشته باشد و چه نداشته باشد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در مقابل، گروه دیگری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منکر باید عالم باشد والا مرتد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نظریه اول به اطلاقات روایات و فتوای اصحاب استدلال شده است که منکر حکم خدا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ترك فريضة من الموجبات فلم يعمل بها و جحدها كان كافرا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و روایات باب دوم احکام ماه رمضان </w:t>
      </w:r>
      <w:r>
        <w:rPr>
          <w:rStyle w:val="FootnoteAnchor"/>
          <w:rtl w:val="true"/>
        </w:rPr>
        <w:footnoteReference w:id="3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از باب دوم، روایت برید عجلی از امام باقر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می تواند کسی را که سه روز روزه را افطار کرده است و آن را حلال دانسته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سماعه از آن حضرت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سه روز روزه را افطار کرده است، روز سوم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سوم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پیامبر صلی الله علیه واله را قبول نداشته و افطار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روایتهای چهارم و پنجم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یک روز از ماه رمضان را افطار کند از ایمان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روایات و روایاتی که می گوید منکر حکم خدا کافر است، برای اثبات این که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جاهل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است، مورد استدلال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نظریه جدا مورد اشکال است و روایاتی را که در آنها منکر حکم خدا، کافر شمرده شده است، باید حمل بر عالم کرد و در دو روایت دیگر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افطر يوما من شهر رمضان خرج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خروج از ایمان را به معنای معصیت دانست، که در روایت تحف العقول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که در آنها حكم به قتل داده شده است یا به قرینه روایت سوم، حمل بر انکار دین می شود و یا حمل بر تکرار گناه، مثل تکرار زنای غیر محصن، سرقت، قذف و غیره که با تکرار آنها، مجرم به قتل می رسد و قتل، دلیل بر خروج از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اشکالاتی که بر دلالت روایات وارد است، نمی توان کسی را که مدعی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بودن است و از روی جهل، حکمی را رد کرده است، به اتهام خروج از دین، محکوم به قتل و ارتداد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منکر حکم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جاهل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شمرده شود، غیر از معصوم، کسی از این حکم در امان نیست؛ زیرا ضروری بودن یا نبودن، نسبت به ماست و عموم احکام در واقع با یکدیگر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فلسفه این که به رغم روایاتی که تنها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يعمل و جحدها كان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قید ضروری بودن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كونه من الدين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کرده اند، همین باشد که علم و جهل در </w:t>
      </w:r>
      <w:bookmarkStart w:id="350" w:name="pg6894_74612"/>
    </w:p>
    <w:p>
      <w:pPr>
        <w:pStyle w:val="BookText"/>
        <w:rPr/>
      </w:pPr>
      <w:bookmarkEnd w:id="350"/>
      <w:r>
        <w:rPr>
          <w:rFonts w:ascii="IRNazanin" w:hAnsi="IRNazanin" w:eastAsia="IRNazanin"/>
          <w:color w:val="111111"/>
          <w:sz w:val="28"/>
          <w:sz w:val="28"/>
          <w:szCs w:val="28"/>
          <w:rtl w:val="true"/>
          <w:lang w:bidi="fa-IR"/>
        </w:rPr>
        <w:t>این حکم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احکام به دلیل ناکافی بودن دلیل رد می شود و چه بسا فتاوا در طول زمان تغییر می کند و در واقع، آنچه منکر جاهل رد می کند، حکم خدا نیست، بلکه نسبت داشتن آن را به خدا و پیامبر رد می کند، به طوری که اگر بداند حکم خدا یا پیامبر است، آن را خواهد پذیرفت، و همین است حال مسلمانی و معنای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انکار ضروری دین از عوامل مستقل ارتداد نیست و عده ای بر این امر تصریح کرده اند که اگر این انکار به انکار اصل دین بازگردد، منکر مرتد است و بازگشت به انکاردین در صورتی است که منکر علم داشته باشد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روایات مربوط به تعریف اسلام و ایمان و روایات مربوط به مستضعفان دینی و برداشتن حکم از آنها </w:t>
      </w:r>
      <w:r>
        <w:rPr>
          <w:rStyle w:val="FootnoteAnchor"/>
          <w:rtl w:val="true"/>
        </w:rPr>
        <w:footnoteReference w:id="367"/>
      </w:r>
      <w:r>
        <w:rPr>
          <w:rFonts w:ascii="IRNazanin" w:hAnsi="IRNazanin" w:eastAsia="IRNazanin"/>
          <w:color w:val="111111"/>
          <w:sz w:val="28"/>
          <w:sz w:val="28"/>
          <w:szCs w:val="28"/>
          <w:rtl w:val="true"/>
          <w:lang w:bidi="fa-IR"/>
        </w:rPr>
        <w:t>نیز دلیل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که مرحوم مجلسی آن را معتبر می داند، امام باقر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 زنها و کودکان شمایند، آیا دیده اید ام ایمن را؟ من شهادت می دهم که او اهل بهشت است، اما آنچه را شما از امر امامت می دانید، او نمی دانست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همین جاست که می گویند جاهل مکلف است، اما در عمل معذور است و عادتا</w:t>
      </w:r>
    </w:p>
    <w:p>
      <w:pPr>
        <w:pStyle w:val="BookText"/>
        <w:rPr/>
      </w:pPr>
      <w:r>
        <w:rPr>
          <w:rFonts w:ascii="IRNazanin" w:hAnsi="IRNazanin" w:eastAsia="IRNazanin"/>
          <w:color w:val="111111"/>
          <w:sz w:val="28"/>
          <w:sz w:val="28"/>
          <w:szCs w:val="28"/>
          <w:rtl w:val="true"/>
          <w:lang w:bidi="fa-IR"/>
        </w:rPr>
        <w:t>کسی که جاهل است، منکر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عواملی را برای ارتداد برشمردیم که تمام آنها در واقع بازگشت به انکار</w:t>
      </w:r>
    </w:p>
    <w:p>
      <w:pPr>
        <w:pStyle w:val="BookText"/>
        <w:rPr/>
      </w:pPr>
      <w:r>
        <w:rPr>
          <w:rFonts w:ascii="IRNazanin" w:hAnsi="IRNazanin" w:eastAsia="IRNazanin"/>
          <w:color w:val="111111"/>
          <w:sz w:val="28"/>
          <w:sz w:val="28"/>
          <w:szCs w:val="28"/>
          <w:rtl w:val="true"/>
          <w:lang w:bidi="fa-IR"/>
        </w:rPr>
        <w:t>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مرتد فطری مطلقا محکوم به مرگ است یا باید بین کسی که با نیت و انگیزه دنیایی و از سر هواپرستی مرتد می شود با کسی که به دلیل وجود شبهه ای مرتد شده است که از دید خود او همراه با برهان عقلی است، فرق گذاشت</w:t>
      </w:r>
      <w:r>
        <w:rPr>
          <w:rFonts w:eastAsia="IRNazanin" w:cs="IRNazanin"/>
          <w:color w:val="111111"/>
          <w:sz w:val="28"/>
          <w:szCs w:val="28"/>
          <w:rtl w:val="true"/>
          <w:lang w:bidi="fa-IR"/>
        </w:rPr>
        <w:t>.</w:t>
      </w:r>
    </w:p>
    <w:p>
      <w:pPr>
        <w:pStyle w:val="Heading6"/>
        <w:numPr>
          <w:ilvl w:val="5"/>
          <w:numId w:val="1"/>
        </w:numPr>
        <w:rPr/>
      </w:pPr>
      <w:bookmarkStart w:id="351" w:name="__RefHeading___Toc1440488_372815092"/>
      <w:bookmarkStart w:id="352" w:name="_Toc130"/>
      <w:bookmarkEnd w:id="351"/>
      <w:r>
        <w:rPr>
          <w:rtl w:val="true"/>
        </w:rPr>
        <w:t>ارتداد به دلیل شبهة واقعيه</w:t>
      </w:r>
      <w:bookmarkEnd w:id="352"/>
    </w:p>
    <w:p>
      <w:pPr>
        <w:pStyle w:val="BookText"/>
        <w:rPr/>
      </w:pPr>
      <w:r>
        <w:rPr>
          <w:rFonts w:ascii="IRNazanin" w:hAnsi="IRNazanin" w:eastAsia="IRNazanin"/>
          <w:color w:val="111111"/>
          <w:sz w:val="28"/>
          <w:sz w:val="28"/>
          <w:szCs w:val="28"/>
          <w:rtl w:val="true"/>
          <w:lang w:bidi="fa-IR"/>
        </w:rPr>
        <w:t>قبلا اشاره کردیم که ابن جنید ارتداد را یک قسم می داند و معتقد است در همه موارد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 باید توبه داده شود که همان دعوت به اسلام است و شهید ثانی نیز این نظریه را تقویت کرد، گرچه نظر مشهور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 فرض قبول نظریه مشهور و </w:t>
      </w:r>
    </w:p>
    <w:p>
      <w:pPr>
        <w:pStyle w:val="BookText"/>
        <w:rPr/>
      </w:pPr>
      <w:r>
        <w:rPr>
          <w:rFonts w:ascii="IRNazanin" w:hAnsi="IRNazanin" w:eastAsia="IRNazanin"/>
          <w:color w:val="111111"/>
          <w:sz w:val="28"/>
          <w:sz w:val="28"/>
          <w:szCs w:val="28"/>
          <w:rtl w:val="true"/>
          <w:lang w:bidi="fa-IR"/>
        </w:rPr>
        <w:t xml:space="preserve">صحت استدلال به روایت علی بن جعفر علیه السلام و عمار 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سابقا به آنها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دو روایت اشاره ای ندارد که آیا ارتداد به دلیل شبهه واقعیه است یا به دلیل هواپرستی و از این لحاظ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این اطلاق با حکم عقل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مؤید حکم عقل است که مختصرا به این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تردید، حکم ارتداد با اهداف هواپرستانه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p>
    <w:p>
      <w:pPr>
        <w:pStyle w:val="BookText"/>
        <w:rPr/>
      </w:pPr>
      <w:r>
        <w:rPr>
          <w:rFonts w:ascii="Amiri" w:hAnsi="Amiri" w:eastAsia="Amiri" w:cs="Amiri"/>
          <w:color w:val="111111"/>
          <w:sz w:val="28"/>
          <w:sz w:val="28"/>
          <w:szCs w:val="28"/>
          <w:rtl w:val="true"/>
          <w:lang w:bidi="ar-SA"/>
        </w:rPr>
        <w:t>است و منافاتی با حکم عقل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ارْتَدُّوا عَلى أَدْبارِهِمْ مِنْ بَعْدِ ما تَبَيَّنَ لَهُمُ الْهُدَى الشَّيْطانُ سَوَّلَ لَهُمْ وَ أُمْلِي لَهُمْ </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نیز ارتداد پس از روشن بودن حق را نکوهش می کند و آن را نتیجه فریب شیطان، یعنی ترغیب او به هوای نفس،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ارتداد به دلیل شبهه واقعیه باشد، لزوم قتل مرتد بدون ارشاد و استتابه، یا حکم عقل و اصل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اعتقاد به اصول با برهان عقلی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 لزوم نیز عقلی است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منافات دارد و تکلیف شاک به یقین ممکن نیست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علاوه بر این، چنان که یادآور شدیم، یکی از شرایط عامه تکلیف، عاقل بودن مرتد است و اگر بنا باشد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دلیل شبهه واقعيه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ارشاد کشته شود، عاقل بودن یا نبودن او چه نقشی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قتل مرتد قبل از ارشاد و رفع شبهات، معقول نیست و حکمت شرطیت عقل و سایر شرایط عامه در احکام، این است که حجت بر او تمام و جرم به او تفهیم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خود وجدانة معترف به جرم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و اعتراف به جرم در مورد بحث ما، که از اصول اعتقادی است، به حکم عقل است و اگر عقل این شخص به این مرحله از اعتقاد نرسیده باشد به منزله عدم بیان است و عقاب بلابیان در هر حال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اکراه فِي الدِّينِ قَدْ تَبَيَّنَ الرُّشْدُ مِنَ الْغَيِّ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که شأن نزول این آیه، ماجرای مردی از انصار است که غلام خود جبیع را به اسلام مجبور می کردیا مردی به نام ابا الحصین که فرزندانش توسط تجار، نصرانی شده و به شام رفته بودند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همچنین گفته اند این آیه درباره زنی است که فرزندان انصار را شیر </w:t>
      </w:r>
    </w:p>
    <w:p>
      <w:pPr>
        <w:pStyle w:val="BookText"/>
        <w:rPr/>
      </w:pPr>
      <w:r>
        <w:rPr>
          <w:rFonts w:ascii="IRNazanin" w:hAnsi="IRNazanin" w:eastAsia="IRNazanin"/>
          <w:color w:val="111111"/>
          <w:sz w:val="28"/>
          <w:sz w:val="28"/>
          <w:szCs w:val="28"/>
          <w:rtl w:val="true"/>
          <w:lang w:bidi="fa-IR"/>
        </w:rPr>
        <w:t>می داده و آنها را یهودی کرده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به هر حال، شأن نزول آیه هرچه باشد نمی تواند تأثیری در عموم و کلیت آن داشته باشد چرا که مورد، مخصص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اختصاص به اهل کتاب یا قوم خاصی از انصار نداشته و نسخ نیز نشده است</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قول مشهور نیز همین است و بیان کننده این امر است که بندگان در انتخاب دین آزادند و عموم مفسران نیز بر این عقیده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عقلی که در این زمینه بیان شده این است که دین در حقیقت امری قلبی است و اظهار شهادتین که با اکراه صورت بگیرد دین نیست چنانکه کفر ناشی از اکراه، کفر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الميزان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یک سلسله معارف علمی است که نتیجه آن عمل است و مجموع آنها اعتقادات</w:t>
      </w:r>
    </w:p>
    <w:p>
      <w:pPr>
        <w:pStyle w:val="BookText"/>
        <w:rPr/>
      </w:pPr>
      <w:r>
        <w:rPr>
          <w:rFonts w:ascii="IRNazanin" w:hAnsi="IRNazanin" w:eastAsia="IRNazanin"/>
          <w:color w:val="111111"/>
          <w:sz w:val="28"/>
          <w:sz w:val="28"/>
          <w:szCs w:val="28"/>
          <w:rtl w:val="true"/>
          <w:lang w:bidi="fa-IR"/>
        </w:rPr>
        <w:t>است و اعتقاد و ایمان از امور قلبيه است که اکراه و اجبارپذیر نیست و اجبار و اکراه در عمل ظاهری اثر می گذارد اما اعتقاد قلبی اسباب و علل قلبی دارد که از سنخ اعتقاد و ادراک است و محال است که نتیجه جهل، علم باشد و از مقدمات جهليه تصدیق علمی نتیجه گرفته شود پس قول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اخبار و حکایت از تکوین است که نتیجه آن حکم دینی است که در دین و اعتقاد اکراه نیست و یا حکم انشائی و نهی است که خداوند نهی می کند از اکراه بر اعتقاد و ایمان</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آلوسی بغدادی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در دین قابل تصور نیست چرا که اکراء الزام غیر است به چیزی که در آن خیری مشاهده نمی کند و حال آن که تمام دین خیر است پس در دین اکراه نیست و اگر غیر از این باشد ابتلاء و امتحان بندگان در دنیا منتفی خواهد بود و آیه فوق نظیر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شاءَ فَلْيُؤْمِنْ وَ مَنْ شاءَ فَلْيَكْفُرْ </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زمخشری در کشاف می 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نخواسته ایمان بر اجبار و اکراه باشد، لذا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شاءَ رَبُّكَ لَآمَنَ مَنْ فِي </w:t>
      </w:r>
    </w:p>
    <w:p>
      <w:pPr>
        <w:pStyle w:val="BookText"/>
        <w:rPr/>
      </w:pPr>
      <w:r>
        <w:rPr>
          <w:rFonts w:ascii="Amiri" w:hAnsi="Amiri" w:eastAsia="Amiri" w:cs="Amiri"/>
          <w:color w:val="111111"/>
          <w:sz w:val="28"/>
          <w:sz w:val="28"/>
          <w:szCs w:val="28"/>
          <w:rtl w:val="true"/>
          <w:lang w:bidi="ar-SA"/>
        </w:rPr>
        <w:t>الأرض كلهم جميعا افانت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این است حکم دین که بسیاری از دشمنان آشکار و نهان گمان کرده اند اسلام با</w:t>
      </w:r>
    </w:p>
    <w:p>
      <w:pPr>
        <w:pStyle w:val="BookText"/>
        <w:rPr/>
      </w:pPr>
      <w:r>
        <w:rPr>
          <w:rFonts w:ascii="IRNazanin" w:hAnsi="IRNazanin" w:eastAsia="IRNazanin"/>
          <w:color w:val="111111"/>
          <w:sz w:val="28"/>
          <w:sz w:val="28"/>
          <w:szCs w:val="28"/>
          <w:rtl w:val="true"/>
          <w:lang w:bidi="fa-IR"/>
        </w:rPr>
        <w:t>شمشیر و زور برپا شده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با توجه به نظریه اخیر و استدلال عقلی که پشتوانه این نظریه است، سایر اقوال از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نسخ آیه، مردود خواهد بود و ادعای نسخ نمی تواند در استدلال عقلی و کلیت آن، خدشه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پذیرش و خروج از دین جاری است و ابقاء بر دین را با اکراه نیز نفی می کند، مگر این که حق روشن باشد و ارتداد به دلیل هواپرستی و دنیاطلبی باشد که در این صورت، اجرای حکم ارتداد، مورد قبول عقل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علی بن ابراهیم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لااكره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لايكره احد على دينه الا بعد ان قد تبين له الرشد من الغي</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در فرض روشن بودن حق، اکراه از نظر عقل پذیرفته شده است، اما از آن جا که دنیا دار ابتلا و امتحان است، بعضی می گویند اگر اکراه و اجبار را بپذیریم، نقض غرض لازم خواهد آمد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بنابراین، به هیچ وجه نباید دین با اکراه باشد، ولو حق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افراطی است و جواب از استدلال این نظریه این است که اگر به دلیل این که دنیا دار ابتلا و امتحان است، جایز نباشد کافری را که حق برای او روشن است، اکراه کرد، در هیچ یک از احکام هم نباید اکراه و مجازات باشد، در حالی که خلاف آن ثابت است و مجازاتهای دنیایی برای بسیاری از گناهان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استدلال عقلی و آیه شریفه شاید لازم باشد دو روایت عمار ساباطی و علی بن جعفر علیه السلام در قتل مرتد فطری را حمل بر موردی کنیم که ارتداد به دلیل هواپرستی صورت گرفته است، گرچه بسیاری از فقها، از آن جمله شهید که به نظر وی اشاره کردیم، این دو روایت را برای تقسیم ارتداد به ملی و فطری کافی نمی دانند و ابن جنید اسکافی هم به همین امر فتوا داده است و با توجه به حکم عقل و آیات شریفه قرآن این قول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اگر در نظر داشته باشیم که یکی از موارد شأن نزول که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bookmarkStart w:id="353" w:name="pg6894_74616"/>
    </w:p>
    <w:p>
      <w:pPr>
        <w:pStyle w:val="BookText"/>
        <w:rPr/>
      </w:pPr>
      <w:bookmarkEnd w:id="353"/>
      <w:r>
        <w:rPr>
          <w:rFonts w:ascii="IRNazanin" w:hAnsi="IRNazanin" w:eastAsia="IRNazanin"/>
          <w:color w:val="111111"/>
          <w:sz w:val="28"/>
          <w:sz w:val="28"/>
          <w:szCs w:val="28"/>
          <w:rtl w:val="true"/>
          <w:lang w:bidi="fa-IR"/>
        </w:rPr>
        <w:t xml:space="preserve">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اند ماجرای فرزندان ابا الحصین می باشد که درباره ارتداد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مبحث یاد آور می شود که مفسران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w:t>
      </w:r>
    </w:p>
    <w:p>
      <w:pPr>
        <w:pStyle w:val="BookText"/>
        <w:rPr/>
      </w:pPr>
      <w:r>
        <w:rPr>
          <w:rFonts w:ascii="IRNazanin" w:hAnsi="IRNazanin" w:eastAsia="IRNazanin"/>
          <w:color w:val="111111"/>
          <w:sz w:val="28"/>
          <w:sz w:val="28"/>
          <w:szCs w:val="28"/>
          <w:rtl w:val="true"/>
          <w:lang w:bidi="fa-IR"/>
        </w:rPr>
        <w:t>بحث کرده اند و آن را به ارتداد ارتباط نداده اند، اما استدلال عقلی نمی تواند شامل ارتداد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این آیه را به مسأله ارتداد نیز کشانیدیم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بخفیات الامور</w:t>
      </w:r>
      <w:r>
        <w:rPr>
          <w:rFonts w:eastAsia="IRNazanin" w:cs="IRNazanin"/>
          <w:color w:val="111111"/>
          <w:sz w:val="28"/>
          <w:szCs w:val="28"/>
          <w:rtl w:val="true"/>
          <w:lang w:bidi="fa-IR"/>
        </w:rPr>
        <w:t>».</w:t>
      </w:r>
    </w:p>
    <w:p>
      <w:pPr>
        <w:pStyle w:val="Heading5"/>
        <w:numPr>
          <w:ilvl w:val="4"/>
          <w:numId w:val="1"/>
        </w:numPr>
        <w:rPr/>
      </w:pPr>
      <w:bookmarkStart w:id="354" w:name="__RefHeading___Toc1440490_372815092"/>
      <w:bookmarkStart w:id="355" w:name="_Toc131"/>
      <w:bookmarkEnd w:id="354"/>
      <w:r>
        <w:rPr>
          <w:rtl w:val="true"/>
        </w:rPr>
        <w:t>توبه مرتد</w:t>
      </w:r>
      <w:bookmarkEnd w:id="355"/>
    </w:p>
    <w:p>
      <w:pPr>
        <w:pStyle w:val="Heading6"/>
        <w:numPr>
          <w:ilvl w:val="5"/>
          <w:numId w:val="1"/>
        </w:numPr>
        <w:rPr/>
      </w:pPr>
      <w:bookmarkStart w:id="356" w:name="__RefHeading___Toc1440492_372815092"/>
      <w:bookmarkStart w:id="357" w:name="_Toc132"/>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قبول توبه مرتد فطری مورد اختلاف و مشهور، عدم قبول است، اما شیخ طوسی در نهاية الاحكام و ابن جنید، توبه مرتد، اعم از ملی و فطری را پذیرفته اند و در خلاف بر عدم قبول توبه مرتد فطری ادعای اجماع شده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آية الله سید محمد شیرازی در الفقه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فطری نیز توبه اش پذیرفته است و ابن جنید و شهید در مسالک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گرچه نظر مشهور را پذیرفته است، اما در عدم قبول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قبول توبه اطلاقات است و تخصیص آنها با روایت عمار خالی از اشکال نیست و اجماعی که ادعا شده است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که می گوید توبه مرتد قبول نمی شود حمل بر تشدید می شود و از این تشدیدات در شریعت زیاد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شهید اول در لمعه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مرتد فطری نسبت به احکام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جدا شدن زن و تقسیم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نیست</w:t>
      </w:r>
    </w:p>
    <w:p>
      <w:pPr>
        <w:pStyle w:val="BookText"/>
        <w:rPr/>
      </w:pPr>
      <w:r>
        <w:rPr>
          <w:rFonts w:ascii="IRNazanin" w:hAnsi="IRNazanin" w:eastAsia="IRNazanin"/>
          <w:color w:val="111111"/>
          <w:sz w:val="28"/>
          <w:sz w:val="28"/>
          <w:szCs w:val="28"/>
          <w:rtl w:val="true"/>
          <w:lang w:bidi="fa-IR"/>
        </w:rPr>
        <w:t>و شهید ثانی در شرح لمعه می 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قوی این است که بينه و بين الله توبه اش قبول باشد و اگر به نحوی کشته نشود به </w:t>
      </w:r>
      <w:bookmarkStart w:id="358" w:name="pg6894_74617"/>
    </w:p>
    <w:p>
      <w:pPr>
        <w:pStyle w:val="BookText"/>
        <w:rPr/>
      </w:pPr>
      <w:bookmarkEnd w:id="358"/>
      <w:r>
        <w:rPr>
          <w:rFonts w:ascii="IRNazanin" w:hAnsi="IRNazanin" w:eastAsia="IRNazanin"/>
          <w:color w:val="111111"/>
          <w:sz w:val="28"/>
          <w:sz w:val="28"/>
          <w:szCs w:val="28"/>
          <w:rtl w:val="true"/>
          <w:lang w:bidi="fa-IR"/>
        </w:rPr>
        <w:t>استثنای اموال و زنش که به او بازگشت نمی کند در بقیه احکام همانند مسلمانان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تا این جا به تعدادی از نظرات درباره مرتد فطری اشاره شد، اینک بهتر است روایات را بررسی کنیم تا مقدار دلالت آنها را بر مدعای مشهور دریابیم</w:t>
      </w:r>
      <w:r>
        <w:rPr>
          <w:rFonts w:eastAsia="IRNazanin" w:cs="IRNazanin"/>
          <w:color w:val="111111"/>
          <w:sz w:val="28"/>
          <w:szCs w:val="28"/>
          <w:rtl w:val="true"/>
          <w:lang w:bidi="fa-IR"/>
        </w:rPr>
        <w:t>.</w:t>
      </w:r>
    </w:p>
    <w:p>
      <w:pPr>
        <w:pStyle w:val="Heading6"/>
        <w:numPr>
          <w:ilvl w:val="5"/>
          <w:numId w:val="1"/>
        </w:numPr>
        <w:rPr/>
      </w:pPr>
      <w:bookmarkStart w:id="359" w:name="__RefHeading___Toc1440494_372815092"/>
      <w:bookmarkStart w:id="360" w:name="_Toc133"/>
      <w:bookmarkEnd w:id="359"/>
      <w:r>
        <w:rPr>
          <w:rtl w:val="true"/>
        </w:rPr>
        <w:t>روایات توبه مرتد</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کلینی و شیخ از محمد بن مسلم از 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اسلام پشت کند و بر آنچه خدا بر محمد صلی الله علیه واله نازل کرده است بعد از مسلمانی کافر شود، قتلش واجب است و برای او توبه نیست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عمار ساباطی از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مسلمانان مرتد شود خونش مباح و بر امام است که بدون طلب توبه او را به قتل برساند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علی بن جفعر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سؤال کردم از مسلمانی که نصرانی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داده نمی شود و باید کشته شود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حسین بن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پاسخ به نوشته ای که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اسلام متولد شود آنگاه کافر و یا مشرک شود توبه داده می شود یا باید او را کشت؟ نوشتند که باید کشته شود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صدوق از محمد بن مسلم از 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پیامبر مرسلی را انکار کند خونش مباح است و اگر امامی را انکار کند و از دینش برائت جوید در آن حال کافر است و خونش مباح است مگر این که توبه کند و از آنچه گفته به سوی خدا بازگشت کند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بین روایات فوق، تنها روایت محمد بن مسلم به طریق کلینی 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روایت از نظر سند و نیز دلالت،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سند، در هر دو طریق کلینی و شیخ، سهل بن زیاد واقع شده است که اگر ضعیف نباشد، حداقل مورد اختلاف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دلالت،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مصداق روایت مرتد ملی است، نه فطری، که در این صورت، روایت با اتفاق مسلمانان مخالف است؛ چرا که توبه مرتد ملی را پذیرفته اند، در حالی که در این روایت می گوید برای او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استتابه باشد که وظیفه ولی امر و حاکم است و با توبه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عمار ساباطی و علی بن جعفر و حسین بن سعيد، سخن از استتابه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داده نمی شود و همان گونه که اشاره شد، این کار وظیفه ولی امر یا حاکم است، اما اگر مرتد خود توبه کند و مسلمان شود، قتلش مجوز شرعی ندارد و روایت اخیر که آن را از محمد بن مسلم نقل کردیم، بر این مطلب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زن چنین فردی بدون عقد جدید، قابل برگشت نیست، اما بعد از ثبوت توبه، قتل او دلیل ندارد، بلکه روایت اخیر محمد بن مسلم،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تدرء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اطلاقات آیات و روایات در قبول توبه، دلالت بر عدم جواز قتل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باید بر آن تأکید کرد، این است که اثر توبه، رفع آثار گناه در دنیا و آخرت است؛ چنان که اگر زانی، محارب، سارق و کسانی که گناهان دیگری انجام داده اند؛ قبل از اقامه آن نزد حاکم، توبه کنند، کیفر دنیایی آنان نیز برداشته می شود و اصولا مراد از قبولی توبه در موارد حدود، رفع حد است و نمی توان گناه ارتداد را استثنا نمود و قبولی توبه از آن را به آخرت حواله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 من اتبع الهدی </w:t>
      </w:r>
      <w:bookmarkStart w:id="361" w:name="pg6894_74619"/>
    </w:p>
    <w:p>
      <w:pPr>
        <w:pStyle w:val="Heading5"/>
        <w:numPr>
          <w:ilvl w:val="4"/>
          <w:numId w:val="1"/>
        </w:numPr>
        <w:rPr/>
      </w:pPr>
      <w:bookmarkStart w:id="362" w:name="__RefHeading___Toc1440496_372815092"/>
      <w:bookmarkStart w:id="363" w:name="_Toc134"/>
      <w:bookmarkEnd w:id="361"/>
      <w:bookmarkEnd w:id="362"/>
      <w:r>
        <w:rPr>
          <w:rtl w:val="true"/>
        </w:rPr>
        <w:t>کتابنامه</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احياء التراث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محمد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مولا احمد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و البرهان،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الحرانی، حسین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کتابچی،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نشر اسلامی،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محمد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البارع في شرح مختصر النافع، نشر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محمد بن منصور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تحریرالوسیله، مكتبة الاعتماد،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سیداحمد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اسماعیلیان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رشیدرضا،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المنار،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دارالمعرفة،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زحیلی، وهبة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الاسلامی،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منشورات 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دفتر تبلیغات اسلامی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سرخسی،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الدمشقیه،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سیدمحمد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دارالعلوم،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صدرالدين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الكريم،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مبحث،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اسلامی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مرتضوی،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في فقه الاماميه،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مرتضوی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اعلام 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اسلامی،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في شرح شرایع الاسلام،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ابي الحسن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العلمية،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دارالسرور،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وزارت ارشاد،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تهران،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نجم الدین جعفر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نجف،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الإمام الصادق،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دارالجواد،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اسلامیه،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نراقی، محمدمهدی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کتابخانه آية الله مرعشی،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64" w:name="pg6894_74621"/>
    </w:p>
    <w:p>
      <w:pPr>
        <w:pStyle w:val="Heading2"/>
        <w:numPr>
          <w:ilvl w:val="1"/>
          <w:numId w:val="1"/>
        </w:numPr>
        <w:rPr/>
      </w:pPr>
      <w:bookmarkStart w:id="365" w:name="__RefHeading___Toc1440498_372815092"/>
      <w:bookmarkStart w:id="366" w:name="_Toc135"/>
      <w:bookmarkEnd w:id="364"/>
      <w:bookmarkEnd w:id="365"/>
      <w:r>
        <w:rPr>
          <w:rtl w:val="true"/>
        </w:rPr>
        <w:t xml:space="preserve">بخش سوم </w:t>
      </w:r>
      <w:r>
        <w:rPr>
          <w:rtl w:val="true"/>
        </w:rPr>
        <w:t xml:space="preserve">: </w:t>
      </w:r>
      <w:r>
        <w:rPr>
          <w:rtl w:val="true"/>
        </w:rPr>
        <w:t>حقوق بین الملل</w:t>
      </w:r>
      <w:bookmarkEnd w:id="366"/>
    </w:p>
    <w:p>
      <w:pPr>
        <w:pStyle w:val="Heading3"/>
        <w:numPr>
          <w:ilvl w:val="2"/>
          <w:numId w:val="1"/>
        </w:numPr>
        <w:rPr/>
      </w:pPr>
      <w:bookmarkStart w:id="367" w:name="__RefHeading___Toc1440500_372815092"/>
      <w:bookmarkStart w:id="368" w:name="_Toc136"/>
      <w:bookmarkEnd w:id="367"/>
      <w:r>
        <w:rPr>
          <w:rtl w:val="true"/>
        </w:rPr>
        <w:t>اشاره</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در اسلام و اعلامیه جهانی حقوق بشر</w:t>
      </w:r>
    </w:p>
    <w:p>
      <w:pPr>
        <w:pStyle w:val="BookText"/>
        <w:rPr/>
      </w:pPr>
      <w:r>
        <w:rPr>
          <w:rFonts w:ascii="IRNazanin" w:hAnsi="IRNazanin" w:eastAsia="IRNazanin"/>
          <w:color w:val="111111"/>
          <w:sz w:val="28"/>
          <w:sz w:val="28"/>
          <w:szCs w:val="28"/>
          <w:rtl w:val="true"/>
          <w:lang w:bidi="fa-IR"/>
        </w:rPr>
        <w:t>صادق باقری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اقلیتها در اسلام و اعلامیه های حقوق بشر</w:t>
      </w:r>
    </w:p>
    <w:p>
      <w:pPr>
        <w:pStyle w:val="BookText"/>
        <w:rPr/>
      </w:pPr>
      <w:r>
        <w:rPr>
          <w:rFonts w:ascii="IRNazanin" w:hAnsi="IRNazanin" w:eastAsia="IRNazanin"/>
          <w:color w:val="111111"/>
          <w:sz w:val="28"/>
          <w:sz w:val="28"/>
          <w:szCs w:val="28"/>
          <w:rtl w:val="true"/>
          <w:lang w:bidi="fa-IR"/>
        </w:rPr>
        <w:t>غلامحیدر علامه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اموال فرهنگی به هنگام نزاع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مترجمان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6894_74623"/>
      <w:bookmarkStart w:id="370" w:name="pg6894_74623"/>
      <w:bookmarkEnd w:id="370"/>
    </w:p>
    <w:p>
      <w:pPr>
        <w:pStyle w:val="Heading3"/>
        <w:numPr>
          <w:ilvl w:val="2"/>
          <w:numId w:val="1"/>
        </w:numPr>
        <w:rPr/>
      </w:pPr>
      <w:bookmarkStart w:id="371" w:name="pg6894_74623"/>
      <w:bookmarkStart w:id="372" w:name="__RefHeading___Toc1440502_372815092"/>
      <w:bookmarkStart w:id="373" w:name="_Toc137"/>
      <w:bookmarkEnd w:id="371"/>
      <w:bookmarkEnd w:id="372"/>
      <w:r>
        <w:rPr>
          <w:rtl w:val="true"/>
        </w:rPr>
        <w:t>آزادی بیان در اسلام و اعلامیه جهانی حقوق بشر</w:t>
      </w:r>
      <w:bookmarkEnd w:id="373"/>
    </w:p>
    <w:p>
      <w:pPr>
        <w:pStyle w:val="Heading4"/>
        <w:numPr>
          <w:ilvl w:val="3"/>
          <w:numId w:val="1"/>
        </w:numPr>
        <w:rPr/>
      </w:pPr>
      <w:bookmarkStart w:id="374" w:name="__RefHeading___Toc1440504_372815092"/>
      <w:bookmarkStart w:id="375" w:name="_Toc138"/>
      <w:bookmarkEnd w:id="374"/>
      <w:r>
        <w:rPr>
          <w:rtl w:val="true"/>
        </w:rPr>
        <w:t>مقدمه</w:t>
      </w:r>
      <w:bookmarkEnd w:id="375"/>
    </w:p>
    <w:p>
      <w:pPr>
        <w:pStyle w:val="BookText"/>
        <w:rPr/>
      </w:pPr>
      <w:r>
        <w:rPr>
          <w:rFonts w:ascii="IRNazanin" w:hAnsi="IRNazanin" w:eastAsia="IRNazanin"/>
          <w:color w:val="111111"/>
          <w:sz w:val="28"/>
          <w:sz w:val="28"/>
          <w:szCs w:val="28"/>
          <w:rtl w:val="true"/>
          <w:lang w:bidi="fa-IR"/>
        </w:rPr>
        <w:t>آزادی بیان یکی از بحث انگیزترین موضوعات جوامع بشری در دنیای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 وجود آن که مدام مورد بحث و مناظره بوده و صاحب نظران چیره دستی نیز به طور مکرر به تحقیق، تفسیر و تبیین آن پرداخته اند، ولی به دلیل ماهیت خاصی که دارد از طرفی جزء مهمترین حقوق اساسی افراد در جامعه بوده و از طرف دیگر همواره با منافع ارباب قدرت و دیدگاههای اقتدارگرایانه مکتبهای تربیتی، به نحوی در تعارض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هاله ای از ابهام باقی مانده و توفیق حصول وفاق بر سر تفسیر آن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اغلب تحليلها و تفسیرها در این زمینه غرض آلود، سطحی، شعارگونه و دیدگاه گرایانه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شده است تا حدودی فارغ از پیش داوریهای جانبدارانه، به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اصلی مقاله شامل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آزادی بیان در بستر جوامع غربی مورد ارزیابی قرار گرفته و دیدگاههای اندیشمندان تمدن غرب در این باره بر اساس شواهد تاریخی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دیدگاه اسلام پرداخته شده و برای شناخت موضع اسلام، بنیادی ترین منابع اسلامی مورد جستجو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هم سنجی دو دیدگاه است و بر اساس شواهد </w:t>
      </w:r>
      <w:bookmarkStart w:id="376" w:name="pg6894_74624"/>
    </w:p>
    <w:p>
      <w:pPr>
        <w:pStyle w:val="BookText"/>
        <w:rPr/>
      </w:pPr>
      <w:bookmarkEnd w:id="376"/>
      <w:r>
        <w:rPr>
          <w:rFonts w:ascii="IRNazanin" w:hAnsi="IRNazanin" w:eastAsia="IRNazanin"/>
          <w:color w:val="111111"/>
          <w:sz w:val="28"/>
          <w:sz w:val="28"/>
          <w:szCs w:val="28"/>
          <w:rtl w:val="true"/>
          <w:lang w:bidi="fa-IR"/>
        </w:rPr>
        <w:t>عینی، تفاوتهای دو دیدگاه در برابر اصل حق آزادی بیان تبیین شده است</w:t>
      </w:r>
      <w:r>
        <w:rPr>
          <w:rFonts w:eastAsia="IRNazanin" w:cs="IRNazanin"/>
          <w:color w:val="111111"/>
          <w:sz w:val="28"/>
          <w:szCs w:val="28"/>
          <w:rtl w:val="true"/>
          <w:lang w:bidi="fa-IR"/>
        </w:rPr>
        <w:t>.</w:t>
      </w:r>
    </w:p>
    <w:p>
      <w:pPr>
        <w:pStyle w:val="Heading4"/>
        <w:numPr>
          <w:ilvl w:val="3"/>
          <w:numId w:val="1"/>
        </w:numPr>
        <w:rPr/>
      </w:pPr>
      <w:bookmarkStart w:id="377" w:name="__RefHeading___Toc1440506_372815092"/>
      <w:bookmarkStart w:id="378" w:name="_Toc139"/>
      <w:bookmarkEnd w:id="377"/>
      <w:r>
        <w:rPr>
          <w:rtl w:val="true"/>
        </w:rPr>
        <w:t>تعریف آزادی بیان</w:t>
      </w:r>
      <w:bookmarkEnd w:id="378"/>
    </w:p>
    <w:p>
      <w:pPr>
        <w:pStyle w:val="BookText"/>
        <w:rPr/>
      </w:pPr>
      <w:r>
        <w:rPr>
          <w:rFonts w:ascii="IRNazanin" w:hAnsi="IRNazanin" w:eastAsia="IRNazanin"/>
          <w:color w:val="111111"/>
          <w:sz w:val="28"/>
          <w:sz w:val="28"/>
          <w:szCs w:val="28"/>
          <w:rtl w:val="true"/>
          <w:lang w:bidi="fa-IR"/>
        </w:rPr>
        <w:t>شاید هیچ نویسنده ای در مورد آزادی بیان تعریف خاصی ارائه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می توان به ارائه تعریف از مطلق آزادی بسنده کرد و فهم آزادی بیان را، به عنوان یک فرع، بدان حواله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این تحقیق نه چندان گسترده خواهیم دید، صاحب نظرانی که در باب آزادی قلم فرسایی کرده اند، عموما از همین شیوه پیروی کرده اند؛ یعنی در آغاز بحث، آزادی را تعریف کرده، مفهوم آن را شرح داده و آنگاه، بدون پرداختن به جنس و فصل آزادی بیان به طور جداگانه، بررسی و تحقیق خود را ادامه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تکیه بر عناصر اصلی همان تعریف کلی می توان تعریفی هم برای آزادی بیان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عنوان اصلی مقاله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سعی خواهیم کرد با در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داشت عناصر اصلی آزادی و ویژگیهای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 باید به سراغ تبیین مفهوم آزادی به طور مطلق و تعریف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آزادی، مثل اکثر مقولات انسانی دیگر، تعریف دقیق و مورد اتفاقی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آزادی تعریفی ارائه داده اند، هر کدام تحت تأثیر گرایش علمی و زمینه تخصصی خود به توضیح مفهوم آن پرداخته اند؛ عالمان دینی آن را به جدال با خویشتن و آزاد کردن روح و روان از قيد عبودیت و بندگی هرچه غیر خداست، تعبیر نموده </w:t>
      </w:r>
      <w:r>
        <w:rPr>
          <w:rStyle w:val="FootnoteAnchor"/>
          <w:rtl w:val="true"/>
        </w:rPr>
        <w:footnoteReference w:id="389"/>
      </w:r>
      <w:r>
        <w:rPr>
          <w:rFonts w:ascii="IRNazanin" w:hAnsi="IRNazanin" w:eastAsia="IRNazanin"/>
          <w:color w:val="111111"/>
          <w:sz w:val="28"/>
          <w:sz w:val="28"/>
          <w:szCs w:val="28"/>
          <w:rtl w:val="true"/>
          <w:lang w:bidi="fa-IR"/>
        </w:rPr>
        <w:t>و بعد بندگی خالصانه انسان در برابر خدا را، که خود می تواند نوعی از آزادی باشد، در تعریف خود برجسته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نیز اغلب با دید فلسفی، آزادی را به معنی قدرت، اختیار و یا توانایی انسان در انجام هر کنشی که مایل باشد، در برابر جبر،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اسپینوزا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فیلسوف آمریکایی،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w:t>
      </w:r>
    </w:p>
    <w:p>
      <w:pPr>
        <w:pStyle w:val="BookText"/>
        <w:rPr/>
      </w:pPr>
      <w:r>
        <w:rPr>
          <w:rFonts w:ascii="IRNazanin" w:hAnsi="IRNazanin" w:eastAsia="IRNazanin"/>
          <w:color w:val="111111"/>
          <w:sz w:val="28"/>
          <w:sz w:val="28"/>
          <w:szCs w:val="28"/>
          <w:rtl w:val="true"/>
          <w:lang w:bidi="fa-IR"/>
        </w:rPr>
        <w:t xml:space="preserve">برده </w:t>
      </w:r>
      <w:r>
        <w:rPr>
          <w:rStyle w:val="FootnoteAnchor"/>
          <w:rtl w:val="true"/>
        </w:rPr>
        <w:footnoteReference w:id="390"/>
      </w:r>
      <w:r>
        <w:rPr>
          <w:rFonts w:ascii="IRNazanin" w:hAnsi="IRNazanin" w:eastAsia="IRNazanin"/>
          <w:color w:val="111111"/>
          <w:sz w:val="28"/>
          <w:sz w:val="28"/>
          <w:szCs w:val="28"/>
          <w:rtl w:val="true"/>
          <w:lang w:bidi="fa-IR"/>
        </w:rPr>
        <w:t>و آزادی را مساوی با سنجش عاقلانه توان، موقعیت و امکانات شخص، با در نظر گرفتن موانع انجام عمل،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شادروان علامه محمدتقی جعفری، که یکی از فیلسوفان برجسته و صاحب نظر در</w:t>
      </w:r>
    </w:p>
    <w:p>
      <w:pPr>
        <w:pStyle w:val="BookText"/>
        <w:rPr/>
      </w:pPr>
      <w:r>
        <w:rPr>
          <w:rFonts w:ascii="IRNazanin" w:hAnsi="IRNazanin" w:eastAsia="IRNazanin"/>
          <w:color w:val="111111"/>
          <w:sz w:val="28"/>
          <w:sz w:val="28"/>
          <w:szCs w:val="28"/>
          <w:rtl w:val="true"/>
          <w:lang w:bidi="fa-IR"/>
        </w:rPr>
        <w:t xml:space="preserve">حقوق بشر است، با مشرب فلسفی غلیظ خود آزادی را به دو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یک و درجه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آزادی درجه یکم، یا به قول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طبیعی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انتخاب یک هدف از میان اشیایی که ممکن است به عنوان هدف منظور شود و یا انتخاب یک وسیله از میان اشیایی که ممکن است وسیله تلقی شود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 آزادی درجه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تصعید شده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سلطه شخصیت بر دو قطب مثبت و منفی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تعریفی که در اعلامیه جهانی حقوق بشر و قوانین اساسی بعضی از کشورهای</w:t>
      </w:r>
    </w:p>
    <w:p>
      <w:pPr>
        <w:pStyle w:val="BookText"/>
        <w:rPr/>
      </w:pPr>
      <w:r>
        <w:rPr>
          <w:rFonts w:ascii="IRNazanin" w:hAnsi="IRNazanin" w:eastAsia="IRNazanin"/>
          <w:color w:val="111111"/>
          <w:sz w:val="28"/>
          <w:sz w:val="28"/>
          <w:szCs w:val="28"/>
          <w:rtl w:val="true"/>
          <w:lang w:bidi="fa-IR"/>
        </w:rPr>
        <w:t>غربی، از جمله فرانسه، از آزادی ارائه شده است نیز بر بعد فلسفی مفهوم آزادی تکيه شده و غالبا از کلماتی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توانستن و اختیار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حقوق بشر و شهروندان، مصوب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دیباچه قانون اساسی فرانسه نیز درج شده است، آزادی را این طور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عبارت است از قدرت انجام هرگونه عملی که به دیگری لطمه ای وارد نیاورد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فرانسه، مصوب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قدرتی است متعلق به انسان تا بتواند آنچه را که به دیگران زیان نمی رساند، انجام دهد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اغلب نویسندگان همین تعریف اعلامیه جهانی حقوق بشر را با اندک تغییراتی تکرار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جلال الدین مدنی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تعریف ساده و قابل فهم همه گفته شده است که آزادی عبارت است از اینکه شخص اختیار انجام دادن هر کاری را داشته باشد مشروط بر اینکه ضرر به دیگری نرسد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نویسنده دیگری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متداول از آزادی این است که هر کسی هر کاری دارد بتواند انجام دهد، در صورتی که ناراحتی برای دیگران فراهم نکند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یکی از استادان و صاحب نظران برجسته جامعه شناسی جملات ذیل را در تعریف</w:t>
      </w:r>
    </w:p>
    <w:p>
      <w:pPr>
        <w:pStyle w:val="BookText"/>
        <w:rPr/>
      </w:pPr>
      <w:r>
        <w:rPr>
          <w:rFonts w:ascii="IRNazanin" w:hAnsi="IRNazanin" w:eastAsia="IRNazanin"/>
          <w:color w:val="111111"/>
          <w:sz w:val="28"/>
          <w:sz w:val="28"/>
          <w:szCs w:val="28"/>
          <w:rtl w:val="true"/>
          <w:lang w:bidi="fa-IR"/>
        </w:rPr>
        <w:t>آزادی به کار می برد آزادی یعنی امکان سرپیچی از جبر حاکم و گریز از زنجیر علیت که جهان را و جان را می آفریند و به حرکت می آورد و به نظم میکشد و اداره می کند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هیچ یک از تعریفهای فوق تعریف دقیقی از پدیده ای به نام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باید، حداقل، برجسته ترین شاخصه های ماهوی پدیده مورد تعریف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روان از قید بندگی غیر خدا، حکومت عقل بر انجام عمل، قدرت و توانایی فرد بر انجام کار، نظارت و سلطه شخصیت بر دو قطب مثبت و منفی کار، امکان سرپیچی از جبر نظام علیت حاکم بر جهان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هرکدام به نوبه خود، نوعی از آزادی یا لازمه آن و احيانا مصداقی از مفهوم آن باشد، ولی تعریف جامع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تعریف دقیقتر باید دید شاخصه های ماهوی و عناصر اصلی آزادی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نخستین شاخصه این باشد که آزادی در قدم اول نوعی حق </w:t>
      </w:r>
    </w:p>
    <w:p>
      <w:pPr>
        <w:pStyle w:val="BookText"/>
        <w:rPr/>
      </w:pPr>
      <w:r>
        <w:rPr>
          <w:rFonts w:ascii="IRNazanin" w:hAnsi="IRNazanin" w:eastAsia="IRNazanin"/>
          <w:color w:val="111111"/>
          <w:sz w:val="28"/>
          <w:sz w:val="28"/>
          <w:szCs w:val="28"/>
          <w:rtl w:val="true"/>
          <w:lang w:bidi="fa-IR"/>
        </w:rPr>
        <w:t xml:space="preserve">است، نه قدرت، توانایی، نظارت، حکومت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جایگاه بحث آن حقوق و روابط بین الملل، حقوق اساسی و علوم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بعدی، آزادی از نوع حقوق طبیعی است، نه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مکاتب حقوقی، اعم از غربی و اسلامی، اتفاق نظر دارند که آزادی از نوع حقوق قراردادی نیست، بلکه بر طبق ناموس طبيعت، همزاد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بحث شده است که واضع حقوق طبیعی، طبیعت یا خداوند، بنا به نظر مسلمانان و مسیحیان قرون وسطی، است و به همین دلیل این نوع حقوق، بر خلاف حقوق موضوعه و قراردادی، ابدی، تغییرناپذیر، غیرقابل انتقال و غیرقابل تجزیه است، مشمول مرور زمان نمی شود، اختصاص به افراد دارد و شخصیتهای حقوقی از آن برخوردار نیستند و قابل سلب هم نمی باشد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عنصر دیگری که نباید در تعریف آزادی از نظر دور داشت این است که حق آزادی منحصر به انجام عمل نیست؛ یعنی اگر کسی حق ترک عملی را نداشته باشد هم از نعمت آزادی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مونتسکیو در تعریفی که از آزادی در روح القوانین ارائه داده، تا حدودی به بعض از این عناصر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یعنی اینکه انسان حق داشته باشد هر کاری که قانون اجازه داده و می دهد، بکند و آنچه قانون منع کرده و صلاح او در آن نیست، مجبور به انجام آن نگردد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پیداست که تعریف او از جهات دیگری کاستی دارد؛ از جمله این که او آزادی را از</w:t>
      </w:r>
    </w:p>
    <w:p>
      <w:pPr>
        <w:pStyle w:val="BookText"/>
        <w:rPr/>
      </w:pPr>
      <w:r>
        <w:rPr>
          <w:rFonts w:ascii="IRNazanin" w:hAnsi="IRNazanin" w:eastAsia="IRNazanin"/>
          <w:color w:val="111111"/>
          <w:sz w:val="28"/>
          <w:sz w:val="28"/>
          <w:szCs w:val="28"/>
          <w:rtl w:val="true"/>
          <w:lang w:bidi="fa-IR"/>
        </w:rPr>
        <w:t>نوع حقوق موضوعه انگاشته است و به همین دلیل ذره ذره آن را به وضع قوانین 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تفصیل فوق، به نظر می رسد تعریف ذیل از جامعیت بیشتری برخوردار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عبارت است از حق طبیعی ای که همه افراد آدمی به متقضی انسان بودن خود، به طور یکسانی از آن برخوردارند و به موجب آن در انجام و ترک هر عملی، تا جایی که باعث نقض حقوق طبیعی دیگران و اصول ارزشی مورد احترام جامعه نشود، مجازند</w:t>
      </w:r>
      <w:r>
        <w:rPr>
          <w:rFonts w:eastAsia="IRNazanin" w:cs="IRNazanin"/>
          <w:color w:val="111111"/>
          <w:sz w:val="28"/>
          <w:szCs w:val="28"/>
          <w:rtl w:val="true"/>
          <w:lang w:bidi="fa-IR"/>
        </w:rPr>
        <w:t xml:space="preserve">. </w:t>
      </w:r>
      <w:bookmarkStart w:id="379" w:name="pg6894_74628"/>
    </w:p>
    <w:p>
      <w:pPr>
        <w:pStyle w:val="BookText"/>
        <w:rPr/>
      </w:pPr>
      <w:bookmarkEnd w:id="379"/>
      <w:r>
        <w:rPr>
          <w:rFonts w:ascii="IRNazanin" w:hAnsi="IRNazanin" w:eastAsia="IRNazanin"/>
          <w:color w:val="111111"/>
          <w:sz w:val="28"/>
          <w:sz w:val="28"/>
          <w:szCs w:val="28"/>
          <w:rtl w:val="true"/>
          <w:lang w:bidi="fa-IR"/>
        </w:rPr>
        <w:t>چون آزادی بیان خود بخشی از مطلق آزادی است، می توان همین تعریف را با اندک تغییراتی در مورد آن نیز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بیان حق طبیعی ای است که همه افراد آدمی به مقتضی انسان بودن خود، به طور یکسانی از آن برخوردارند و به موجب آن در بیان اندیشه و فکر خود، تا جایی که باعث نقض حقوق طبیعی دیگران و اصول ارزشی مورد احترام جامعه نشود، مجازند</w:t>
      </w:r>
      <w:r>
        <w:rPr>
          <w:rFonts w:eastAsia="IRNazanin" w:cs="IRNazanin"/>
          <w:color w:val="111111"/>
          <w:sz w:val="28"/>
          <w:szCs w:val="28"/>
          <w:rtl w:val="true"/>
          <w:lang w:bidi="fa-IR"/>
        </w:rPr>
        <w:t>.</w:t>
      </w:r>
    </w:p>
    <w:p>
      <w:pPr>
        <w:pStyle w:val="Heading4"/>
        <w:numPr>
          <w:ilvl w:val="3"/>
          <w:numId w:val="1"/>
        </w:numPr>
        <w:rPr/>
      </w:pPr>
      <w:bookmarkStart w:id="380" w:name="__RefHeading___Toc1440508_372815092"/>
      <w:bookmarkStart w:id="381" w:name="_Toc140"/>
      <w:bookmarkEnd w:id="380"/>
      <w:r>
        <w:rPr>
          <w:rtl w:val="true"/>
        </w:rPr>
        <w:t>تاریخچه آزادی بیان</w:t>
      </w:r>
      <w:bookmarkEnd w:id="381"/>
    </w:p>
    <w:p>
      <w:pPr>
        <w:pStyle w:val="BookText"/>
        <w:rPr/>
      </w:pPr>
      <w:r>
        <w:rPr>
          <w:rFonts w:ascii="IRNazanin" w:hAnsi="IRNazanin" w:eastAsia="IRNazanin"/>
          <w:color w:val="111111"/>
          <w:sz w:val="28"/>
          <w:sz w:val="28"/>
          <w:szCs w:val="28"/>
          <w:rtl w:val="true"/>
          <w:lang w:bidi="fa-IR"/>
        </w:rPr>
        <w:t>آزادی به طور عام و آزادی بیان به طور خاص، از آنجا که همزاد زندگی اجتماعی انسان است و پیوند تفکیک ناپذیر با عالم سیاست دارد، سرگذشت پرپیچ و خم و تاریخ پرفراز و نشیبی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گفته شده است آزادی بیان از مفاهیمی است که در همین قرون اخیر رواج یافته است </w:t>
      </w:r>
      <w:r>
        <w:rPr>
          <w:rStyle w:val="FootnoteAnchor"/>
          <w:rtl w:val="true"/>
        </w:rPr>
        <w:footnoteReference w:id="400"/>
      </w:r>
      <w:r>
        <w:rPr>
          <w:rFonts w:ascii="IRNazanin" w:hAnsi="IRNazanin" w:eastAsia="IRNazanin"/>
          <w:color w:val="111111"/>
          <w:sz w:val="28"/>
          <w:sz w:val="28"/>
          <w:szCs w:val="28"/>
          <w:rtl w:val="true"/>
          <w:lang w:bidi="fa-IR"/>
        </w:rPr>
        <w:t>و همزمان با تحولات عظیم اجتماعی و انقلابهای استقلال طلبانه و رهایی بخش حرفی از آن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همان است که گفته شد؛ پدیده آزادی، از آن جمله آزادی بیان، که یکی از نیازهای بنیادین بشر است، همزاد زندگی اجتماعی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بشری در فرازها و فرودهای گوناگون و رویکردهای صعودی و نزولی دوره های مختلف زندگی خود، گاه آزادی را تا اوج عزت رسانده و همچون خدا به ستایش و تقدیسش پرداخته اند و گاه تا حضیض پایمال کردن و سلاخی کردن تذلیلش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و عالمانی که سرگذشت تحول جوامع بشری را پژوهیده اند رد پای آزادی بیان را تا پانصد سال قبل از میلاد مسیح، در زندگی اجتماعی یونانیان قدیم و تمدن آتن، بوضوح، ردیابی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ابوسعیدی در کتاب حقوق بشر و سیر تکامل آن در غرب می 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مظاهر دموکراسی آتن آزادی بیان است که صاحبان حقوق و مردان آزاد آتن </w:t>
      </w:r>
    </w:p>
    <w:p>
      <w:pPr>
        <w:pStyle w:val="BookText"/>
        <w:rPr/>
      </w:pPr>
      <w:r>
        <w:rPr>
          <w:rFonts w:ascii="IRNazanin" w:hAnsi="IRNazanin" w:eastAsia="IRNazanin"/>
          <w:color w:val="111111"/>
          <w:sz w:val="28"/>
          <w:sz w:val="28"/>
          <w:szCs w:val="28"/>
          <w:rtl w:val="true"/>
          <w:lang w:bidi="fa-IR"/>
        </w:rPr>
        <w:t>تقریبا بدون هیچگونه حد و حصری از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آتن برای تهمت و افترا مجازاتی پیش بینی نشده بود، صحنه های مباحثات سیاسی بی شباهت به مشاجرات خصوصی نبود و مخالفین سیاسی با صراحت و بدون هیچگونه تکلف و ملاحظه ای به هم می تاختند و برای در هم کوبیدن و شکست مخالف خود از هر تهمت و افترا و آشکار ساختن نقاط ضعف خانوادگی و اخلاقی طرف مخالف استفاده می کردند و از به کار بردن کلمات زشت و ناهنجار علیه یکدیگر ابا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اندوسیدوس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هایپرپلوس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رقیب سیاسی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شرم دارم از این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هایپرپلوس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داغ بردگی بر تن دارد و هنوز در ضرابخانه عمومی به کارگری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یک نفر اجنبی و وحشی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فکاهی نویسان و گویندگان هزلیات نیز در تمسخر شخصیتهای سیاسی، فلسفی و هنری خود را مقید به هیچ قید و حدی نمی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آرستوفانس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ای مانند سقراط، فرماندهانی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سیاستمدارانی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یوری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تمسخر شدید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هوچی موذی،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لدماكوس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شعبده باز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پست فطرت کینه جو و قسی القلب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متظاهر فریبکار می نامید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دکتر ابوسعیدی ادعا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یک از اجتماعات دمکرات امروزی آزادی</w:t>
      </w:r>
    </w:p>
    <w:p>
      <w:pPr>
        <w:pStyle w:val="BookText"/>
        <w:rPr/>
      </w:pPr>
      <w:r>
        <w:rPr>
          <w:rFonts w:ascii="IRNazanin" w:hAnsi="IRNazanin" w:eastAsia="IRNazanin"/>
          <w:color w:val="111111"/>
          <w:sz w:val="28"/>
          <w:sz w:val="28"/>
          <w:szCs w:val="28"/>
          <w:rtl w:val="true"/>
          <w:lang w:bidi="fa-IR"/>
        </w:rPr>
        <w:t>بیان تا این حد وجود ندارد</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روشن نیست که ستاره درخشان منزلت آزادی بیان دقیقا در چه تاریخی رو به افول نهاد و یونانیان قدیم از نعمت وجود آن محروم شدند و یا با بی مهری از آن احساس بی نیازی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اینقدر می دانیم که آزادی بیان به تدریج در جامعه متمدن آن روز جلال و منزلتش را از دست داد و کم کم به عنصر نامبارک و نامیمونی بدل شد و سرانجام در سرزمین بهشت آسا و مأوای ابدی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آگوستین</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 به </w:t>
      </w:r>
    </w:p>
    <w:p>
      <w:pPr>
        <w:pStyle w:val="BookText"/>
        <w:rPr/>
      </w:pPr>
      <w:r>
        <w:rPr>
          <w:rFonts w:ascii="IRNazanin" w:hAnsi="IRNazanin" w:eastAsia="IRNazanin"/>
          <w:color w:val="111111"/>
          <w:sz w:val="28"/>
          <w:sz w:val="28"/>
          <w:szCs w:val="28"/>
          <w:rtl w:val="true"/>
          <w:lang w:bidi="fa-IR"/>
        </w:rPr>
        <w:t>عنوان کریه ترین و ضدارزشی ترین عنصر اجتماعی، به پای میز محاکمه کشیده و گردنش، با حربه مذهب و قداست، به گیوتین شریعت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نجومیان، به نقل از کتاب 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 کاشن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میلیون نفر از نفوس بشری را به جرم فکر کردن و تخطی از فرمان پاپ به دار آویختند و تا حد مرگ در سیاه چالهای تاریک و مرطوب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سال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1499</w:t>
      </w:r>
      <w:r>
        <w:rPr>
          <w:rFonts w:ascii="IRNazanin" w:hAnsi="IRNazanin" w:eastAsia="IRNazanin"/>
          <w:color w:val="111111"/>
          <w:sz w:val="28"/>
          <w:sz w:val="28"/>
          <w:szCs w:val="28"/>
          <w:rtl w:val="true"/>
          <w:lang w:bidi="fa-IR"/>
        </w:rPr>
        <w:t xml:space="preserve">؛ یعنی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بنا به دستور محکمه تفتیش، </w:t>
      </w:r>
      <w:r>
        <w:rPr>
          <w:rFonts w:eastAsia="IRNazanin" w:cs="IRNazanin"/>
          <w:color w:val="111111"/>
          <w:sz w:val="28"/>
          <w:szCs w:val="28"/>
          <w:lang w:bidi="fa-IR"/>
        </w:rPr>
        <w:t>10220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زنده سوزاندند </w:t>
      </w:r>
      <w:r>
        <w:rPr>
          <w:rFonts w:eastAsia="IRNazanin" w:cs="IRNazanin"/>
          <w:color w:val="111111"/>
          <w:sz w:val="28"/>
          <w:szCs w:val="28"/>
          <w:lang w:bidi="fa-IR"/>
        </w:rPr>
        <w:t>6860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شقه کردند و </w:t>
      </w:r>
      <w:r>
        <w:rPr>
          <w:rFonts w:eastAsia="IRNazanin" w:cs="IRNazanin"/>
          <w:color w:val="111111"/>
          <w:sz w:val="28"/>
          <w:szCs w:val="28"/>
          <w:lang w:bidi="fa-IR"/>
        </w:rPr>
        <w:t>97023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قدری شکنجه دادند که نابود شدند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بارزترین شاخصه دوران هزارساله قرون وسطی در دنیای غرب، دوران حاکمیت</w:t>
      </w:r>
    </w:p>
    <w:p>
      <w:pPr>
        <w:pStyle w:val="BookText"/>
        <w:rPr/>
      </w:pPr>
      <w:r>
        <w:rPr>
          <w:rFonts w:ascii="IRNazanin" w:hAnsi="IRNazanin" w:eastAsia="IRNazanin"/>
          <w:color w:val="111111"/>
          <w:sz w:val="28"/>
          <w:sz w:val="28"/>
          <w:szCs w:val="28"/>
          <w:rtl w:val="true"/>
          <w:lang w:bidi="fa-IR"/>
        </w:rPr>
        <w:t>مطلقه پدران روحانی در پوشش حاکمیت خدا و مذهب، ممنوعیت آزادی 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آزادانه تفکر و اندیشه، در صورت عدم انطباق با اصول تفکر رایج و مورد تأیید پدران روحانی، هرچند که مبتنی بر واقعیات عینی و انکارناپذیر هم می بود، بدترین جرم به حساب می آمد و شدیدترین مجازاتها برای آن در نظر گرفته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دوره قرون وسطی و حاکمیت مطلقه استبدادی پدران روحانی که شاخص ترین ویژگی اش منع جابرانه آزادی بیان بود، سپری شد و نسیم ملایم آزادی دوباره در جوامع غربی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اولیه جریان آزاداندیشی و حرکتهای دفاع از حقوق و آزادیهای فردی، از جمله آزادی بیان، 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بروز چهره های آزادیخواهی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 دو پادو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آواوکام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آزادیخواهان نامبرده با تقبیح دخالتهای نامحدود روحانیون در امور دنیوی مردم و مطرح کردن حقوق افراد، بنای رفیع آزادیهای فردی را پایه گذاری نمودند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آزادیخواهی ای که افراد فوق الذکر پایه ریزی کردند همچنان سیر صعودی خود را حفظ کرد و فلاسفه انساندوستی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 ژاک </w:t>
      </w:r>
      <w:bookmarkStart w:id="382" w:name="pg6894_74631"/>
    </w:p>
    <w:p>
      <w:pPr>
        <w:pStyle w:val="BookText"/>
        <w:rPr/>
      </w:pPr>
      <w:bookmarkEnd w:id="382"/>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با قدرت و جدیت آن را دنبال نمودند که به جنبشهای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و زمینه ساز انقلاب کبیر فرانسه و نهضتهای مهم دیگر در زمینه آزادی و دمکراسی شد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بسیاری از نظامهای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حداقل در ادعا، مبتنی بر دمکراسی است و دمکراسی در عرف سیاسی معادل آزادی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آزادی بیان به صورت یکی از حقوق اساسی و انکارناپذیر افراد در جوامع بشری مطرح است، تا آنجا که نه تنها از طرف مجامع بین المللی مدافع حقوق بشر مورد حمایت قرار می گیرد، بلکه مستبدترین نظامهای سیاسی نیز خود را ناگزیر می بینند شعار حمایت از آن را سردهند و اعمال خود را در زمینه سلب حق آزادی بیان به نحوی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در نیمه دوم قرن ششم میلادی، زمانی که دنیای غرب در آتش استبداد قرون وسطی می سوخت، با شعار رهایی انسان از هرگونه قید و بند وارد صحنه شد و با تکیه بر آزادی اندیشه و بیان مبارزات اصولی خود را آغاز کرد</w:t>
      </w:r>
      <w:r>
        <w:rPr>
          <w:rFonts w:eastAsia="IRNazanin" w:cs="IRNazanin"/>
          <w:color w:val="111111"/>
          <w:sz w:val="28"/>
          <w:szCs w:val="28"/>
          <w:rtl w:val="true"/>
          <w:lang w:bidi="fa-IR"/>
        </w:rPr>
        <w:t>.</w:t>
      </w:r>
    </w:p>
    <w:p>
      <w:pPr>
        <w:pStyle w:val="Heading4"/>
        <w:numPr>
          <w:ilvl w:val="3"/>
          <w:numId w:val="1"/>
        </w:numPr>
        <w:rPr/>
      </w:pPr>
      <w:bookmarkStart w:id="383" w:name="__RefHeading___Toc1440510_372815092"/>
      <w:bookmarkStart w:id="384" w:name="_Toc141"/>
      <w:bookmarkEnd w:id="383"/>
      <w:r>
        <w:rPr>
          <w:rtl w:val="true"/>
        </w:rPr>
        <w:t>آزادی بیان از دیدگاه غرب</w:t>
      </w:r>
      <w:bookmarkEnd w:id="384"/>
    </w:p>
    <w:p>
      <w:pPr>
        <w:pStyle w:val="Heading5"/>
        <w:numPr>
          <w:ilvl w:val="4"/>
          <w:numId w:val="1"/>
        </w:numPr>
        <w:rPr/>
      </w:pPr>
      <w:bookmarkStart w:id="385" w:name="__RefHeading___Toc1440512_372815092"/>
      <w:bookmarkStart w:id="386" w:name="_Toc142"/>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در بحث قبلی روشن شد که نهضتهای آزادیخواه، با خاتمه دادن به عمر هزارساله</w:t>
      </w:r>
    </w:p>
    <w:p>
      <w:pPr>
        <w:pStyle w:val="BookText"/>
        <w:rPr/>
      </w:pPr>
      <w:r>
        <w:rPr>
          <w:rFonts w:ascii="IRNazanin" w:hAnsi="IRNazanin" w:eastAsia="IRNazanin"/>
          <w:color w:val="111111"/>
          <w:sz w:val="28"/>
          <w:sz w:val="28"/>
          <w:szCs w:val="28"/>
          <w:rtl w:val="true"/>
          <w:lang w:bidi="fa-IR"/>
        </w:rPr>
        <w:t>حاکمیت استبداد و ممنوعیت آزادی بیان در قرون وسطی، بتدریج سراسر دنیای غرب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طی ششصد سال گذشته، در کل، سیر صعودی داشته و عنصر آزادی بیان یکی از عناصر اساسی جنبشهای رهایی بخش و نهضتهای انقلابی این دوره طولانی در غرب بوده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بررسیهای به عمل آمده نشان می دهد که در این دوره طولانی علی رغم رو به رشد بودن روند کلی آزادیخواهی و آزاداندیشی، اندیشه وران نام آور و نظریه پردازان پیشگام این وادی دایم بین خودشان در ستیزه جویی، منازعه و مقابله بوده و جریانهای فکری </w:t>
      </w:r>
      <w:bookmarkStart w:id="387" w:name="pg6894_74632"/>
    </w:p>
    <w:p>
      <w:pPr>
        <w:pStyle w:val="BookText"/>
        <w:rPr/>
      </w:pPr>
      <w:bookmarkEnd w:id="387"/>
      <w:r>
        <w:rPr>
          <w:rFonts w:ascii="IRNazanin" w:hAnsi="IRNazanin" w:eastAsia="IRNazanin"/>
          <w:color w:val="111111"/>
          <w:sz w:val="28"/>
          <w:sz w:val="28"/>
          <w:szCs w:val="28"/>
          <w:rtl w:val="true"/>
          <w:lang w:bidi="fa-IR"/>
        </w:rPr>
        <w:t>مختلفی را ایجاد کرده اند که به طور کلی می توان آنها را به شرح زیر دسته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آزادی بیان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موافقان افراط گرای آزادی بیان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دارندگان نظریات تعدیل شده</w:t>
      </w:r>
    </w:p>
    <w:p>
      <w:pPr>
        <w:pStyle w:val="Heading5"/>
        <w:numPr>
          <w:ilvl w:val="4"/>
          <w:numId w:val="1"/>
        </w:numPr>
        <w:rPr/>
      </w:pPr>
      <w:bookmarkStart w:id="388" w:name="__RefHeading___Toc1440514_372815092"/>
      <w:bookmarkStart w:id="389" w:name="_Toc143"/>
      <w:bookmarkEnd w:id="388"/>
      <w:r>
        <w:rPr>
          <w:rtl w:val="true"/>
        </w:rPr>
        <w:t>مخالفان آزادی بیان</w:t>
      </w:r>
      <w:bookmarkEnd w:id="389"/>
    </w:p>
    <w:p>
      <w:pPr>
        <w:pStyle w:val="BookText"/>
        <w:rPr/>
      </w:pPr>
      <w:r>
        <w:rPr>
          <w:rFonts w:ascii="IRNazanin" w:hAnsi="IRNazanin" w:eastAsia="IRNazanin"/>
          <w:color w:val="111111"/>
          <w:sz w:val="28"/>
          <w:sz w:val="28"/>
          <w:szCs w:val="28"/>
          <w:rtl w:val="true"/>
          <w:lang w:bidi="fa-IR"/>
        </w:rPr>
        <w:t>در میان چهره های برجسته و نظریه پردازان حقوق و آزادیهای فردی که هر کدام</w:t>
      </w:r>
    </w:p>
    <w:p>
      <w:pPr>
        <w:pStyle w:val="BookText"/>
        <w:rPr/>
      </w:pPr>
      <w:r>
        <w:rPr>
          <w:rFonts w:ascii="IRNazanin" w:hAnsi="IRNazanin" w:eastAsia="IRNazanin"/>
          <w:color w:val="111111"/>
          <w:sz w:val="28"/>
          <w:sz w:val="28"/>
          <w:szCs w:val="28"/>
          <w:rtl w:val="true"/>
          <w:lang w:bidi="fa-IR"/>
        </w:rPr>
        <w:t>سلسله جنبان یک جریان فکری در نهضتهای انقلابی عصر جدید و دوران معاصر غرب بوده اند، کسانی نیز بروز کرده اند که در مورد آزادی بیان حسن نظر نداشته و آن را پدیدهای منفی به حساب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ادعا کرد که معروفترین این چهره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رد نظریه</w:t>
      </w:r>
    </w:p>
    <w:p>
      <w:pPr>
        <w:pStyle w:val="BookText"/>
        <w:rPr/>
      </w:pPr>
      <w:r>
        <w:rPr>
          <w:rFonts w:ascii="IRNazanin" w:hAnsi="IRNazanin" w:eastAsia="IRNazanin"/>
          <w:color w:val="111111"/>
          <w:sz w:val="28"/>
          <w:sz w:val="28"/>
          <w:szCs w:val="28"/>
          <w:rtl w:val="true"/>
          <w:lang w:bidi="fa-IR"/>
        </w:rPr>
        <w:t>مدنی الطبع بودن بشر و استدلال به اینکه بشر ذات وحشی و مدنیت گریز است، منع</w:t>
      </w:r>
    </w:p>
    <w:p>
      <w:pPr>
        <w:pStyle w:val="BookText"/>
        <w:rPr/>
      </w:pPr>
      <w:r>
        <w:rPr>
          <w:rFonts w:ascii="IRNazanin" w:hAnsi="IRNazanin" w:eastAsia="IRNazanin"/>
          <w:color w:val="111111"/>
          <w:sz w:val="28"/>
          <w:sz w:val="28"/>
          <w:szCs w:val="28"/>
          <w:rtl w:val="true"/>
          <w:lang w:bidi="fa-IR"/>
        </w:rPr>
        <w:t>آزادی انسان، از جمله آزادی بیان، را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 در باب این که بشر فطرتا وحشی و تمدنگریز است،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وحوش و درندگانی بیش نیستند که تمدن آنها را به بند کشیده و تفاوت آنها با سایر وحوش این است که همین تمدن امکان این را که بتوانند در صورت آزاد شدن مانند وحوش غذا و مسکن خود را تأمین نمایند از آنان سلب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صورتی که آزاد شوند، دوباره بسادگی شکار اولین شکارچی خواهند شد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وی بر اساس این نظریه بدبینانه خود به دولتمردان حق می دهد، برای این که بتوانند بر مردم حکمروایی کنند، هر نوع آزادی خطر آفرین را از آنان سلب نموده و مانع بیان افکار، اندیشه ها و نیات شرارت جویانه و طغیانگرانه آنان شوند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هابز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Thomas Hobbes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عالم و فیلسوف برجسته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یکی دیگر از چهره هایی است که خواهان محدودیت سختگیرانه آزادی بیان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معروف لوایتان حاوی اصول نظریات جنجال برانگیز اوست که چندین قرن توجه اهل نظر را به خود جلب کرده و افراد زنده ای وقت خود را صرف شرح یا رد نظریات او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دغدغه و اضطراب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اخلال در صلح و صیانت جامعه و بروز جنگ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بهانه جلوگیری از بروز نافرمانی و شورش و پیشگیری از رخنه هر نوع ناامنی و بی ثباتی در قلمرو حکومت، به شهریار حق می دهد هرگونه ندای مخالف را در گلو خفه کند و جلو آزادی بیان را در جامعه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شارحان لوایتان در توضیح یکی از نظریات 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صلح باید شهریار حق کنترل بیان و نشر عقاید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مردمان از عقاید آنان پیروی می کند؛ مردمانی که کشتن ستمگران را مشروع بدانند، فرمانروایان خود را به قتل می رسانند، مردمانی که شورش را توجیه پذیر بدانند، سر به شورش بر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نمی تواند مردمان را مجبور کند امری را باور کنند، لیکن او می تواند به آنان دستور اطاعت و فرمانبرداری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 تواند تدریس و انتشار بعضی آرا و عقاید را مجاز شمارد و برخی دیگر را ممنوع</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شارح دیگری در توضیح همین بخش نظریه هابز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وجود این، هابز این احتیاط را با دقت مورد امعان نظر قرار می دهد که شهریار وظیفه مند است انجام و اعمال آن مذاهب و انتشار آرا و نظریاتی را که اقتدار وی را مورد سؤال قرار می دهد، یا آن را تنزل می بخشد و بدین سان با حفظ و نگهداری صلح سازگار نمی باشد، ممنوع سازد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را، به دلیل قدرت سلطنتش بر جامعه، معیار تشخیص عقاید 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 خوب و بد، مفید و مضر و ممنوع و غیر ممنوع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ذیل از او نقل شده است</w:t>
      </w:r>
      <w:r>
        <w:rPr>
          <w:rFonts w:eastAsia="IRNazanin" w:cs="IRNazanin"/>
          <w:color w:val="111111"/>
          <w:sz w:val="28"/>
          <w:szCs w:val="28"/>
          <w:rtl w:val="true"/>
          <w:lang w:bidi="fa-IR"/>
        </w:rPr>
        <w:t xml:space="preserve">: </w:t>
      </w:r>
      <w:bookmarkStart w:id="390" w:name="pg6894_74634"/>
    </w:p>
    <w:p>
      <w:pPr>
        <w:pStyle w:val="BookText"/>
        <w:rPr/>
      </w:pPr>
      <w:bookmarkEnd w:id="390"/>
      <w:r>
        <w:rPr>
          <w:rFonts w:ascii="IRNazanin" w:hAnsi="IRNazanin" w:eastAsia="IRNazanin"/>
          <w:color w:val="111111"/>
          <w:sz w:val="28"/>
          <w:sz w:val="28"/>
          <w:szCs w:val="28"/>
          <w:rtl w:val="true"/>
          <w:lang w:bidi="fa-IR"/>
        </w:rPr>
        <w:t>بنابراین، داوری یا نظم بخشیدن به داوری در باب عقاید و نظریات به او، که قدرت سلطنت دارد، وانهاده شده است؛ به مثابه امری که برای صلح ضروری است و به موجب آن جلوگیری از اختلاف و جنگ داخلی لازم می آید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آقای محمودی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هابز داوری در مورد اینکه کدام عقاید مخالف صلح و کدام موافق صلح هستند را به شهریار می سپارد، در نتیجه ارزیابی نظریات مندرج در تمامی کتابها قبل از آنکه به چاپ برسند با شهریار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طرفداران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دتر مینیسم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طور کلی، چون به حرکت جبری تاریخ و دیکتاتوری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مقطع خاصی از حرکت تاریخی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می توان جزء مخالفان آزادی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مارکسیستها می پنداشتند که نظام سرمایه داری در ذات خود دچار یک اختناق اجتناب ناپذیر است که باید با قوه قهریه دیکتاتوری پرولتاریا از بین برود و زندگی مسالمت آمیز و آزادانه افراد فقط در جامعه بی طبقه سوسیالیزم یا کمونیزم میسر است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بنابراین، ضرورتی نمی دیدند تا در نظامهای سرمایه داری از آزادی بیان، که اعتقاد به امکان تحقق آن نداشتند، دفاع کنند</w:t>
      </w:r>
      <w:r>
        <w:rPr>
          <w:rFonts w:eastAsia="IRNazanin" w:cs="IRNazanin"/>
          <w:color w:val="111111"/>
          <w:sz w:val="28"/>
          <w:szCs w:val="28"/>
          <w:rtl w:val="true"/>
          <w:lang w:bidi="fa-IR"/>
        </w:rPr>
        <w:t>.</w:t>
      </w:r>
    </w:p>
    <w:p>
      <w:pPr>
        <w:pStyle w:val="Heading5"/>
        <w:numPr>
          <w:ilvl w:val="4"/>
          <w:numId w:val="1"/>
        </w:numPr>
        <w:rPr/>
      </w:pPr>
      <w:bookmarkStart w:id="391" w:name="__RefHeading___Toc1440516_372815092"/>
      <w:bookmarkStart w:id="392" w:name="_Toc144"/>
      <w:bookmarkEnd w:id="391"/>
      <w:r>
        <w:rPr>
          <w:rtl w:val="true"/>
        </w:rPr>
        <w:t>موافقان افراط گرای آزادی بیان</w:t>
      </w:r>
      <w:bookmarkEnd w:id="39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مخالف حاکمیت استبدادی در قرون وسطی، درست مثل هر موج مخالف قدرتمنډ اجتماعی دیگر، به افراط گرایید و طلایه داران آزادیخواهی و آزادی طلبی، به منظور واژگون کردن کاخ اساطیری استبداد مذهبی که قرنها هرگونه فریادی را در گلو خفه کرده بود، تفکرات مطلق گرایانه و شعارهای افراط آمیزی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تفکرات و شعارهای استبدادستیز و رهایی خواهانه مطلق حمایتهای وسیع توده ها و جوامع زجرکشیده مدنی را در غرب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مطلق در هم شکست و قدرت </w:t>
      </w:r>
    </w:p>
    <w:p>
      <w:pPr>
        <w:pStyle w:val="BookText"/>
        <w:rPr/>
      </w:pPr>
      <w:r>
        <w:rPr>
          <w:rFonts w:ascii="IRNazanin" w:hAnsi="IRNazanin" w:eastAsia="IRNazanin"/>
          <w:color w:val="111111"/>
          <w:sz w:val="28"/>
          <w:sz w:val="28"/>
          <w:szCs w:val="28"/>
          <w:rtl w:val="true"/>
          <w:lang w:bidi="fa-IR"/>
        </w:rPr>
        <w:t>استحمارکننده مذهبی آن نیز به تحلیل رفت، اما سیر صعودی موج افراط گرای</w:t>
      </w:r>
    </w:p>
    <w:p>
      <w:pPr>
        <w:pStyle w:val="BookText"/>
        <w:rPr/>
      </w:pPr>
      <w:r>
        <w:rPr>
          <w:rFonts w:ascii="IRNazanin" w:hAnsi="IRNazanin" w:eastAsia="IRNazanin"/>
          <w:color w:val="111111"/>
          <w:sz w:val="28"/>
          <w:sz w:val="28"/>
          <w:szCs w:val="28"/>
          <w:rtl w:val="true"/>
          <w:lang w:bidi="fa-IR"/>
        </w:rPr>
        <w:t xml:space="preserve">آزادیخواهی همچنان ادامه یافت، تا سرانجام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پیدایش نظام سیاسی</w:t>
      </w:r>
    </w:p>
    <w:p>
      <w:pPr>
        <w:pStyle w:val="BookText"/>
        <w:rPr/>
      </w:pPr>
      <w:r>
        <w:rPr>
          <w:rFonts w:ascii="IRNazanin" w:hAnsi="IRNazanin" w:eastAsia="IRNazanin"/>
          <w:color w:val="111111"/>
          <w:sz w:val="28"/>
          <w:sz w:val="28"/>
          <w:szCs w:val="28"/>
          <w:rtl w:val="true"/>
          <w:lang w:bidi="fa-IR"/>
        </w:rPr>
        <w:t>لیبرالیسم انجامید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زیاده روی و افراط گرایی در این زمینه محدود به شعارهای سیاسی و جو عمومی</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فیلسوفان، دانشمندان و جامعه شناسان عالی مقام و طراز اول جوامع غربی با کاوشها، پژوهشها و نظریه پردازیهای علمی در جهت توسعه و تثبیت مفهوم مطلقی از پدیده آزادی به عنوان یک حق فطری برای افراد بشر تلاش کرده و افکار عمومی جامعه را بر مبنای آن شکل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اصل طبیعی بودن حق آزادی، بر همه قید و بندها و ضوابط اجتماعی می تازد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انسان را آزاد آفریده ولی جامعه او را بنده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را</w:t>
      </w:r>
    </w:p>
    <w:p>
      <w:pPr>
        <w:pStyle w:val="BookText"/>
        <w:rPr/>
      </w:pPr>
      <w:r>
        <w:rPr>
          <w:rFonts w:ascii="IRNazanin" w:hAnsi="IRNazanin" w:eastAsia="IRNazanin"/>
          <w:color w:val="111111"/>
          <w:sz w:val="28"/>
          <w:sz w:val="28"/>
          <w:szCs w:val="28"/>
          <w:rtl w:val="true"/>
          <w:lang w:bidi="fa-IR"/>
        </w:rPr>
        <w:t>خوشبخت ایجاد کرده ولی جامعه او را بدبخت و بیچاره نموده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در جای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افراد بشر آزاد و مساوی آفریده شده اند و کسی که از آزادی صرف نظر کند از مقام آدمیت، از حقوق و حتی از وظایف بشری صرف نظر نموده و هیچ چیزی نمی تواند این خسارت را جبران کند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استوانه های علمی عصر خود نیز در این زمینه</w:t>
      </w:r>
    </w:p>
    <w:p>
      <w:pPr>
        <w:pStyle w:val="BookText"/>
        <w:rPr/>
      </w:pPr>
      <w:r>
        <w:rPr>
          <w:rFonts w:ascii="IRNazanin" w:hAnsi="IRNazanin" w:eastAsia="IRNazanin"/>
          <w:color w:val="111111"/>
          <w:sz w:val="28"/>
          <w:sz w:val="28"/>
          <w:szCs w:val="28"/>
          <w:rtl w:val="true"/>
          <w:lang w:bidi="fa-IR"/>
        </w:rPr>
        <w:t>نظر مشابهی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ای آزادی فرد را محدود کند، افراد جامعه را کم عقل، کم جرئت و به طور خلاصه کم استعداد بار می آورد و افراط را به جایی می رساند که حتی اگر یک صدای مخالف در بین همه افراد باشد، کسی نمی تواند او را خاموش کند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روند افراط گرایی در دفاع از آزادی فردی به جایی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w:t>
      </w:r>
    </w:p>
    <w:p>
      <w:pPr>
        <w:pStyle w:val="BookText"/>
        <w:rPr/>
      </w:pPr>
      <w:r>
        <w:rPr>
          <w:rFonts w:ascii="IRNazanin" w:hAnsi="IRNazanin" w:eastAsia="IRNazanin"/>
          <w:color w:val="111111"/>
          <w:sz w:val="28"/>
          <w:sz w:val="28"/>
          <w:szCs w:val="28"/>
          <w:rtl w:val="true"/>
          <w:lang w:bidi="fa-IR"/>
        </w:rPr>
        <w:t>لذت گرای جهان غرب، قید هرگونه محدودیت و مصلحت اجتماعی را در برابر اصل آزادی فرد می زند و محدودیت قانونی را نیز بند ظالمانه ای بر دست و پای انسان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یعنی رهایی از شر قانون</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به این ترتیب، روند آزادیخواهی جهان غرب که با شعارهای اصیل انسانی و طرح</w:t>
      </w:r>
    </w:p>
    <w:p>
      <w:pPr>
        <w:pStyle w:val="BookText"/>
        <w:rPr/>
      </w:pPr>
      <w:r>
        <w:rPr>
          <w:rFonts w:ascii="IRNazanin" w:hAnsi="IRNazanin" w:eastAsia="IRNazanin"/>
          <w:color w:val="111111"/>
          <w:sz w:val="28"/>
          <w:sz w:val="28"/>
          <w:szCs w:val="28"/>
          <w:rtl w:val="true"/>
          <w:lang w:bidi="fa-IR"/>
        </w:rPr>
        <w:t>حقوق و آزادیهای اساسی بشر آغاز شده و با قربانی شدن هزاران انسان مراحل مختلف رشد و بالندگی اش را، علی رغم مقاومت بی رحمانه و خشن استبداد مذهبی حاکم، پشت سر گذاشته بود، در نهایت به انحراف گرایید؛ شعارهای آزادی اندیشه، آزادی بیان و آزادی تفکرات متعالی انسان به آزادی میل و آزادی مطلق خواسته های نفسانی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و فیلسوفان بنام، فتوای آزادی عمل افراد را، بر مبنای تمایلات نفسانی، تا جایی که به آزادی دیگران مزاحمتی نشود،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 خواهی بکن، فقط مزاحم حق آزادی دیگران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صاحب نظران غرب، با اندک تغییری، در قرون اخیر برای بیان مفهوم آزادی تکرار کرده اند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این برداشت از آزادی به حدی جا افتاده است که در قوانین اساسی بسیاری از کشورهای غربی و بعض اسناد مهم سازمانهای بین المللی تعریفی که از آزادی ارائه شده، دربردارنده همین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فرانسه آزادی را این طور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قدرتی است متعلق به انسان تا بتواند هر آنچه را به دیگران زیان نمی رساند، انجام دهد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با توجه به این اصل می توان نتیجه گرفت که اگر کسی حق داشته باشد هر کاری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دلش بخواهد انجام دهد، حق خواهد داشت بدون ملاحظه هیچ حد و معیاری جز </w:t>
      </w:r>
    </w:p>
    <w:p>
      <w:pPr>
        <w:pStyle w:val="BookText"/>
        <w:rPr/>
      </w:pPr>
      <w:r>
        <w:rPr>
          <w:rFonts w:ascii="IRNazanin" w:hAnsi="IRNazanin" w:eastAsia="IRNazanin"/>
          <w:color w:val="111111"/>
          <w:sz w:val="28"/>
          <w:sz w:val="28"/>
          <w:szCs w:val="28"/>
          <w:rtl w:val="true"/>
          <w:lang w:bidi="fa-IR"/>
        </w:rPr>
        <w:t>مزاحمت آزادی دیگران، هرچه دلش خواست بگوید، بنویسد و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برداشت مطلق گرایانه از آزادیها به دنیای غرب محدود نمی ماند؛ بسیاری از شخصیتهای کشورهای اسلامی و جهان سوم نیز تحت تأثیر نوع تلقی غربیان از آزادی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ذیل می تواند مؤید مدعی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می تواند آزادانه بنویسد، بیندیشد و برای نشر عقاید خود فعالیت کند، این گونه آزادیها به اندازه بی نهایت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آزادند که هرچه می خواهند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مارکسیستها، لنینیستها و مائوئیستها آزادند که نظرشان را بدهند، دور هم جمع شوند و نظریاتشان را تبلیغ کنند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امیرانتظام، سخنگوی دولت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هیچ گونه محدودیتی برای بیان و قلم قایل نیست، هر کسی یا هر ایدئولوژی ای حق دارد در این مملکت آنچه را فکر میکند به صلاح ملت خودش است، هم بیان کند و هم بنویسد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ناصر میناچی، وزیر ارشاد دولت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مطبوعات داخلی، ما پیرو اصل مطلق آزادی بیان هستیم و این اصالت انقلاب است و همه شهادتها برای این بود که آزادی مطلوب را به دست آوریم و هر کس بتواند هر عقیده ای را که دارد ابراز کند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آزادی یکی از افتخارات عظیم و دستاوردهای شگرف جهان غرب و مایه اعتلای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نوع تعبیر و بهره گیری از آن طبعا نمی توانست از پیامدها و عواقب منفی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و تشویق افراد به آزادی مطلق و رها کردن زمام امیال و خواسته ها، مفاسد اخلاقی، اجتماعی،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وحشتناکی را در پی آورد و چهره </w:t>
      </w:r>
      <w:bookmarkStart w:id="393" w:name="pg6894_74638"/>
    </w:p>
    <w:p>
      <w:pPr>
        <w:pStyle w:val="BookText"/>
        <w:rPr/>
      </w:pPr>
      <w:bookmarkEnd w:id="393"/>
      <w:r>
        <w:rPr>
          <w:rFonts w:ascii="IRNazanin" w:hAnsi="IRNazanin" w:eastAsia="IRNazanin"/>
          <w:color w:val="111111"/>
          <w:sz w:val="28"/>
          <w:sz w:val="28"/>
          <w:szCs w:val="28"/>
          <w:rtl w:val="true"/>
          <w:lang w:bidi="fa-IR"/>
        </w:rPr>
        <w:t>جوامع غربی را از این جهت مخدوش و آشفته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اندیشمندان طرفدار آزادی مطلق شاید در طرح نظریات خود، نیت خیری</w:t>
      </w:r>
    </w:p>
    <w:p>
      <w:pPr>
        <w:pStyle w:val="BookText"/>
        <w:rPr/>
      </w:pPr>
      <w:r>
        <w:rPr>
          <w:rFonts w:ascii="IRNazanin" w:hAnsi="IRNazanin" w:eastAsia="IRNazanin"/>
          <w:color w:val="111111"/>
          <w:sz w:val="28"/>
          <w:sz w:val="28"/>
          <w:szCs w:val="28"/>
          <w:rtl w:val="true"/>
          <w:lang w:bidi="fa-IR"/>
        </w:rPr>
        <w:t xml:space="preserve">داشتند و می خواستند افراد جامعه حداکثر برخورداری را از حق آزادی داشته باشند، اما بستر طرح این نظریات که جوامع به پاخاسته و مبارزه جوی غرب علیه مذهب و آموزه های مذهبی بود، از یک سو، و سوء استفاده حاکمیتهای سیاسی جدید، از طرف دیگر که با استفاده از شرایط پیش آمده زمینه اغفال مردم را، از طریق سوق دادن آنها به سمت لذت جوییها و پیروی از تمایلات غیراساسی، فراهم کردند تا خود روزگار به کام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عوارضی را به وجود آورد که می توان گفت دستاوردهای اولیه را تا حدودی خنثی کرد</w:t>
      </w:r>
      <w:r>
        <w:rPr>
          <w:rFonts w:eastAsia="IRNazanin" w:cs="IRNazanin"/>
          <w:color w:val="111111"/>
          <w:sz w:val="28"/>
          <w:szCs w:val="28"/>
          <w:rtl w:val="true"/>
          <w:lang w:bidi="fa-IR"/>
        </w:rPr>
        <w:t>.</w:t>
      </w:r>
    </w:p>
    <w:p>
      <w:pPr>
        <w:pStyle w:val="Heading5"/>
        <w:numPr>
          <w:ilvl w:val="4"/>
          <w:numId w:val="1"/>
        </w:numPr>
        <w:rPr/>
      </w:pPr>
      <w:bookmarkStart w:id="394" w:name="__RefHeading___Toc1440518_372815092"/>
      <w:bookmarkStart w:id="395" w:name="_Toc145"/>
      <w:bookmarkEnd w:id="394"/>
      <w:r>
        <w:rPr>
          <w:rtl w:val="true"/>
        </w:rPr>
        <w:t>نظریات تعدیل شده</w:t>
      </w:r>
      <w:bookmarkEnd w:id="395"/>
    </w:p>
    <w:p>
      <w:pPr>
        <w:pStyle w:val="BookText"/>
        <w:rPr/>
      </w:pPr>
      <w:r>
        <w:rPr>
          <w:rFonts w:ascii="IRNazanin" w:hAnsi="IRNazanin" w:eastAsia="IRNazanin"/>
          <w:color w:val="111111"/>
          <w:sz w:val="28"/>
          <w:sz w:val="28"/>
          <w:szCs w:val="28"/>
          <w:rtl w:val="true"/>
          <w:lang w:bidi="fa-IR"/>
        </w:rPr>
        <w:t>همزمان با جدال بر سر طرح و تبلیغ حق آزادی بیان به طور مطلق در عصر جدید و دوره معاصر دنیای غرب، کسانی هم بوده اند که گاه گاهی، در برابر این جریان فراگیر، ندای مخالف سر داده اند، اما این مخالفت هیچگاه به حدی نرسیده است که تأثیر تعیین کننده ای از خود بر جای نهد و نظریه مطلق گرایانه را در باب آزادی که در اسناد ملی و بین المللی هم رسما انعکاس یافته، تعدیل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صاحب نظران مشهور که بر اساس ژرف اندیشی اش آزادی مطلق مبتنی بر اميال نفسانی را نمی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آزادی ای را قبول دارد که مبتنی بر معیارهای مورد تأیید عقل باشد و نه خواسته های غیرعقلانی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حکومت عقل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آمریکایی، نیز در باب حسن محدودیت آزادی تعبیری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به معنی آزادی عقل است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او با استناد به سخن افلاطون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از میل پیروی می کند، از برده پایین تر است؛ </w:t>
      </w:r>
      <w:bookmarkStart w:id="396" w:name="pg6894_74639"/>
    </w:p>
    <w:p>
      <w:pPr>
        <w:pStyle w:val="BookText"/>
        <w:rPr/>
      </w:pPr>
      <w:bookmarkEnd w:id="396"/>
      <w:r>
        <w:rPr>
          <w:rFonts w:ascii="IRNazanin" w:hAnsi="IRNazanin" w:eastAsia="IRNazanin"/>
          <w:color w:val="111111"/>
          <w:sz w:val="28"/>
          <w:sz w:val="28"/>
          <w:szCs w:val="28"/>
          <w:rtl w:val="true"/>
          <w:lang w:bidi="fa-IR"/>
        </w:rPr>
        <w:t>برای اینکه برده در شرایط خاصی از صاحبش پیروی می کند ولی کسی که خود را تسلیم تمایلات می کند، وضعش از برده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را در چنگال تمایلات قرار داده و به این صورت می خواهد به حیاتش ادامه دهد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آزادی مطلق را برای انسان مفید نمی داند و تلاش می کند تا آزادیهای فردی را در جامعه، با تکیه بر داده های عقلی تحلیلگر، به سمت عاقلانه شدن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اندیشمندان برجسته معاصر غربی که از اعتدال در برخورد با پدیده</w:t>
      </w:r>
    </w:p>
    <w:p>
      <w:pPr>
        <w:pStyle w:val="BookText"/>
        <w:rPr/>
      </w:pPr>
      <w:r>
        <w:rPr>
          <w:rFonts w:ascii="IRNazanin" w:hAnsi="IRNazanin" w:eastAsia="IRNazanin"/>
          <w:color w:val="111111"/>
          <w:sz w:val="28"/>
          <w:sz w:val="28"/>
          <w:szCs w:val="28"/>
          <w:rtl w:val="true"/>
          <w:lang w:bidi="fa-IR"/>
        </w:rPr>
        <w:t xml:space="preserve">آزادی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وی در این زمینه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اعمال قدرت دولت منجر به فقدان آزادی می شود، اما در عین حال، چیزی به نام زیادی روی در برخورداری از آزادی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همان طور که قدرت می تواند مورد سوء استفاده واقع شود، با آزادی نیز می توان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توان آزادی بیان یا مطبوعات را با نشر اکاذیب و تحریک به طغیان مورد سوء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صورت، قدرت حکومت می تواند هر نوع محدودیت آزادی را مورد سوءاستفاده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آزادی نیاز داریم تا بتوانیم از سوءاستفاده حکومت از قدرت جلوگیری کنیم و به حکومت نیاز داریم تا از سوءاستفاده از آزادی جلوگیری به 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بگذاریم عشق ما به آزادی، ما را از مسأله سوء استفاده از آزادی غافل سازد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کسان دیگری نیز بوده اند که پیروی امیال و شهوات را نوعی بندگی می دانسته و</w:t>
      </w:r>
    </w:p>
    <w:p>
      <w:pPr>
        <w:pStyle w:val="BookText"/>
        <w:rPr/>
      </w:pPr>
      <w:r>
        <w:rPr>
          <w:rFonts w:ascii="IRNazanin" w:hAnsi="IRNazanin" w:eastAsia="IRNazanin"/>
          <w:color w:val="111111"/>
          <w:sz w:val="28"/>
          <w:sz w:val="28"/>
          <w:szCs w:val="28"/>
          <w:rtl w:val="true"/>
          <w:lang w:bidi="fa-IR"/>
        </w:rPr>
        <w:t>تحلیل رایج از آزادی را به نحوی ضد آزادی تلقی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ظهور و حضور اینها در برابر جریان غالب آنقدر کمرنگ بوده است که مشکل می توان نقش خاصی در جریانهای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جوامع غرب برایشان در نظر گرفت</w:t>
      </w:r>
      <w:r>
        <w:rPr>
          <w:rFonts w:eastAsia="IRNazanin" w:cs="IRNazanin"/>
          <w:color w:val="111111"/>
          <w:sz w:val="28"/>
          <w:szCs w:val="28"/>
          <w:rtl w:val="true"/>
          <w:lang w:bidi="fa-IR"/>
        </w:rPr>
        <w:t>.</w:t>
      </w:r>
    </w:p>
    <w:p>
      <w:pPr>
        <w:pStyle w:val="Heading5"/>
        <w:numPr>
          <w:ilvl w:val="4"/>
          <w:numId w:val="1"/>
        </w:numPr>
        <w:rPr/>
      </w:pPr>
      <w:bookmarkStart w:id="397" w:name="__RefHeading___Toc1440520_372815092"/>
      <w:bookmarkStart w:id="398" w:name="_Toc146"/>
      <w:bookmarkEnd w:id="397"/>
      <w:r>
        <w:rPr>
          <w:rtl w:val="true"/>
        </w:rPr>
        <w:t>تجلی اندیشه آزادی بیان در اعلامیه جهانی حقوق بشر</w:t>
      </w:r>
      <w:bookmarkEnd w:id="3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اعلامیه جهانی حقوق بشر، جامع ترین سند رسمی بین المللی است، که تاکنون در دنیای </w:t>
      </w:r>
    </w:p>
    <w:p>
      <w:pPr>
        <w:pStyle w:val="BookText"/>
        <w:rPr/>
      </w:pPr>
      <w:r>
        <w:rPr>
          <w:rFonts w:ascii="IRNazanin" w:hAnsi="IRNazanin" w:eastAsia="IRNazanin"/>
          <w:color w:val="111111"/>
          <w:sz w:val="28"/>
          <w:sz w:val="28"/>
          <w:szCs w:val="28"/>
          <w:rtl w:val="true"/>
          <w:lang w:bidi="fa-IR"/>
        </w:rPr>
        <w:t>غرب، در زمینه حقوق و آزادیهای اساسی انسان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w:t>
      </w:r>
    </w:p>
    <w:p>
      <w:pPr>
        <w:pStyle w:val="BookText"/>
        <w:rPr/>
      </w:pPr>
      <w:r>
        <w:rPr>
          <w:rFonts w:ascii="IRNazanin" w:hAnsi="IRNazanin" w:eastAsia="IRNazanin"/>
          <w:color w:val="111111"/>
          <w:sz w:val="28"/>
          <w:sz w:val="28"/>
          <w:szCs w:val="28"/>
          <w:rtl w:val="true"/>
          <w:lang w:bidi="fa-IR"/>
        </w:rPr>
        <w:t xml:space="preserve">اسناد که قبل از تصویب این اعلامیه تهیه، تصویب و تنفيذ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دادخواست</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اعلامیه حقوق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اعلامیه استقلال آمریکا در ژوئیه</w:t>
      </w:r>
    </w:p>
    <w:p>
      <w:pPr>
        <w:pStyle w:val="BookText"/>
        <w:rPr/>
      </w:pP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xml:space="preserve">، اعلامیه حقوق بشر فرانسه در اوت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اعلامیه آزادیهای چهارگانه روزولت، میثاق آتلانتیک، منشور ملل متحد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نحوی از آزادی بیان سخنی به میان آمده است، اما در اعلامیه جهانی حقوق بشر، که در دهم دسامبر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بحث و بررسی کارشناسان و حقوق دانان کشورهای مختلف غربی به تصویب مجمع عمومی سازمان ملل رسید، صریحتر و روشنتر از هر کدام آنها بر آزادی بیان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بیان در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دوم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جهانی حقوق بشر به طور صریح و مشروح آمده است و نیز 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ضمنی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در سخن گفتن، نوشتن، چاپ کردن و انتشار دادن آزاد است و می تواند خواه از راه مطبوعات، خواه از طریق دیگر، هرگونه افکاری را تا آنجا که از این حق سوءاستفاده نکند، مثلا به آزادیهای تضمین شده توسط این اعلامیه یا به حسن شهرت دیگری لطمه وارد نیاورد، بیان کند، نشر دهد و مورد مدافعه قرار دهد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در بند دوم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طور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حق آزادی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شامل آزادی تفحص و تحصیل و اشاعه اطلاعات و افکار از هر قبیل، بدون توجه به سرحدات، خواه شفاها یا به صورت نوشته یا چاپ یا به صورت هنری یا به هر وسیله دیگر به انتخاب خود می باشد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آزادی بیان به صورت ضمنی 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جهانی حقوق بشر، که آزادی فکر و مذهب را بیان می کند، نیز آمده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حق دارد که از آزادی فکر، وجدان و مذهب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متضمن آزادی </w:t>
      </w:r>
      <w:bookmarkStart w:id="399" w:name="pg6894_74641"/>
    </w:p>
    <w:p>
      <w:pPr>
        <w:pStyle w:val="BookText"/>
        <w:rPr/>
      </w:pPr>
      <w:bookmarkEnd w:id="399"/>
      <w:r>
        <w:rPr>
          <w:rFonts w:ascii="IRNazanin" w:hAnsi="IRNazanin" w:eastAsia="IRNazanin"/>
          <w:color w:val="111111"/>
          <w:sz w:val="28"/>
          <w:sz w:val="28"/>
          <w:szCs w:val="28"/>
          <w:rtl w:val="true"/>
          <w:lang w:bidi="fa-IR"/>
        </w:rPr>
        <w:t>تغییر مذهب یا عقیده و هم چنین متضمن آزادی اظهار عقیده و ایمان می باشد و</w:t>
      </w:r>
    </w:p>
    <w:p>
      <w:pPr>
        <w:pStyle w:val="BookText"/>
        <w:rPr/>
      </w:pPr>
      <w:r>
        <w:rPr>
          <w:rFonts w:ascii="IRNazanin" w:hAnsi="IRNazanin" w:eastAsia="IRNazanin"/>
          <w:color w:val="111111"/>
          <w:sz w:val="28"/>
          <w:sz w:val="28"/>
          <w:szCs w:val="28"/>
          <w:rtl w:val="true"/>
          <w:lang w:bidi="fa-IR"/>
        </w:rPr>
        <w:t>همچنین شامل تعلیمات مذهبی و اجرای مراسم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تواند از این</w:t>
      </w:r>
    </w:p>
    <w:p>
      <w:pPr>
        <w:pStyle w:val="BookText"/>
        <w:rPr/>
      </w:pPr>
      <w:r>
        <w:rPr>
          <w:rFonts w:ascii="IRNazanin" w:hAnsi="IRNazanin" w:eastAsia="IRNazanin"/>
          <w:color w:val="111111"/>
          <w:sz w:val="28"/>
          <w:sz w:val="28"/>
          <w:szCs w:val="28"/>
          <w:rtl w:val="true"/>
          <w:lang w:bidi="fa-IR"/>
        </w:rPr>
        <w:t>حقوق منفردة يا مجتمعا به طور خصوصی یا به طور عمومی برخوردار باشد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همان طور که قبلا نیز اشاره شد، اعلامیه جهانی حقوق بشر در باب آزادی بیان</w:t>
      </w:r>
    </w:p>
    <w:p>
      <w:pPr>
        <w:pStyle w:val="BookText"/>
        <w:rPr/>
      </w:pPr>
      <w:r>
        <w:rPr>
          <w:rFonts w:ascii="IRNazanin" w:hAnsi="IRNazanin" w:eastAsia="IRNazanin"/>
          <w:color w:val="111111"/>
          <w:sz w:val="28"/>
          <w:sz w:val="28"/>
          <w:szCs w:val="28"/>
          <w:rtl w:val="true"/>
          <w:lang w:bidi="fa-IR"/>
        </w:rPr>
        <w:t>بیشتر دیدگاه دسته دوم صاحب نظران و اندیشمندان دنیای غرب، موافقان افراط گرای آزادی بیان را منعکس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محدودیتی که در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بیان ذکر شده است، تجاوز به آزادیهای دیگران، که در این اعلامیه تضمین شده، و یا لطمه زدن به حسن شهرت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ماده دیگر نه تنها حرفی از محدودیت آزادی بیان به میان نیامده، بلکه نامحدود بودن آن مورد تأکید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سرحدات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مفاد ماده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که به صورت کلی همه آزادیهای بشر را مقید می کند، شامل</w:t>
      </w:r>
    </w:p>
    <w:p>
      <w:pPr>
        <w:pStyle w:val="BookText"/>
        <w:rPr/>
      </w:pPr>
      <w:r>
        <w:rPr>
          <w:rFonts w:ascii="IRNazanin" w:hAnsi="IRNazanin" w:eastAsia="IRNazanin"/>
          <w:color w:val="111111"/>
          <w:sz w:val="28"/>
          <w:sz w:val="28"/>
          <w:szCs w:val="28"/>
          <w:rtl w:val="true"/>
          <w:lang w:bidi="fa-IR"/>
        </w:rPr>
        <w:t>آزادی بیان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آزادیهای فردی را فقط تابع محدودیتهایی قرار می دهد که به وسیله قانون، منحصرا به منظور تأمین شناسایی و مراعات حقوق و آزادیهای دیگران، بیان شده باشد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ناگفته نماند که مفاد مواد فوق الذکر در مورد آزادی بیان در قوانین اساسی بسیاری از کشورهای غربی، بدون کمترین تفاوت گنجانده شده است</w:t>
      </w:r>
      <w:r>
        <w:rPr>
          <w:rFonts w:eastAsia="IRNazanin" w:cs="IRNazanin"/>
          <w:color w:val="111111"/>
          <w:sz w:val="28"/>
          <w:szCs w:val="28"/>
          <w:rtl w:val="true"/>
          <w:lang w:bidi="fa-IR"/>
        </w:rPr>
        <w:t>.</w:t>
      </w:r>
    </w:p>
    <w:p>
      <w:pPr>
        <w:pStyle w:val="Heading4"/>
        <w:numPr>
          <w:ilvl w:val="3"/>
          <w:numId w:val="1"/>
        </w:numPr>
        <w:rPr/>
      </w:pPr>
      <w:bookmarkStart w:id="400" w:name="__RefHeading___Toc1440522_372815092"/>
      <w:bookmarkStart w:id="401" w:name="_Toc147"/>
      <w:bookmarkEnd w:id="400"/>
      <w:r>
        <w:rPr>
          <w:rtl w:val="true"/>
        </w:rPr>
        <w:t>آزادی بیان از دیدگاه اسلام</w:t>
      </w:r>
      <w:bookmarkEnd w:id="401"/>
    </w:p>
    <w:p>
      <w:pPr>
        <w:pStyle w:val="Heading5"/>
        <w:numPr>
          <w:ilvl w:val="4"/>
          <w:numId w:val="1"/>
        </w:numPr>
        <w:rPr/>
      </w:pPr>
      <w:bookmarkStart w:id="402" w:name="__RefHeading___Toc1440524_372815092"/>
      <w:bookmarkStart w:id="403" w:name="_Toc148"/>
      <w:bookmarkEnd w:id="402"/>
      <w:r>
        <w:rPr>
          <w:rtl w:val="true"/>
        </w:rPr>
        <w:t>اشاره</w:t>
      </w:r>
      <w:bookmarkEnd w:id="40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بگوییم آزادی عقیده و آزادی بیان،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همزاد هم و از یکدیگر تفکیک ناپذیرند، </w:t>
      </w:r>
      <w:r>
        <w:rPr>
          <w:rStyle w:val="FootnoteAnchor"/>
          <w:rtl w:val="true"/>
        </w:rPr>
        <w:footnoteReference w:id="431"/>
      </w:r>
      <w:r>
        <w:rPr>
          <w:rFonts w:ascii="IRNazanin" w:hAnsi="IRNazanin" w:eastAsia="IRNazanin"/>
          <w:color w:val="111111"/>
          <w:sz w:val="28"/>
          <w:sz w:val="28"/>
          <w:szCs w:val="28"/>
          <w:rtl w:val="true"/>
          <w:lang w:bidi="fa-IR"/>
        </w:rPr>
        <w:t>شاخصترین ویژگی آیین آسمانی اسلام است، سخن گزافی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زیر بنایی تفکر اسلام بر مخالفت با پذیرش کورکورانه و بی چند و چون آرا و نظریات مورد تأیید اکثریت جامعه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در همان آغازین </w:t>
      </w:r>
      <w:bookmarkStart w:id="404" w:name="pg6894_74642"/>
    </w:p>
    <w:p>
      <w:pPr>
        <w:pStyle w:val="BookText"/>
        <w:rPr/>
      </w:pPr>
      <w:bookmarkEnd w:id="404"/>
      <w:r>
        <w:rPr>
          <w:rFonts w:ascii="IRNazanin" w:hAnsi="IRNazanin" w:eastAsia="IRNazanin"/>
          <w:color w:val="111111"/>
          <w:sz w:val="28"/>
          <w:sz w:val="28"/>
          <w:szCs w:val="28"/>
          <w:rtl w:val="true"/>
          <w:lang w:bidi="fa-IR"/>
        </w:rPr>
        <w:t>روزهای ابلاغ رسالتش پیروی از آبا و اجداد را، در پذیرش یا رد یک عقیده یا اصل دینی، سخت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استدلال مشرکان در برابر دعوت پیامبر را که سلوک پدرانشان را دلیل بر حقانیت عقیده خود می پنداشتند، استدلال جاهلانه و ناشایسته ای می داند </w:t>
      </w:r>
      <w:r>
        <w:rPr>
          <w:rStyle w:val="FootnoteAnchor"/>
          <w:rtl w:val="true"/>
        </w:rPr>
        <w:footnoteReference w:id="432"/>
      </w:r>
      <w:r>
        <w:rPr>
          <w:rFonts w:ascii="IRNazanin" w:hAnsi="IRNazanin" w:eastAsia="IRNazanin"/>
          <w:color w:val="111111"/>
          <w:sz w:val="28"/>
          <w:sz w:val="28"/>
          <w:szCs w:val="28"/>
          <w:rtl w:val="true"/>
          <w:lang w:bidi="fa-IR"/>
        </w:rPr>
        <w:t>و آنها را به دلیل بهره نگرفتن از تفکر و تعقل آزادانه هدف تیر ملامت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جنگها و مبارزات اسلام علیه کفار و مشرکان برای کسب حق آزادی در تبلیغ یا به عبارت دیگر حق آزادی بیان بوده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اصولا انسان در دیدگاه اسلام، موجودی با کرامت و برخوردار از حق انتخاب و</w:t>
      </w:r>
    </w:p>
    <w:p>
      <w:pPr>
        <w:pStyle w:val="BookText"/>
        <w:rPr/>
      </w:pPr>
      <w:r>
        <w:rPr>
          <w:rFonts w:ascii="IRNazanin" w:hAnsi="IRNazanin" w:eastAsia="IRNazanin"/>
          <w:color w:val="111111"/>
          <w:sz w:val="28"/>
          <w:sz w:val="28"/>
          <w:szCs w:val="28"/>
          <w:rtl w:val="true"/>
          <w:lang w:bidi="fa-IR"/>
        </w:rPr>
        <w:t>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نظریات مبنایی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حضرت رسول صلی الله علیه واله و امامان معصوم نیز، که آزادی بیان را عملا برای فرقه های مختلف به رسمیت شناخته اند </w:t>
      </w:r>
      <w:r>
        <w:rPr>
          <w:rStyle w:val="FootnoteAnchor"/>
          <w:rtl w:val="true"/>
        </w:rPr>
        <w:footnoteReference w:id="434"/>
      </w:r>
      <w:r>
        <w:rPr>
          <w:rFonts w:ascii="IRNazanin" w:hAnsi="IRNazanin" w:eastAsia="IRNazanin"/>
          <w:color w:val="111111"/>
          <w:sz w:val="28"/>
          <w:sz w:val="28"/>
          <w:szCs w:val="28"/>
          <w:rtl w:val="true"/>
          <w:lang w:bidi="fa-IR"/>
        </w:rPr>
        <w:t>، مؤید قاطع این ادعاست</w:t>
      </w:r>
      <w:r>
        <w:rPr>
          <w:rFonts w:eastAsia="IRNazanin" w:cs="IRNazanin"/>
          <w:color w:val="111111"/>
          <w:sz w:val="28"/>
          <w:szCs w:val="28"/>
          <w:rtl w:val="true"/>
          <w:lang w:bidi="fa-IR"/>
        </w:rPr>
        <w:t>.</w:t>
      </w:r>
    </w:p>
    <w:p>
      <w:pPr>
        <w:pStyle w:val="Heading5"/>
        <w:numPr>
          <w:ilvl w:val="4"/>
          <w:numId w:val="1"/>
        </w:numPr>
        <w:rPr/>
      </w:pPr>
      <w:bookmarkStart w:id="405" w:name="__RefHeading___Toc1440526_372815092"/>
      <w:bookmarkStart w:id="406" w:name="_Toc149"/>
      <w:bookmarkEnd w:id="405"/>
      <w:r>
        <w:rPr>
          <w:rtl w:val="true"/>
        </w:rPr>
        <w:t>آزادی بیان در قرآن و حدیث</w:t>
      </w:r>
      <w:bookmarkEnd w:id="406"/>
    </w:p>
    <w:p>
      <w:pPr>
        <w:pStyle w:val="Heading6"/>
        <w:numPr>
          <w:ilvl w:val="5"/>
          <w:numId w:val="1"/>
        </w:numPr>
        <w:rPr/>
      </w:pPr>
      <w:bookmarkStart w:id="407" w:name="__RefHeading___Toc1440528_372815092"/>
      <w:bookmarkStart w:id="408" w:name="_Toc150"/>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اولین و مهمترین منبع در اسلام، سند مکتوب و موثق وحی،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منبع مهم در اسلام احادیثی است که از حضرت پیغمبر صلی الله علیه واله و امامان معصوم علیهم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زیادی وجود دارد که به صورت صریح یا ضمنی آزادی بیان را به</w:t>
      </w:r>
    </w:p>
    <w:p>
      <w:pPr>
        <w:pStyle w:val="BookText"/>
        <w:rPr/>
      </w:pPr>
      <w:r>
        <w:rPr>
          <w:rFonts w:ascii="IRNazanin" w:hAnsi="IRNazanin" w:eastAsia="IRNazanin"/>
          <w:color w:val="111111"/>
          <w:sz w:val="28"/>
          <w:sz w:val="28"/>
          <w:szCs w:val="28"/>
          <w:rtl w:val="true"/>
          <w:lang w:bidi="fa-IR"/>
        </w:rPr>
        <w:t>عنوان یکی از حقوق اساسی انسان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 معتبر فراوانی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مفاهیم آیات یا روایاتی را که بازگو کننده حق آزادی بیان است و یا به نحوی با آن ملازمه دارد، دسته بندی و از هر دسته، نمونه یا نمونه هایی ذکر می کنیم</w:t>
      </w:r>
    </w:p>
    <w:p>
      <w:pPr>
        <w:pStyle w:val="Heading6"/>
        <w:numPr>
          <w:ilvl w:val="5"/>
          <w:numId w:val="1"/>
        </w:numPr>
        <w:rPr/>
      </w:pPr>
      <w:bookmarkStart w:id="409" w:name="__RefHeading___Toc1440530_372815092"/>
      <w:bookmarkStart w:id="410" w:name="_Toc151"/>
      <w:bookmarkEnd w:id="409"/>
      <w:r>
        <w:rPr/>
        <w:t>1</w:t>
      </w:r>
      <w:r>
        <w:rPr>
          <w:rtl w:val="true"/>
        </w:rPr>
        <w:t xml:space="preserve">. </w:t>
      </w:r>
      <w:r>
        <w:rPr>
          <w:rtl w:val="true"/>
        </w:rPr>
        <w:t>ضرورت بیان حق</w:t>
      </w:r>
      <w:r>
        <w:rPr>
          <w:rtl w:val="true"/>
        </w:rPr>
        <w:t>:</w:t>
      </w:r>
      <w:bookmarkEnd w:id="41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خطاب به کمیل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حال حق را بگو</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و در جای </w:t>
      </w:r>
      <w:bookmarkStart w:id="411" w:name="pg6894_74643"/>
    </w:p>
    <w:p>
      <w:pPr>
        <w:pStyle w:val="BookText"/>
        <w:rPr/>
      </w:pPr>
      <w:bookmarkEnd w:id="411"/>
      <w:r>
        <w:rPr>
          <w:rFonts w:ascii="IRNazanin" w:hAnsi="IRNazanin" w:eastAsia="IRNazanin"/>
          <w:color w:val="111111"/>
          <w:sz w:val="28"/>
          <w:sz w:val="28"/>
          <w:szCs w:val="28"/>
          <w:rtl w:val="true"/>
          <w:lang w:bidi="fa-IR"/>
        </w:rPr>
        <w:t>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بگو هر چند باعث هلاكتت شود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در روایت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بگو چه ایمن باشی، چه در خطر</w:t>
      </w:r>
      <w:r>
        <w:rPr>
          <w:rFonts w:eastAsia="IRNazanin" w:cs="IRNazanin"/>
          <w:color w:val="111111"/>
          <w:sz w:val="28"/>
          <w:szCs w:val="28"/>
          <w:rtl w:val="true"/>
          <w:lang w:bidi="fa-IR"/>
        </w:rPr>
        <w:t xml:space="preserve">» </w:t>
      </w:r>
      <w:r>
        <w:rPr>
          <w:rStyle w:val="FootnoteAnchor"/>
          <w:rtl w:val="true"/>
        </w:rPr>
        <w:footnoteReference w:id="437"/>
      </w:r>
    </w:p>
    <w:p>
      <w:pPr>
        <w:pStyle w:val="Heading6"/>
        <w:numPr>
          <w:ilvl w:val="5"/>
          <w:numId w:val="1"/>
        </w:numPr>
        <w:rPr/>
      </w:pPr>
      <w:bookmarkStart w:id="412" w:name="__RefHeading___Toc1440532_372815092"/>
      <w:bookmarkStart w:id="413" w:name="_Toc152"/>
      <w:bookmarkEnd w:id="412"/>
      <w:r>
        <w:rPr/>
        <w:t>2</w:t>
      </w:r>
      <w:r>
        <w:rPr>
          <w:rtl w:val="true"/>
        </w:rPr>
        <w:t xml:space="preserve">. </w:t>
      </w:r>
      <w:r>
        <w:rPr>
          <w:rtl w:val="true"/>
        </w:rPr>
        <w:t>اهمیت بیان حق</w:t>
      </w:r>
      <w:r>
        <w:rPr>
          <w:rtl w:val="true"/>
        </w:rPr>
        <w:t>:</w:t>
      </w:r>
      <w:bookmarkEnd w:id="413"/>
    </w:p>
    <w:p>
      <w:pPr>
        <w:pStyle w:val="BookText"/>
        <w:rPr/>
      </w:pPr>
      <w:r>
        <w:rPr>
          <w:rFonts w:ascii="IRNazanin" w:hAnsi="IRNazanin" w:eastAsia="IRNazanin"/>
          <w:color w:val="111111"/>
          <w:sz w:val="28"/>
          <w:sz w:val="28"/>
          <w:szCs w:val="28"/>
          <w:rtl w:val="true"/>
          <w:lang w:bidi="fa-IR"/>
        </w:rPr>
        <w:t>یاد آوری و بیان حق از نظر اسلام آنقدر اهمیت دارد که خود اساسی ترین وظیفه پیامبر است و در عین حال هیچ کس مجبور به پذیرش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بده و یادآوری کن؛ زیرا وظیفه تو تنها تذکر دادن است، نه الزام و اجبار</w:t>
      </w:r>
      <w:r>
        <w:rPr>
          <w:rFonts w:eastAsia="IRNazanin" w:cs="IRNazanin"/>
          <w:color w:val="111111"/>
          <w:sz w:val="28"/>
          <w:szCs w:val="28"/>
          <w:rtl w:val="true"/>
          <w:lang w:bidi="fa-IR"/>
        </w:rPr>
        <w:t xml:space="preserve">.» </w:t>
      </w:r>
      <w:r>
        <w:rPr>
          <w:rStyle w:val="FootnoteAnchor"/>
          <w:rtl w:val="true"/>
        </w:rPr>
        <w:footnoteReference w:id="438"/>
      </w:r>
    </w:p>
    <w:p>
      <w:pPr>
        <w:pStyle w:val="Heading6"/>
        <w:numPr>
          <w:ilvl w:val="5"/>
          <w:numId w:val="1"/>
        </w:numPr>
        <w:rPr/>
      </w:pPr>
      <w:bookmarkStart w:id="414" w:name="__RefHeading___Toc1440534_372815092"/>
      <w:bookmarkStart w:id="415" w:name="_Toc153"/>
      <w:bookmarkEnd w:id="414"/>
      <w:r>
        <w:rPr/>
        <w:t>3</w:t>
      </w:r>
      <w:r>
        <w:rPr>
          <w:rtl w:val="true"/>
        </w:rPr>
        <w:t xml:space="preserve">. </w:t>
      </w:r>
      <w:r>
        <w:rPr>
          <w:rtl w:val="true"/>
        </w:rPr>
        <w:t>جرم بودن کتمان حق</w:t>
      </w:r>
      <w:r>
        <w:rPr>
          <w:rtl w:val="true"/>
        </w:rPr>
        <w:t>:</w:t>
      </w:r>
      <w:bookmarkEnd w:id="415"/>
    </w:p>
    <w:p>
      <w:pPr>
        <w:pStyle w:val="BookText"/>
        <w:rPr/>
      </w:pPr>
      <w:r>
        <w:rPr>
          <w:rFonts w:ascii="IRNazanin" w:hAnsi="IRNazanin" w:eastAsia="IRNazanin"/>
          <w:color w:val="111111"/>
          <w:sz w:val="28"/>
          <w:sz w:val="28"/>
          <w:szCs w:val="28"/>
          <w:rtl w:val="true"/>
          <w:lang w:bidi="fa-IR"/>
        </w:rPr>
        <w:t>قرآن نه تنها بیان حق را مجاز می داند، بلکه کتمان آن را جرم تلقی می کند و کتمان کننده را مستحق لعن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را باطل می پوشانید و حق را کتمان می کنید مخفی می دارید در حالی که شما می دانید</w:t>
      </w:r>
      <w:r>
        <w:rPr>
          <w:rFonts w:eastAsia="IRNazanin" w:cs="IRNazanin"/>
          <w:color w:val="111111"/>
          <w:sz w:val="28"/>
          <w:szCs w:val="28"/>
          <w:rtl w:val="true"/>
          <w:lang w:bidi="fa-IR"/>
        </w:rPr>
        <w:t xml:space="preserve">.» </w:t>
      </w:r>
      <w:r>
        <w:rPr>
          <w:rStyle w:val="FootnoteAnchor"/>
          <w:rtl w:val="true"/>
        </w:rPr>
        <w:footnoteReference w:id="439"/>
      </w:r>
    </w:p>
    <w:p>
      <w:pPr>
        <w:pStyle w:val="Heading6"/>
        <w:numPr>
          <w:ilvl w:val="5"/>
          <w:numId w:val="1"/>
        </w:numPr>
        <w:rPr/>
      </w:pPr>
      <w:bookmarkStart w:id="416" w:name="__RefHeading___Toc1440536_372815092"/>
      <w:bookmarkStart w:id="417" w:name="_Toc154"/>
      <w:bookmarkEnd w:id="416"/>
      <w:r>
        <w:rPr/>
        <w:t>4</w:t>
      </w:r>
      <w:r>
        <w:rPr>
          <w:rtl w:val="true"/>
        </w:rPr>
        <w:t xml:space="preserve">. </w:t>
      </w:r>
      <w:r>
        <w:rPr>
          <w:rtl w:val="true"/>
        </w:rPr>
        <w:t>نقل آرا و نظرات مخالفان</w:t>
      </w:r>
      <w:r>
        <w:rPr>
          <w:rtl w:val="true"/>
        </w:rPr>
        <w:t>:</w:t>
      </w:r>
      <w:bookmarkEnd w:id="417"/>
    </w:p>
    <w:p>
      <w:pPr>
        <w:pStyle w:val="BookText"/>
        <w:rPr/>
      </w:pPr>
      <w:r>
        <w:rPr>
          <w:rFonts w:ascii="IRNazanin" w:hAnsi="IRNazanin" w:eastAsia="IRNazanin"/>
          <w:color w:val="111111"/>
          <w:sz w:val="28"/>
          <w:sz w:val="28"/>
          <w:szCs w:val="28"/>
          <w:rtl w:val="true"/>
          <w:lang w:bidi="fa-IR"/>
        </w:rPr>
        <w:t>قرآن بكرات آرا، نظرات و استدلالهای مخالفان را با تعابیری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الذين كفروا، قال الذين اشركوا، قال اليهود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سپس با شیوه منطقی آن را نقد میکند</w:t>
      </w:r>
      <w:r>
        <w:rPr>
          <w:rFonts w:eastAsia="IRNazanin" w:cs="IRNazanin"/>
          <w:color w:val="111111"/>
          <w:sz w:val="28"/>
          <w:szCs w:val="28"/>
          <w:rtl w:val="true"/>
          <w:lang w:bidi="fa-IR"/>
        </w:rPr>
        <w:t>.</w:t>
      </w:r>
    </w:p>
    <w:p>
      <w:pPr>
        <w:pStyle w:val="Heading6"/>
        <w:numPr>
          <w:ilvl w:val="5"/>
          <w:numId w:val="1"/>
        </w:numPr>
        <w:rPr/>
      </w:pPr>
      <w:bookmarkStart w:id="418" w:name="__RefHeading___Toc1440538_372815092"/>
      <w:bookmarkStart w:id="419" w:name="_Toc155"/>
      <w:bookmarkEnd w:id="418"/>
      <w:r>
        <w:rPr/>
        <w:t>5</w:t>
      </w:r>
      <w:r>
        <w:rPr>
          <w:rtl w:val="true"/>
        </w:rPr>
        <w:t xml:space="preserve">. </w:t>
      </w:r>
      <w:r>
        <w:rPr>
          <w:rtl w:val="true"/>
        </w:rPr>
        <w:t>فرمان به مناظره علمی و جدال احسن</w:t>
      </w:r>
      <w:r>
        <w:rPr>
          <w:rtl w:val="true"/>
        </w:rPr>
        <w:t>:</w:t>
      </w:r>
      <w:bookmarkEnd w:id="419"/>
    </w:p>
    <w:p>
      <w:pPr>
        <w:pStyle w:val="BookText"/>
        <w:rPr/>
      </w:pPr>
      <w:r>
        <w:rPr>
          <w:rFonts w:ascii="IRNazanin" w:hAnsi="IRNazanin" w:eastAsia="IRNazanin"/>
          <w:color w:val="111111"/>
          <w:sz w:val="28"/>
          <w:sz w:val="28"/>
          <w:szCs w:val="28"/>
          <w:rtl w:val="true"/>
          <w:lang w:bidi="fa-IR"/>
        </w:rPr>
        <w:t>خداوند در اساسی ترین موضوعات اعتقادی و مذهبی به پیامبر و مسلمانان دستور</w:t>
      </w:r>
    </w:p>
    <w:p>
      <w:pPr>
        <w:pStyle w:val="BookText"/>
        <w:rPr/>
      </w:pPr>
      <w:r>
        <w:rPr>
          <w:rFonts w:ascii="IRNazanin" w:hAnsi="IRNazanin" w:eastAsia="IRNazanin"/>
          <w:color w:val="111111"/>
          <w:sz w:val="28"/>
          <w:sz w:val="28"/>
          <w:szCs w:val="28"/>
          <w:rtl w:val="true"/>
          <w:lang w:bidi="fa-IR"/>
        </w:rPr>
        <w:t>می دهد تا سخن مخالفان را بشنوند و با آنها از طریق اقامه برهان، استدلال و مناظره علمی برخورد کنند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حکمت و برهان و موعظه نیکو به راه خدا دعوت کن و با بهترین طریق با اهل جدل مناظره کن</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مسلمانان با يهود، نصارا و مجوس، که اهل </w:t>
      </w:r>
      <w:bookmarkStart w:id="420" w:name="pg6894_74644"/>
    </w:p>
    <w:p>
      <w:pPr>
        <w:pStyle w:val="BookText"/>
        <w:rPr/>
      </w:pPr>
      <w:bookmarkEnd w:id="420"/>
      <w:r>
        <w:rPr>
          <w:rFonts w:ascii="IRNazanin" w:hAnsi="IRNazanin" w:eastAsia="IRNazanin"/>
          <w:color w:val="111111"/>
          <w:sz w:val="28"/>
          <w:sz w:val="28"/>
          <w:szCs w:val="28"/>
          <w:rtl w:val="true"/>
          <w:lang w:bidi="fa-IR"/>
        </w:rPr>
        <w:t>کتابند، جز به نیکوترین طریق مجادله نکنید</w:t>
      </w:r>
      <w:r>
        <w:rPr>
          <w:rFonts w:eastAsia="IRNazanin" w:cs="IRNazanin"/>
          <w:color w:val="111111"/>
          <w:sz w:val="28"/>
          <w:szCs w:val="28"/>
          <w:rtl w:val="true"/>
          <w:lang w:bidi="fa-IR"/>
        </w:rPr>
        <w:t xml:space="preserve">.» </w:t>
      </w:r>
      <w:r>
        <w:rPr>
          <w:rStyle w:val="FootnoteAnchor"/>
          <w:rtl w:val="true"/>
        </w:rPr>
        <w:footnoteReference w:id="441"/>
      </w:r>
    </w:p>
    <w:p>
      <w:pPr>
        <w:pStyle w:val="Heading6"/>
        <w:numPr>
          <w:ilvl w:val="5"/>
          <w:numId w:val="1"/>
        </w:numPr>
        <w:rPr/>
      </w:pPr>
      <w:bookmarkStart w:id="421" w:name="__RefHeading___Toc1440540_372815092"/>
      <w:bookmarkStart w:id="422" w:name="_Toc156"/>
      <w:bookmarkEnd w:id="421"/>
      <w:r>
        <w:rPr/>
        <w:t>6</w:t>
      </w:r>
      <w:r>
        <w:rPr>
          <w:rtl w:val="true"/>
        </w:rPr>
        <w:t xml:space="preserve">. </w:t>
      </w:r>
      <w:r>
        <w:rPr>
          <w:rtl w:val="true"/>
        </w:rPr>
        <w:t>دستور به برهان طلبی</w:t>
      </w:r>
      <w:r>
        <w:rPr>
          <w:rtl w:val="true"/>
        </w:rPr>
        <w:t>:</w:t>
      </w:r>
      <w:bookmarkEnd w:id="422"/>
    </w:p>
    <w:p>
      <w:pPr>
        <w:pStyle w:val="BookText"/>
        <w:rPr/>
      </w:pPr>
      <w:r>
        <w:rPr>
          <w:rFonts w:ascii="IRNazanin" w:hAnsi="IRNazanin" w:eastAsia="IRNazanin"/>
          <w:color w:val="111111"/>
          <w:sz w:val="28"/>
          <w:sz w:val="28"/>
          <w:szCs w:val="28"/>
          <w:rtl w:val="true"/>
          <w:lang w:bidi="fa-IR"/>
        </w:rPr>
        <w:t>خداوند در چندین مورد به پیامبرش دستور می دهد از کفار و مشرکان بخواهند تا برای اثبات ادعای خود دلیل ارائه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را بگو اگر راست می گویند که غیر خدا هم کسی در آفرینش شما مؤثر است، بر دعوای خود برهان بیاورید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 هرگز کسی به بهشت نرود، جز طایفه یهودی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پیامبر که این گفتار شما بس آرزویی است، بگو بر این دعوا برهان بیاورید اگر راستگو هستید</w:t>
      </w:r>
      <w:r>
        <w:rPr>
          <w:rFonts w:eastAsia="IRNazanin" w:cs="IRNazanin"/>
          <w:color w:val="111111"/>
          <w:sz w:val="28"/>
          <w:szCs w:val="28"/>
          <w:rtl w:val="true"/>
          <w:lang w:bidi="fa-IR"/>
        </w:rPr>
        <w:t xml:space="preserve">.» </w:t>
      </w:r>
      <w:r>
        <w:rPr>
          <w:rStyle w:val="FootnoteAnchor"/>
          <w:rtl w:val="true"/>
        </w:rPr>
        <w:footnoteReference w:id="443"/>
      </w:r>
    </w:p>
    <w:p>
      <w:pPr>
        <w:pStyle w:val="Heading6"/>
        <w:numPr>
          <w:ilvl w:val="5"/>
          <w:numId w:val="1"/>
        </w:numPr>
        <w:rPr/>
      </w:pPr>
      <w:bookmarkStart w:id="423" w:name="__RefHeading___Toc1440542_372815092"/>
      <w:bookmarkStart w:id="424" w:name="_Toc157"/>
      <w:bookmarkEnd w:id="423"/>
      <w:r>
        <w:rPr/>
        <w:t>7</w:t>
      </w:r>
      <w:r>
        <w:rPr>
          <w:rtl w:val="true"/>
        </w:rPr>
        <w:t xml:space="preserve">. </w:t>
      </w:r>
      <w:r>
        <w:rPr>
          <w:rtl w:val="true"/>
        </w:rPr>
        <w:t>تشویق به گزینش بهترین</w:t>
      </w:r>
      <w:bookmarkEnd w:id="424"/>
    </w:p>
    <w:p>
      <w:pPr>
        <w:pStyle w:val="BookText"/>
        <w:rPr/>
      </w:pPr>
      <w:r>
        <w:rPr>
          <w:rFonts w:ascii="IRNazanin" w:hAnsi="IRNazanin" w:eastAsia="IRNazanin"/>
          <w:color w:val="111111"/>
          <w:sz w:val="28"/>
          <w:sz w:val="28"/>
          <w:szCs w:val="28"/>
          <w:rtl w:val="true"/>
          <w:lang w:bidi="fa-IR"/>
        </w:rPr>
        <w:t>خداوند کسانی را که بعد از شنیدن سخن و نظرات مختلف، بر اساس منطق حق خواهی و به دور از هرگونه لجاجت، بهترین را برمی گزینند، به لطف خاص خود بشارت می دهد و آنها را صاحبان خرد و اندیشه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رحمت بشارت ده آن بندگان را که چون سخنها بشنوند نیکوترین آن را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خدا آنها را به لطف خاص خود هدایت فرموده است و هم آنان به حقیقت خردمندان عالمند</w:t>
      </w:r>
      <w:r>
        <w:rPr>
          <w:rFonts w:eastAsia="IRNazanin" w:cs="IRNazanin"/>
          <w:color w:val="111111"/>
          <w:sz w:val="28"/>
          <w:szCs w:val="28"/>
          <w:rtl w:val="true"/>
          <w:lang w:bidi="fa-IR"/>
        </w:rPr>
        <w:t xml:space="preserve">. </w:t>
      </w:r>
      <w:r>
        <w:rPr>
          <w:rStyle w:val="FootnoteAnchor"/>
          <w:rtl w:val="true"/>
        </w:rPr>
        <w:footnoteReference w:id="444"/>
      </w:r>
    </w:p>
    <w:p>
      <w:pPr>
        <w:pStyle w:val="Heading6"/>
        <w:numPr>
          <w:ilvl w:val="5"/>
          <w:numId w:val="1"/>
        </w:numPr>
        <w:rPr/>
      </w:pPr>
      <w:bookmarkStart w:id="425" w:name="__RefHeading___Toc1440544_372815092"/>
      <w:bookmarkStart w:id="426" w:name="_Toc158"/>
      <w:bookmarkEnd w:id="425"/>
      <w:r>
        <w:rPr/>
        <w:t>8</w:t>
      </w:r>
      <w:r>
        <w:rPr>
          <w:rtl w:val="true"/>
        </w:rPr>
        <w:t xml:space="preserve">. </w:t>
      </w:r>
      <w:r>
        <w:rPr>
          <w:rtl w:val="true"/>
        </w:rPr>
        <w:t>آزادی تفکر و اندیشه</w:t>
      </w:r>
      <w:r>
        <w:rPr>
          <w:rtl w:val="true"/>
        </w:rPr>
        <w:t>:</w:t>
      </w:r>
      <w:bookmarkEnd w:id="426"/>
    </w:p>
    <w:p>
      <w:pPr>
        <w:pStyle w:val="BookText"/>
        <w:rPr/>
      </w:pPr>
      <w:r>
        <w:rPr>
          <w:rFonts w:ascii="IRNazanin" w:hAnsi="IRNazanin" w:eastAsia="IRNazanin"/>
          <w:color w:val="111111"/>
          <w:sz w:val="28"/>
          <w:sz w:val="28"/>
          <w:szCs w:val="28"/>
          <w:rtl w:val="true"/>
          <w:lang w:bidi="fa-IR"/>
        </w:rPr>
        <w:t>آزادی تفکر و اندیشه مبنای دعوت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آیه و روایت در قرآن و منابع معتبر روایی وجود دارد که انسانها را موظف به تفکر کرده، هر گونه اکراه و اجبار را در پذیرش عقیده مردود شمرده و پیامبر را فقط به عنوان یک یاد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مکتبی که برای آزادی تفکر و اندیشه این همه اهمیت قایل است، طبیعی است که </w:t>
      </w:r>
      <w:bookmarkStart w:id="427" w:name="pg6894_74645"/>
    </w:p>
    <w:p>
      <w:pPr>
        <w:pStyle w:val="BookText"/>
        <w:rPr/>
      </w:pPr>
      <w:bookmarkEnd w:id="427"/>
      <w:r>
        <w:rPr>
          <w:rFonts w:ascii="IRNazanin" w:hAnsi="IRNazanin" w:eastAsia="IRNazanin"/>
          <w:color w:val="111111"/>
          <w:sz w:val="28"/>
          <w:sz w:val="28"/>
          <w:szCs w:val="28"/>
          <w:rtl w:val="true"/>
          <w:lang w:bidi="fa-IR"/>
        </w:rPr>
        <w:t>به آزادی بیان ارج نهد؛ زیرا آزادی اندیشه بدون آزادی بیان معنی ندارد</w:t>
      </w:r>
      <w:r>
        <w:rPr>
          <w:rFonts w:eastAsia="IRNazanin" w:cs="IRNazanin"/>
          <w:color w:val="111111"/>
          <w:sz w:val="28"/>
          <w:szCs w:val="28"/>
          <w:rtl w:val="true"/>
          <w:lang w:bidi="fa-IR"/>
        </w:rPr>
        <w:t>.</w:t>
      </w:r>
    </w:p>
    <w:p>
      <w:pPr>
        <w:pStyle w:val="Heading5"/>
        <w:numPr>
          <w:ilvl w:val="4"/>
          <w:numId w:val="1"/>
        </w:numPr>
        <w:rPr/>
      </w:pPr>
      <w:bookmarkStart w:id="428" w:name="__RefHeading___Toc1440546_372815092"/>
      <w:bookmarkStart w:id="429" w:name="_Toc159"/>
      <w:bookmarkEnd w:id="428"/>
      <w:r>
        <w:rPr>
          <w:rtl w:val="true"/>
        </w:rPr>
        <w:t>نمونه هایی از آیات و روایات</w:t>
      </w:r>
      <w:r>
        <w:rPr>
          <w:rtl w:val="true"/>
        </w:rPr>
        <w:t>:</w:t>
      </w:r>
      <w:bookmarkEnd w:id="429"/>
    </w:p>
    <w:p>
      <w:pPr>
        <w:pStyle w:val="BookText"/>
        <w:rPr/>
      </w:pPr>
      <w:r>
        <w:rPr>
          <w:rFonts w:ascii="IRNazanin" w:hAnsi="IRNazanin" w:eastAsia="IRNazanin"/>
          <w:color w:val="111111"/>
          <w:sz w:val="28"/>
          <w:sz w:val="28"/>
          <w:szCs w:val="28"/>
          <w:rtl w:val="true"/>
          <w:lang w:bidi="fa-IR"/>
        </w:rPr>
        <w:t>خداوند آیات خود را برای شما روشن بیان کند، باشد که در حقیقت کارها اندیشه</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با فکرت آیات قدرت خدا کاملا پدیدار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حضرت پیامبر صلی الله علیه واله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تفکر بهتر از یک شب تمام عبادت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حضرت صادق علیه السلام یک ساعت تفکر را بهتر از یکسال عبادت می داند </w:t>
      </w:r>
      <w:r>
        <w:rPr>
          <w:rStyle w:val="FootnoteAnchor"/>
          <w:rtl w:val="true"/>
        </w:rPr>
        <w:footnoteReference w:id="448"/>
      </w:r>
      <w:r>
        <w:rPr>
          <w:rFonts w:ascii="IRNazanin" w:hAnsi="IRNazanin" w:eastAsia="IRNazanin"/>
          <w:color w:val="111111"/>
          <w:sz w:val="28"/>
          <w:sz w:val="28"/>
          <w:szCs w:val="28"/>
          <w:rtl w:val="true"/>
          <w:lang w:bidi="fa-IR"/>
        </w:rPr>
        <w:t>و در حدیث دیگر برابر با شصت سال عبادت دانسته شده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امام صادق علیه السلام در حدیث دیگری درباره شخصیت ابوذر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و اندیشه بیشترین مقدار عبادت او را تشکیل می داد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دین به اجبار نیست، راه هدایت و ضلالت بر همه روشن گردید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تو در مشیت ازلی می خواست اهل زمین یکسره ایمان می آوردند، چون نخواستیم، تو کی توانی تا به جبر و اکراه همه را مومن و خداپرست گردانی</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رسولان جز تبلیغ رسالت و اتمام حجت، تکلیفی نیست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موارد فوق نمونه هایی است از صدها آیه و روایت که در قرآن و کتب روایی معتبر آمده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مفاهیم و لوازم این آیات و روایات، موضع قرآن و سنت را در برابر آزادی بیان روشن می کند</w:t>
      </w:r>
      <w:r>
        <w:rPr>
          <w:rFonts w:eastAsia="IRNazanin" w:cs="IRNazanin"/>
          <w:color w:val="111111"/>
          <w:sz w:val="28"/>
          <w:szCs w:val="28"/>
          <w:rtl w:val="true"/>
          <w:lang w:bidi="fa-IR"/>
        </w:rPr>
        <w:t xml:space="preserve">. </w:t>
      </w:r>
      <w:bookmarkStart w:id="430" w:name="pg6894_74646"/>
    </w:p>
    <w:p>
      <w:pPr>
        <w:pStyle w:val="Heading5"/>
        <w:numPr>
          <w:ilvl w:val="4"/>
          <w:numId w:val="1"/>
        </w:numPr>
        <w:rPr/>
      </w:pPr>
      <w:bookmarkStart w:id="431" w:name="__RefHeading___Toc1440548_372815092"/>
      <w:bookmarkStart w:id="432" w:name="_Toc160"/>
      <w:bookmarkEnd w:id="430"/>
      <w:bookmarkEnd w:id="431"/>
      <w:r>
        <w:rPr>
          <w:rtl w:val="true"/>
        </w:rPr>
        <w:t>آزادی بیان در آرای اندیشمندان اسلامی</w:t>
      </w:r>
      <w:bookmarkEnd w:id="432"/>
    </w:p>
    <w:p>
      <w:pPr>
        <w:pStyle w:val="BookText"/>
        <w:rPr/>
      </w:pPr>
      <w:r>
        <w:rPr>
          <w:rFonts w:ascii="IRNazanin" w:hAnsi="IRNazanin" w:eastAsia="IRNazanin"/>
          <w:color w:val="111111"/>
          <w:sz w:val="28"/>
          <w:sz w:val="28"/>
          <w:szCs w:val="28"/>
          <w:rtl w:val="true"/>
          <w:lang w:bidi="fa-IR"/>
        </w:rPr>
        <w:t>فقها و اندیشمندان اسلامی نیز با تبعیت از مضمون آیات و روایات، به اتفاق نظر، اصل آزادی بیان را در بینش اسلامی مورد تأیید قرار داده اند؛ هر چند ممکن است در باب حدود و شروطی که برای آن لحاظ کرده اند، کاملا متفق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سخنان بعضی از این بزرگان را نقل می کنیم، تا هم اصل نظریات و هم</w:t>
      </w:r>
    </w:p>
    <w:p>
      <w:pPr>
        <w:pStyle w:val="BookText"/>
        <w:rPr/>
      </w:pPr>
      <w:r>
        <w:rPr>
          <w:rFonts w:ascii="IRNazanin" w:hAnsi="IRNazanin" w:eastAsia="IRNazanin"/>
          <w:color w:val="111111"/>
          <w:sz w:val="28"/>
          <w:sz w:val="28"/>
          <w:szCs w:val="28"/>
          <w:rtl w:val="true"/>
          <w:lang w:bidi="fa-IR"/>
        </w:rPr>
        <w:t>تفاوتهایی که در حدود آن قائلند،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 اسلام، فقط و فقط با مواجهه صریح و شجاعانه با عقاید و افکار مختلف است که می تواند به حیات خود ادامه دهد، من به جوانان و طرفداران اسلام هشدار میدهم که خیال نکنند راه حفظ معتقدات اسلامی جلوگیری از ابراز عقیده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فقط با یک نیرو می شود پاسداری کرد و آن علم است و آزادی دادن به افکار مخالف و مواجهه صریح و روشن با آنها</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ایشان در جای دیگری اظهار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آزادی بیان در اسلام هست، بلکه می بایست برای شناخت و مقابله با افکار دیگران در دانشگاه الهيات، عقاید مارکسیستی، توسط استادی که معتقد به آن است، تدریس گردد؛ اما به شرطی که التقاط و دروغ و حقه بازی در آن راه نیابد و در زیر پوشش افکار اسلامی، افکار و اندیشه های مخالف، با آن ممزوج نگردد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شهید بهشتی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آزادی در بیان آرا، عقاید و افکار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سازنده و دلسوزانه ایرادی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دروغزنی، شایعه سازی، تضعیف نهادهای مستقل، مسموم کردن جو اجتماعی، </w:t>
      </w:r>
    </w:p>
    <w:p>
      <w:pPr>
        <w:pStyle w:val="BookText"/>
        <w:rPr/>
      </w:pPr>
      <w:r>
        <w:rPr>
          <w:rFonts w:ascii="IRNazanin" w:hAnsi="IRNazanin" w:eastAsia="IRNazanin"/>
          <w:color w:val="111111"/>
          <w:sz w:val="28"/>
          <w:sz w:val="28"/>
          <w:szCs w:val="28"/>
          <w:rtl w:val="true"/>
          <w:lang w:bidi="fa-IR"/>
        </w:rPr>
        <w:t xml:space="preserve">تفرقه افکنی و به خطر انداختن یکپارچگی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طریق که باشد ممنوع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بیان اندیشه ها و افکار و عقاید، نشر کتابها و مقاله ها و روزنامه ها و مجله های ضد خدا و پیغمبر و اسلام و اصول عقاید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شرط آزاد است و آن اینکه این شبهات همراه با پاسخ روشنگر و توضیحات کافی به این شبهات باشد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بیش از هر دینی و بیش از هر مسلکی، به اقلیتهای مذهبی آزادی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باید از حقوق طبیعی خودشان، که خداوند برای همه انسانها قرار داده است،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بهترین وجه از آنان نگهداری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کمونیستها نیز در بیان عقاید خود آزادند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استاد محمد تقی جعفری نیز در ضمن نفى آزادی بیان به شکل مطلق، آن را به صورت مشروط مورد تأیید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مطلق بیان را بی هیچ قید و شرطی نمی توان پذیرفت؛ زیرا تمام افراد بشر به آن حد اعتلای فکری نرسیده اند که هم بیان کننده غیر از حق و واقعیت را ابراز نکند و هم شنونده و تحیق کننده از اطلاعات کافی و فکری نافذ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آزادی معقول باشد، نه مطلق</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وی در مورد شرایط آزادی بیان بعد از توضیح مفصلی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باید حق آزادی قلم و بیان را مشروط به عدم مزاحمت حقوق حیات و کرامت انسانها نمود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دکتر داود الهامی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استدلال، استنباط و اجتهاد که این همه در اسلام روی آن تکیه شده است، در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معنی و مفهوم واقعی پیدا می کند که آزادی بیان را در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bookmarkStart w:id="433" w:name="pg6894_74648"/>
    </w:p>
    <w:p>
      <w:pPr>
        <w:pStyle w:val="BookText"/>
        <w:rPr/>
      </w:pPr>
      <w:bookmarkEnd w:id="433"/>
      <w:r>
        <w:rPr>
          <w:rFonts w:ascii="IRNazanin" w:hAnsi="IRNazanin" w:eastAsia="IRNazanin"/>
          <w:color w:val="111111"/>
          <w:sz w:val="28"/>
          <w:sz w:val="28"/>
          <w:szCs w:val="28"/>
          <w:rtl w:val="true"/>
          <w:lang w:bidi="fa-IR"/>
        </w:rPr>
        <w:t>جوامع بشری را در انتخاب عقاید و گزینش مکاتب آزاد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 کسی در بیان رأی و اظهار عقیده خود کاملا آزاد است و کسی حق ندارد با هیچ دستاویزی از تفکر کسی و نحوه اندیشه او جلوگیری نماید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از صراحت این عبارات پیداست که فقها و اندیشمندان فوق الذکر معتقدند اصل</w:t>
      </w:r>
    </w:p>
    <w:p>
      <w:pPr>
        <w:pStyle w:val="BookText"/>
        <w:rPr/>
      </w:pPr>
      <w:r>
        <w:rPr>
          <w:rFonts w:ascii="IRNazanin" w:hAnsi="IRNazanin" w:eastAsia="IRNazanin"/>
          <w:color w:val="111111"/>
          <w:sz w:val="28"/>
          <w:sz w:val="28"/>
          <w:szCs w:val="28"/>
          <w:rtl w:val="true"/>
          <w:lang w:bidi="fa-IR"/>
        </w:rPr>
        <w:t>آزادی بیان جزء مسلمات اندیشه اسلامی است</w:t>
      </w:r>
      <w:r>
        <w:rPr>
          <w:rFonts w:eastAsia="IRNazanin" w:cs="IRNazanin"/>
          <w:color w:val="111111"/>
          <w:sz w:val="28"/>
          <w:szCs w:val="28"/>
          <w:rtl w:val="true"/>
          <w:lang w:bidi="fa-IR"/>
        </w:rPr>
        <w:t>.</w:t>
      </w:r>
    </w:p>
    <w:p>
      <w:pPr>
        <w:pStyle w:val="Heading5"/>
        <w:numPr>
          <w:ilvl w:val="4"/>
          <w:numId w:val="1"/>
        </w:numPr>
        <w:rPr/>
      </w:pPr>
      <w:bookmarkStart w:id="434" w:name="__RefHeading___Toc1440550_372815092"/>
      <w:bookmarkStart w:id="435" w:name="_Toc161"/>
      <w:bookmarkEnd w:id="434"/>
      <w:r>
        <w:rPr>
          <w:rtl w:val="true"/>
        </w:rPr>
        <w:t>آزادی بیان در قانون اساسی ج</w:t>
      </w:r>
      <w:r>
        <w:rPr>
          <w:rtl w:val="true"/>
        </w:rPr>
        <w:t>.</w:t>
      </w:r>
      <w:r>
        <w:rPr>
          <w:rtl w:val="true"/>
        </w:rPr>
        <w:t>ا</w:t>
      </w:r>
      <w:r>
        <w:rPr>
          <w:rtl w:val="true"/>
        </w:rPr>
        <w:t>.</w:t>
      </w:r>
      <w:r>
        <w:rPr>
          <w:rtl w:val="true"/>
        </w:rPr>
        <w:t>ا و اعلامیه اسلامی حقوق بشر</w:t>
      </w:r>
      <w:bookmarkEnd w:id="435"/>
    </w:p>
    <w:p>
      <w:pPr>
        <w:pStyle w:val="BookText"/>
        <w:rPr/>
      </w:pPr>
      <w:r>
        <w:rPr>
          <w:rFonts w:ascii="IRNazanin" w:hAnsi="IRNazanin" w:eastAsia="IRNazanin"/>
          <w:color w:val="111111"/>
          <w:sz w:val="28"/>
          <w:sz w:val="28"/>
          <w:szCs w:val="28"/>
          <w:rtl w:val="true"/>
          <w:lang w:bidi="fa-IR"/>
        </w:rPr>
        <w:t xml:space="preserve">آزادی بیان در اعلامیه اسلامی حقوق بشر و قانون اساسی جمهوری اسلامی ایران به شروط مشابهی مقید شده است؛ در اعلامیه اسلامی حقوق بشر، آزادی بیان به عدم مغایرت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قانون اساسی جمهوری اسلامی ایران به عدم مغایرت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اسلامی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سه بند، آزادی بیان و شرایط آن را</w:t>
      </w:r>
    </w:p>
    <w:p>
      <w:pPr>
        <w:pStyle w:val="BookText"/>
        <w:rPr/>
      </w:pPr>
      <w:r>
        <w:rPr>
          <w:rFonts w:ascii="IRNazanin" w:hAnsi="IRNazanin" w:eastAsia="IRNazanin"/>
          <w:color w:val="111111"/>
          <w:sz w:val="28"/>
          <w:sz w:val="28"/>
          <w:szCs w:val="28"/>
          <w:rtl w:val="true"/>
          <w:lang w:bidi="fa-IR"/>
        </w:rPr>
        <w:t>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حق دارد که نظر خود را به هر شکلی که مغایر با اصول شرعی نباشد، آزادانه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حق دارد برای خیر و نهی از منکر بر طبق ضوابط شریعت اسلامی</w:t>
      </w:r>
    </w:p>
    <w:p>
      <w:pPr>
        <w:pStyle w:val="BookText"/>
        <w:rPr/>
      </w:pPr>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یک ضرورت حیاتی برای جامعه است و سوء استفاده و سوء استعمال</w:t>
      </w:r>
    </w:p>
    <w:p>
      <w:pPr>
        <w:pStyle w:val="BookText"/>
        <w:rPr/>
      </w:pPr>
      <w:r>
        <w:rPr>
          <w:rFonts w:ascii="IRNazanin" w:hAnsi="IRNazanin" w:eastAsia="IRNazanin"/>
          <w:color w:val="111111"/>
          <w:sz w:val="28"/>
          <w:sz w:val="28"/>
          <w:szCs w:val="28"/>
          <w:rtl w:val="true"/>
          <w:lang w:bidi="fa-IR"/>
        </w:rPr>
        <w:t>آن و حمله به مقدسات و کرامت انبیا، یا به کارگیری هر چیزی که منجر به ایجاد اختلال در ارزشها یا متشتت شدن جامعه یا زیان یا متلاشی شدن اعتقاد شود، ممنوع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حق دعوت به خیر و نهی از منکر و نیز حق تبلیغات، هر کدام به نحوی، جزو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همان حق آزادی بیان است که در بند الف به طور کلی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p>
    <w:p>
      <w:pPr>
        <w:pStyle w:val="BookText"/>
        <w:rPr/>
      </w:pPr>
      <w:r>
        <w:rPr>
          <w:rFonts w:ascii="IRNazanin" w:hAnsi="IRNazanin" w:eastAsia="IRNazanin"/>
          <w:color w:val="111111"/>
          <w:sz w:val="28"/>
          <w:sz w:val="28"/>
          <w:szCs w:val="28"/>
          <w:rtl w:val="true"/>
          <w:lang w:bidi="fa-IR"/>
        </w:rPr>
        <w:t>روشن است، هر کدام از این بندها شرط یا شرطهایی را برای آزادی بیان، که حق مسلم هر فردی از افراد جامعه انسانی دانسته شده است،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مغایرت با اصول و ضوابط شرعی، عدم سوء استفاده و سوء اعمال این حق، عدم حمله به مقدسات و کرامت انبیا، عدم اخلال در ارزشها و تشتت در جامعه و زیان نرساندن به اعتقاد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اساسی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گر چه اصل خاصی به طور صریح، به آزادی بیان اختصاص نیافته است و لكن به طور ضمنی در سه اصل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کلی و ویژگیهای آن توضیح داده شده است؛ در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مطبوعات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 و مطبوعات در بیان مطالب آزادند، مگر آنکه مخل به مبانی اسلام یا حقوق</w:t>
      </w:r>
    </w:p>
    <w:p>
      <w:pPr>
        <w:pStyle w:val="BookText"/>
        <w:rPr/>
      </w:pPr>
      <w:r>
        <w:rPr>
          <w:rFonts w:ascii="IRNazanin" w:hAnsi="IRNazanin" w:eastAsia="IRNazanin"/>
          <w:color w:val="111111"/>
          <w:sz w:val="28"/>
          <w:sz w:val="28"/>
          <w:szCs w:val="28"/>
          <w:rtl w:val="true"/>
          <w:lang w:bidi="fa-IR"/>
        </w:rPr>
        <w:t xml:space="preserve">عمومی باشد، تفصیل آن را قانون معین می کند </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آزادی احزاب، جمعیتها و انجمنهای سیاسی و صنفی و</w:t>
      </w:r>
    </w:p>
    <w:p>
      <w:pPr>
        <w:pStyle w:val="BookText"/>
        <w:rPr/>
      </w:pPr>
      <w:r>
        <w:rPr>
          <w:rFonts w:ascii="IRNazanin" w:hAnsi="IRNazanin" w:eastAsia="IRNazanin"/>
          <w:color w:val="111111"/>
          <w:sz w:val="28"/>
          <w:sz w:val="28"/>
          <w:szCs w:val="28"/>
          <w:rtl w:val="true"/>
          <w:lang w:bidi="fa-IR"/>
        </w:rPr>
        <w:t xml:space="preserve">انجمنهای اسلامی یا اقلیتهای دینی است، و نیز اصل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مبین آزادی تشکیل</w:t>
      </w:r>
    </w:p>
    <w:p>
      <w:pPr>
        <w:pStyle w:val="BookText"/>
        <w:rPr/>
      </w:pPr>
      <w:r>
        <w:rPr>
          <w:rFonts w:ascii="IRNazanin" w:hAnsi="IRNazanin" w:eastAsia="IRNazanin"/>
          <w:color w:val="111111"/>
          <w:sz w:val="28"/>
          <w:sz w:val="28"/>
          <w:szCs w:val="28"/>
          <w:rtl w:val="true"/>
          <w:lang w:bidi="fa-IR"/>
        </w:rPr>
        <w:t>اجتماعات و راهپیمایی ها می باشد، در واقع بیانگر آزادی بیان هم هست؛ زیرا لازمه تشکیل احزاب و تشکیل اجتماعات راهپیمایی، اظهار اهداف، خواسته ها، اندیشه ها و آرمانهای جمعی و تشکیلاتی قشر یا قشرهایی از مردم است، این خود مصداق بارز بیان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آزادی بیان جمعی فرع بر آزادی بیان برای افراد می باشد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آزادی بیان در این سه اصل مشروط شده است به عدم اخلال به مبانی اسلام و حقوق عمومی، عدم نقض استقلال، آزادی و وحدت ملی، عدم نقض موازین اسلامی و اساس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در خصوص حق آزادی بیان برای نمایندگان مجلس آمده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مجلس در مقام ایفای وظایف نمایندگی در اظهار نظر و رأی خود کاملا آزادند و نمی توان آنها را به سبب نظراتی که در مجلس اظهار کرده اند، یا آرایی که در مقام ایفای وظایف نمایندگی خود داده اند، تعقیب یا توقیف کرد</w:t>
      </w:r>
      <w:r>
        <w:rPr>
          <w:rFonts w:eastAsia="IRNazanin" w:cs="IRNazanin"/>
          <w:color w:val="111111"/>
          <w:sz w:val="28"/>
          <w:szCs w:val="28"/>
          <w:rtl w:val="true"/>
          <w:lang w:bidi="fa-IR"/>
        </w:rPr>
        <w:t xml:space="preserve">. </w:t>
      </w:r>
      <w:r>
        <w:rPr>
          <w:rStyle w:val="FootnoteAnchor"/>
          <w:rtl w:val="true"/>
        </w:rPr>
        <w:footnoteReference w:id="464"/>
      </w:r>
      <w:bookmarkStart w:id="436" w:name="pg6894_74650"/>
    </w:p>
    <w:p>
      <w:pPr>
        <w:pStyle w:val="BookText"/>
        <w:rPr/>
      </w:pPr>
      <w:bookmarkEnd w:id="436"/>
      <w:r>
        <w:rPr>
          <w:rFonts w:ascii="IRNazanin" w:hAnsi="IRNazanin" w:eastAsia="IRNazanin"/>
          <w:color w:val="111111"/>
          <w:sz w:val="28"/>
          <w:sz w:val="28"/>
          <w:szCs w:val="28"/>
          <w:rtl w:val="true"/>
          <w:lang w:bidi="fa-IR"/>
        </w:rPr>
        <w:t>این اصل گر چه آزادی بیان را، به طور مطلق و عاری از هر گونه قيد، فقط برای</w:t>
      </w:r>
    </w:p>
    <w:p>
      <w:pPr>
        <w:pStyle w:val="BookText"/>
        <w:rPr/>
      </w:pPr>
      <w:r>
        <w:rPr>
          <w:rFonts w:ascii="IRNazanin" w:hAnsi="IRNazanin" w:eastAsia="IRNazanin"/>
          <w:color w:val="111111"/>
          <w:sz w:val="28"/>
          <w:sz w:val="28"/>
          <w:szCs w:val="28"/>
          <w:rtl w:val="true"/>
          <w:lang w:bidi="fa-IR"/>
        </w:rPr>
        <w:t>نمایندگان مجلس شورای اسلامی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جلال الدين مدنی از این</w:t>
      </w:r>
    </w:p>
    <w:p>
      <w:pPr>
        <w:pStyle w:val="BookText"/>
        <w:rPr/>
      </w:pPr>
      <w:r>
        <w:rPr>
          <w:rFonts w:ascii="IRNazanin" w:hAnsi="IRNazanin" w:eastAsia="IRNazanin"/>
          <w:color w:val="111111"/>
          <w:sz w:val="28"/>
          <w:sz w:val="28"/>
          <w:szCs w:val="28"/>
          <w:rtl w:val="true"/>
          <w:lang w:bidi="fa-IR"/>
        </w:rPr>
        <w:t>اصل آزادی بیان را برای تمام افراد جامعه استنباط میکند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قبول نیست که وکیل شخصی از حقوقی برخوردار باشد که موکل، آن حقوق و</w:t>
      </w:r>
    </w:p>
    <w:p>
      <w:pPr>
        <w:pStyle w:val="BookText"/>
        <w:rPr/>
      </w:pPr>
      <w:r>
        <w:rPr>
          <w:rFonts w:ascii="IRNazanin" w:hAnsi="IRNazanin" w:eastAsia="IRNazanin"/>
          <w:color w:val="111111"/>
          <w:sz w:val="28"/>
          <w:sz w:val="28"/>
          <w:szCs w:val="28"/>
          <w:rtl w:val="true"/>
          <w:lang w:bidi="fa-IR"/>
        </w:rPr>
        <w:t>اختیارات را نداشته باشد</w:t>
      </w:r>
      <w:r>
        <w:rPr>
          <w:rFonts w:eastAsia="IRNazanin" w:cs="IRNazanin"/>
          <w:color w:val="111111"/>
          <w:sz w:val="28"/>
          <w:szCs w:val="28"/>
          <w:rtl w:val="true"/>
          <w:lang w:bidi="fa-IR"/>
        </w:rPr>
        <w:t xml:space="preserve">. </w:t>
      </w:r>
      <w:r>
        <w:rPr>
          <w:rStyle w:val="FootnoteAnchor"/>
          <w:rtl w:val="true"/>
        </w:rPr>
        <w:footnoteReference w:id="465"/>
      </w:r>
    </w:p>
    <w:p>
      <w:pPr>
        <w:pStyle w:val="Heading4"/>
        <w:numPr>
          <w:ilvl w:val="3"/>
          <w:numId w:val="1"/>
        </w:numPr>
        <w:rPr/>
      </w:pPr>
      <w:bookmarkStart w:id="437" w:name="__RefHeading___Toc1440552_372815092"/>
      <w:bookmarkStart w:id="438" w:name="_Toc162"/>
      <w:bookmarkEnd w:id="437"/>
      <w:r>
        <w:rPr>
          <w:rtl w:val="true"/>
        </w:rPr>
        <w:t>هم سنجی دو دیدگاه</w:t>
      </w:r>
      <w:bookmarkEnd w:id="438"/>
    </w:p>
    <w:p>
      <w:pPr>
        <w:pStyle w:val="BookText"/>
        <w:rPr/>
      </w:pPr>
      <w:r>
        <w:rPr>
          <w:rFonts w:ascii="IRNazanin" w:hAnsi="IRNazanin" w:eastAsia="IRNazanin"/>
          <w:color w:val="111111"/>
          <w:sz w:val="28"/>
          <w:sz w:val="28"/>
          <w:szCs w:val="28"/>
          <w:rtl w:val="true"/>
          <w:lang w:bidi="fa-IR"/>
        </w:rPr>
        <w:t>در باب هم سنجی دیدگاه اسلام و دنیای غرب، در خصوص حقوق و آزادیها و از آن جمله آزادی بیان، نظریات متفاوتی ابراز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نظریه پردازان، بخصوص مستشرقین تلاش داشته اند تا اسلام را، به دلیل این که بر اصول و معیارهای ثابت الهی استوار و به الزامات و قیودات ارزشی و اخلاقی وفادار می باشد، با مسیحیت حاکم دوران قرون وسطی از یک تیره به حساب آورده و آن را مخالف هو نوع آزادی و ناقض حقوق بشر به معنی امروزی آن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 دیگری نیز در دنیای اسلام وجود دارند که تحت تأثیر شکوه علمی و هیمنه اقتصادی دنیای غرب، در یک خودباختگی مطلق، مأیوسانه تلاش کرده اند تا اثبات کنند که هر آنچه دنیای مدرن و مترقی غرب شعارش را می دهد، اسلام هزار و چهارصد سال پیش مثل آن، بلکه بالاتر از آن را برای جامعه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ای از زبان این گونه افراد، در صفحات قبل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موضع اسلام درباره آزادی بیان، آیات قرآنی و روایاتی از کتب روایی</w:t>
      </w:r>
    </w:p>
    <w:p>
      <w:pPr>
        <w:pStyle w:val="BookText"/>
        <w:rPr/>
      </w:pPr>
      <w:r>
        <w:rPr>
          <w:rFonts w:ascii="IRNazanin" w:hAnsi="IRNazanin" w:eastAsia="IRNazanin"/>
          <w:color w:val="111111"/>
          <w:sz w:val="28"/>
          <w:sz w:val="28"/>
          <w:szCs w:val="28"/>
          <w:rtl w:val="true"/>
          <w:lang w:bidi="fa-IR"/>
        </w:rPr>
        <w:t>معتبر، در بخش دیدگاه اسلام، نقل شد و نیز نظریات فقها و اندیشمندان برجسته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و موادی از اعلامیه اسلامی حقوق بشر و قانون اساسی جمهوری اسلامی بازگو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اسلام اصل آزادی بیان را برای تک تک افراد جامعه به رسمیت </w:t>
      </w:r>
    </w:p>
    <w:p>
      <w:pPr>
        <w:pStyle w:val="BookText"/>
        <w:rPr/>
      </w:pPr>
      <w:r>
        <w:rPr>
          <w:rFonts w:ascii="IRNazanin" w:hAnsi="IRNazanin" w:eastAsia="IRNazanin"/>
          <w:color w:val="111111"/>
          <w:sz w:val="28"/>
          <w:sz w:val="28"/>
          <w:szCs w:val="28"/>
          <w:rtl w:val="true"/>
          <w:lang w:bidi="fa-IR"/>
        </w:rPr>
        <w:t>می شناسد و در این مورد هیچ استثنایی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متن اسلام هیچ</w:t>
      </w:r>
    </w:p>
    <w:p>
      <w:pPr>
        <w:pStyle w:val="BookText"/>
        <w:rPr/>
      </w:pPr>
      <w:r>
        <w:rPr>
          <w:rFonts w:ascii="IRNazanin" w:hAnsi="IRNazanin" w:eastAsia="IRNazanin"/>
          <w:color w:val="111111"/>
          <w:sz w:val="28"/>
          <w:sz w:val="28"/>
          <w:szCs w:val="28"/>
          <w:rtl w:val="true"/>
          <w:lang w:bidi="fa-IR"/>
        </w:rPr>
        <w:t>مستمسکی برای ممنوعیت آزادی بیان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خلفا، امرا و سلاطین دولتهای اسلامی نیز، علی رغم اینکه اکثریت قریب</w:t>
      </w:r>
    </w:p>
    <w:p>
      <w:pPr>
        <w:pStyle w:val="BookText"/>
        <w:rPr/>
      </w:pPr>
      <w:r>
        <w:rPr>
          <w:rFonts w:ascii="IRNazanin" w:hAnsi="IRNazanin" w:eastAsia="IRNazanin"/>
          <w:color w:val="111111"/>
          <w:sz w:val="28"/>
          <w:sz w:val="28"/>
          <w:szCs w:val="28"/>
          <w:rtl w:val="true"/>
          <w:lang w:bidi="fa-IR"/>
        </w:rPr>
        <w:t xml:space="preserve">به اتفاق آنها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تعهد خاصی به اصول شریعت اسلامی نداشته اند، ولی باز هم، به دلیل روشن بودن دیدگاه اسلام در مورد حق آزادی بیان، هیچ برخوردی شبیه آنچه در قرون وسطی از طریق ارباب کلیسا انجام می شد، با این پدیده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چنین نتیجه گرفت که اسلام با دنیای غرب در اصل ضرورت</w:t>
      </w:r>
    </w:p>
    <w:p>
      <w:pPr>
        <w:pStyle w:val="BookText"/>
        <w:rPr/>
      </w:pPr>
      <w:r>
        <w:rPr>
          <w:rFonts w:ascii="IRNazanin" w:hAnsi="IRNazanin" w:eastAsia="IRNazanin"/>
          <w:color w:val="111111"/>
          <w:sz w:val="28"/>
          <w:sz w:val="28"/>
          <w:szCs w:val="28"/>
          <w:rtl w:val="true"/>
          <w:lang w:bidi="fa-IR"/>
        </w:rPr>
        <w:t>برخورداری افراد از حق آزادی بیان، قطع نظر از اهداف، انگیزه ها، نحوه بهره گیری و حدود آن، نظر همسانی دارد؛ آزادی بیان همچنان که در اعلامیه جهانی حقوق بشر و قوانین اساسی کشورهای غربی، جزو حقوق اساسی افراد جامعه بشری دانسته شده است، در اسلام نیز از آن به عنوان یک حق فطری، طبیعی و خدادادی، در جای جای منابع اسلامی، نام برده شده است و جزء نیازهای اساسی و لوازم شخصیت انسانی بشر به حساب آمده و سرانجام در اعلامیه حقوق بشر اسلامی نیز انعکاس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تجلی اسلام بی شباهت به دوران بروز عصر تجددخواهی و نوزایی در غرب نبود؛ اندیشه انسان ساز و نجات بخش اسلام در محیطی خفقانی و تحجرگرایی دوران جاهلیت به بشر اسیر و در بند سنتهای موهوم جاهلی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تلاش در جهت آزادی اندیشه و بیان و رهایی از قید و سنتهای تثبیت شده جاهلی یکی از محورهای مبارزاتی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حدود و دامنه آزادی بیان و نحوه بهره برداری افراد جامعه از این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اساسی، باید گفت دیدگاه اسلام با نظر رایج در دنیای غرب تطابق کامل ندارد؛ از این جهت، نگرش اسلام با آنچه در دنیای غرب تثبیت شده است، دارای تفاوت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مدون غرب معمولا اطلاق آزادی بیان را، چنانچه گذشت، جز یک شرط مقید نمی کند ولی در منابع اسلامی مربوط قيود بیشتری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نگرش اسلام، در عین اینکه باید آزاد باشد، مسؤول نیز هست؛ یعنی آزادی او توأم با مسؤولیت </w:t>
      </w:r>
    </w:p>
    <w:p>
      <w:pPr>
        <w:pStyle w:val="BookText"/>
        <w:rPr/>
      </w:pPr>
      <w:r>
        <w:rPr>
          <w:rFonts w:ascii="IRNazanin" w:hAnsi="IRNazanin" w:eastAsia="IRNazanin"/>
          <w:color w:val="111111"/>
          <w:sz w:val="28"/>
          <w:sz w:val="28"/>
          <w:szCs w:val="28"/>
          <w:rtl w:val="true"/>
          <w:lang w:bidi="fa-IR"/>
        </w:rPr>
        <w:t xml:space="preserve">است؛ مسؤولیت در برابر حق آزادی دیگران، مسؤولیت در برابر کرامت ذاتی خود و جامعه خویش، مسؤولیت در برابر اصول و معیارهایی که مکتب وحی برای رشد، تعالی و تکامل فرد و جامعه پیش پای او قرار داده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تجلی آزادی بیان در اعلامیه جهانی حقوق بشر توضیح داده شد که تنها</w:t>
      </w:r>
    </w:p>
    <w:p>
      <w:pPr>
        <w:pStyle w:val="BookText"/>
        <w:rPr/>
      </w:pPr>
      <w:r>
        <w:rPr>
          <w:rFonts w:ascii="IRNazanin" w:hAnsi="IRNazanin" w:eastAsia="IRNazanin"/>
          <w:color w:val="111111"/>
          <w:sz w:val="28"/>
          <w:sz w:val="28"/>
          <w:szCs w:val="28"/>
          <w:rtl w:val="true"/>
          <w:lang w:bidi="fa-IR"/>
        </w:rPr>
        <w:t>قید عمده ای که برای آزادی بیان در اسناد اساسی سازمانهای بین المللی و نیز قوانین اساسی کشورهای غربی در نظر گرفته شده است، محدودیتهایی است که به وسیله قانون موضوعه به منظور تأمین شناسایی و مراعات حقوق و آزادیهای دیگران، بیان شده باشد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اما در اسلام، حق آزادی بیان نه تنها مشروط به عدم نقض حقوق دیگران است، بلکه مقید به عدم تجاوز از معیارهای شرعی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 اسلامی حقوق بشر حق آزادی بیان و تبلیغات، بصراحت، مشروط شده است به عدم مغایرت با اصول شرعی، عدم سوءاستفاده و سوء اعمال این حق، عدم حمله به مقدسات و کرامت انبیا، عدم ایجاد اخلال در ارزشها و تشتت در جامعه و زیان نرساندن به اعتقاد مردم</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در قانون اساسی نیز، همان طور که اشاره شد، استفاده افراد از حق آزادی بیان به عدم اخلال در مبانی اسلام، حقوق عمومی، موازین جمهوری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شده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اصول و مقرراتی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در اسلام وجود دارد که هر کدام می تواند به نوبه خود شرطی و محدودیتی برای آزادی بیان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گمراه کردن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حرمت نشر، جمع آوری، حفظ و پخش کتب ضاله، ممنوعیت توهین به مقدسات دینی و مذهبی، ممنوعیت افشای اسرار، ممنوعیت توطئه، ممنوعیت اظهار کفر بر فرد مسلمان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موارد فوق که جزء مسلمات شریعت اسلامی است، محدود کننده دامنه استفاده از حق آزادی بیان می باشد که مقام بحث تفصیلی آن اینجا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بزرگان که وجود این مقررات قطعی در اسلام را اشکالاتی بر اصل آزادی </w:t>
      </w:r>
    </w:p>
    <w:p>
      <w:pPr>
        <w:pStyle w:val="BookText"/>
        <w:rPr/>
      </w:pPr>
      <w:r>
        <w:rPr>
          <w:rFonts w:ascii="IRNazanin" w:hAnsi="IRNazanin" w:eastAsia="IRNazanin"/>
          <w:color w:val="111111"/>
          <w:sz w:val="28"/>
          <w:sz w:val="28"/>
          <w:szCs w:val="28"/>
          <w:rtl w:val="true"/>
          <w:lang w:bidi="fa-IR"/>
        </w:rPr>
        <w:t>بیان و از موانع آن پنداشته اند، تلاش کرده اند برای رفع خدشه ای که از این طریق بر آزادی بیان در اسلام وارد می شود، به نحوی آنها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اسلام آزادی بیان را با همین قیود زیبنده حیات متعالی و معقول افراد جامعه انسانی می داند، نه آزادی مطلق و رها از هر گونه قید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صرف مراعات آزادی دیگران کافی نیست، باید مبانی شرعی و مقررات اخلاقی نیز برای استفاده از این حق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تفاوت دیدگاه اسلام و غرب در مورد حدود آزادی بیان کاملا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باشد؛ زیرا اساسأ نگاه این دو مکتب به انسان، تاریخ، جامعه و هستی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انگیزه هایی که هر کدام برای انسان و زندگی فردی و اجتماعی او ترسیم می کند، در تضاد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انتظار داشت هر دو به آزادی انسان و نحوه بهره برداری از آن کاملا یکسان بیندیشند</w:t>
      </w:r>
      <w:r>
        <w:rPr>
          <w:rFonts w:eastAsia="IRNazanin" w:cs="IRNazanin"/>
          <w:color w:val="111111"/>
          <w:sz w:val="28"/>
          <w:szCs w:val="28"/>
          <w:rtl w:val="true"/>
          <w:lang w:bidi="fa-IR"/>
        </w:rPr>
        <w:t xml:space="preserve">. </w:t>
      </w:r>
      <w:bookmarkStart w:id="439" w:name="pg6894_74654"/>
    </w:p>
    <w:p>
      <w:pPr>
        <w:pStyle w:val="Heading4"/>
        <w:numPr>
          <w:ilvl w:val="3"/>
          <w:numId w:val="1"/>
        </w:numPr>
        <w:rPr/>
      </w:pPr>
      <w:bookmarkStart w:id="440" w:name="__RefHeading___Toc1440554_372815092"/>
      <w:bookmarkStart w:id="441" w:name="_Toc163"/>
      <w:bookmarkEnd w:id="439"/>
      <w:bookmarkEnd w:id="440"/>
      <w:r>
        <w:rPr>
          <w:rtl w:val="true"/>
        </w:rPr>
        <w:t>کتابنامه</w:t>
      </w:r>
      <w:bookmarkEnd w:id="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و سیر تکامل آن در غرب، چاپ اول، مؤسسه انتشارات آسيا، تهران، </w:t>
      </w:r>
      <w:r>
        <w:rPr>
          <w:rFonts w:eastAsia="IRNazanin" w:cs="IRNazanin"/>
          <w:color w:val="111111"/>
          <w:sz w:val="28"/>
          <w:szCs w:val="28"/>
          <w:lang w:bidi="fa-IR"/>
        </w:rPr>
        <w:t>1343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حقوق طبیعی، دارالتبليغ الاسلامی،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سیدمحمد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و آزادی در جمهوری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پاسدار اسلام، سال دوم،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بیات، اسدالله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و اهمیت آن از دیدگاه اسلام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پاسدار اسلام، شماره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پوپر،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این قرن، ترجمه علی پایا، چاپ اول، انتشارات طرح نو،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تبریزی،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دو نظام حقوق جهانی بشر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خدمات حقوقی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تبریزی، محمدتقی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اصل آزادی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كيهان فرهنگی، سال هشتم،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روسو، ژان ژاک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 زاده، انتشارات تابان، چاپ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كيهان فرهنگی، سال نهم،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بیتا، چاپ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گفتارهایی در حقوق عمومی،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دادگستر،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محمودی، سیدعلی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عوامل آزادی در فلسفه هابز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كيهان اندیشه، شماره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اساسی در جمهوری اسلامی ایران، سروش،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اساسی و نهادهای اساسی، علامه طباطبایی،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دارالکتب الاسلامیه،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منصوری لاریجانی،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تحول حقوق بشر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تابان،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نجومیان،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حقوق تطبیقی در نظامهای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جعفری،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سال پنجم،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یا هرج و 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پاسدار اسلام، سال دوم،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442" w:name="pg6894_74655"/>
    </w:p>
    <w:p>
      <w:pPr>
        <w:pStyle w:val="Heading3"/>
        <w:numPr>
          <w:ilvl w:val="2"/>
          <w:numId w:val="1"/>
        </w:numPr>
        <w:rPr/>
      </w:pPr>
      <w:bookmarkStart w:id="443" w:name="__RefHeading___Toc1440556_372815092"/>
      <w:bookmarkStart w:id="444" w:name="_Toc164"/>
      <w:bookmarkEnd w:id="442"/>
      <w:bookmarkEnd w:id="443"/>
      <w:r>
        <w:rPr>
          <w:rtl w:val="true"/>
        </w:rPr>
        <w:t>حقوق اقلیتها در اسلام و اعلامیه های حقوق بشر</w:t>
      </w:r>
      <w:bookmarkEnd w:id="444"/>
    </w:p>
    <w:p>
      <w:pPr>
        <w:pStyle w:val="Heading4"/>
        <w:numPr>
          <w:ilvl w:val="3"/>
          <w:numId w:val="1"/>
        </w:numPr>
        <w:rPr/>
      </w:pPr>
      <w:bookmarkStart w:id="445" w:name="__RefHeading___Toc1440558_372815092"/>
      <w:bookmarkStart w:id="446" w:name="_Toc165"/>
      <w:bookmarkEnd w:id="445"/>
      <w:r>
        <w:rPr>
          <w:rtl w:val="true"/>
        </w:rPr>
        <w:t>پیشگفتار</w:t>
      </w:r>
      <w:bookmarkEnd w:id="446"/>
    </w:p>
    <w:p>
      <w:pPr>
        <w:pStyle w:val="BookText"/>
        <w:rPr/>
      </w:pPr>
      <w:r>
        <w:rPr>
          <w:rFonts w:ascii="IRNazanin" w:hAnsi="IRNazanin" w:eastAsia="IRNazanin"/>
          <w:color w:val="111111"/>
          <w:sz w:val="28"/>
          <w:sz w:val="28"/>
          <w:szCs w:val="28"/>
          <w:rtl w:val="true"/>
          <w:lang w:bidi="fa-IR"/>
        </w:rPr>
        <w:t>افراد حاضر در یک کشور، در یکی از سه دسته زیر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جمعیت بیشتری از افراد یک کشور را تشکیل می دهند و از نظر زبان،</w:t>
      </w:r>
    </w:p>
    <w:p>
      <w:pPr>
        <w:pStyle w:val="BookText"/>
        <w:rPr/>
      </w:pPr>
      <w:r>
        <w:rPr>
          <w:rFonts w:ascii="IRNazanin" w:hAnsi="IRNazanin" w:eastAsia="IRNazanin"/>
          <w:color w:val="111111"/>
          <w:sz w:val="28"/>
          <w:sz w:val="28"/>
          <w:szCs w:val="28"/>
          <w:rtl w:val="true"/>
          <w:lang w:bidi="fa-IR"/>
        </w:rPr>
        <w:t>مذهب یا نژاد با همدیگر وجه مشترک دارند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کمتری از افراد یک سرزمین را شامل است و از لحاظ دین و مذهب یا نژاد</w:t>
      </w:r>
    </w:p>
    <w:p>
      <w:pPr>
        <w:pStyle w:val="BookText"/>
        <w:rPr/>
      </w:pPr>
      <w:r>
        <w:rPr>
          <w:rFonts w:ascii="IRNazanin" w:hAnsi="IRNazanin" w:eastAsia="IRNazanin"/>
          <w:color w:val="111111"/>
          <w:sz w:val="28"/>
          <w:sz w:val="28"/>
          <w:szCs w:val="28"/>
          <w:rtl w:val="true"/>
          <w:lang w:bidi="fa-IR"/>
        </w:rPr>
        <w:t>از اکثریت ممتاز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دارای تابعیت خارجی هستند و به نحو دایم یا موقت در سرزمین دیگری</w:t>
      </w:r>
    </w:p>
    <w:p>
      <w:pPr>
        <w:pStyle w:val="BookText"/>
        <w:rPr/>
      </w:pPr>
      <w:r>
        <w:rPr>
          <w:rFonts w:ascii="IRNazanin" w:hAnsi="IRNazanin" w:eastAsia="IRNazanin"/>
          <w:color w:val="111111"/>
          <w:sz w:val="28"/>
          <w:sz w:val="28"/>
          <w:szCs w:val="28"/>
          <w:rtl w:val="true"/>
          <w:lang w:bidi="fa-IR"/>
        </w:rPr>
        <w:t>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حاضر در مورد حقوق افراد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یکی از موارد اختلاف میان نهادهای بین المللی حقوق بشر و دولتها بوده </w:t>
      </w:r>
      <w:bookmarkStart w:id="447" w:name="pg6894_74656"/>
    </w:p>
    <w:p>
      <w:pPr>
        <w:pStyle w:val="BookText"/>
        <w:rPr/>
      </w:pPr>
      <w:bookmarkEnd w:id="4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اعلامیه جهانی حقوق بشر و مصوبات سایر پیمانهای بین المللی در این زمینه، افکار عمومی جهانیان بیشتر به سوی این موضوع جلب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دین اسلام که برنامه اداره کردن اجتماع و تأمین یک زندگی سعادتمند برای انسانها در قالب نهادهای اجتماعی رایج در عصر حاضر را با خود دارد، نیز در طول تاریخ خویش، در میان جوامع مسلمان، همواره اقلیتهایی را سرپرستی و اداره می کرده است و برای آنها حقوق و مسئولیتهایی را در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حاضر، سعی شده است که مقایسه ای بین این دو نظام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اسلام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مراحل این تحقیق مشکلاتی مانند فقدان منابع اسلامی در بعضی از عناوین بحث، وجود داشته، ولی تلاش شده است که در نهایت با توجه به مبانی اسلام و یا حتی استفتا از مراجع تقلید فعلی، حکم آن مبحث معین و راه حلی برای آن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دقت خوانندگان عزیز و تذکرات اصلاحگرانه آنها در پربارتر شدن</w:t>
      </w:r>
    </w:p>
    <w:p>
      <w:pPr>
        <w:pStyle w:val="BookText"/>
        <w:rPr/>
      </w:pPr>
      <w:r>
        <w:rPr>
          <w:rFonts w:ascii="IRNazanin" w:hAnsi="IRNazanin" w:eastAsia="IRNazanin"/>
          <w:color w:val="111111"/>
          <w:sz w:val="28"/>
          <w:sz w:val="28"/>
          <w:szCs w:val="28"/>
          <w:rtl w:val="true"/>
          <w:lang w:bidi="fa-IR"/>
        </w:rPr>
        <w:t>این مقاله و رفع نواقص آن کمک شایانی خواهد کرد و راهگشای ما در کارهای بعدی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نوشتار گامی در جهت برطرف شدن ابهامات موجود در این زمینه باشد</w:t>
      </w:r>
      <w:r>
        <w:rPr>
          <w:rFonts w:eastAsia="IRNazanin" w:cs="IRNazanin"/>
          <w:color w:val="111111"/>
          <w:sz w:val="28"/>
          <w:szCs w:val="28"/>
          <w:rtl w:val="true"/>
          <w:lang w:bidi="fa-IR"/>
        </w:rPr>
        <w:t>.</w:t>
      </w:r>
    </w:p>
    <w:p>
      <w:pPr>
        <w:pStyle w:val="Heading4"/>
        <w:numPr>
          <w:ilvl w:val="3"/>
          <w:numId w:val="1"/>
        </w:numPr>
        <w:rPr/>
      </w:pPr>
      <w:bookmarkStart w:id="448" w:name="__RefHeading___Toc1440560_372815092"/>
      <w:bookmarkStart w:id="449" w:name="_Toc166"/>
      <w:bookmarkEnd w:id="448"/>
      <w:r>
        <w:rPr>
          <w:rtl w:val="true"/>
        </w:rPr>
        <w:t>کلیات</w:t>
      </w:r>
      <w:bookmarkEnd w:id="449"/>
    </w:p>
    <w:p>
      <w:pPr>
        <w:pStyle w:val="Heading5"/>
        <w:numPr>
          <w:ilvl w:val="4"/>
          <w:numId w:val="1"/>
        </w:numPr>
        <w:rPr/>
      </w:pPr>
      <w:bookmarkStart w:id="450" w:name="__RefHeading___Toc1440562_372815092"/>
      <w:bookmarkStart w:id="451" w:name="_Toc167"/>
      <w:bookmarkEnd w:id="450"/>
      <w:r>
        <w:rPr>
          <w:rtl w:val="true"/>
        </w:rPr>
        <w:t>تعریف لغوی و اصطلاحی اقلیت</w:t>
      </w:r>
      <w:bookmarkEnd w:id="451"/>
    </w:p>
    <w:p>
      <w:pPr>
        <w:pStyle w:val="BookText"/>
        <w:rPr/>
      </w:pPr>
      <w:r>
        <w:rPr>
          <w:rFonts w:ascii="IRNazanin" w:hAnsi="IRNazanin" w:eastAsia="IRNazanin"/>
          <w:color w:val="111111"/>
          <w:sz w:val="28"/>
          <w:sz w:val="28"/>
          <w:szCs w:val="28"/>
          <w:rtl w:val="true"/>
          <w:lang w:bidi="fa-IR"/>
        </w:rPr>
        <w:t>اقلیت در لغت به معنی قسمت کمتر، بخش کمتر و مقابل اکثریت آمده است و در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افراد یک کشور یا یک شهر که از لحاظ دین و مذهب یا نژاد از اکثریت ممتاز باشند</w:t>
      </w:r>
      <w:r>
        <w:rPr>
          <w:rFonts w:eastAsia="IRNazanin" w:cs="IRNazanin"/>
          <w:color w:val="111111"/>
          <w:sz w:val="28"/>
          <w:szCs w:val="28"/>
          <w:rtl w:val="true"/>
          <w:lang w:bidi="fa-IR"/>
        </w:rPr>
        <w:t xml:space="preserve">. </w:t>
      </w:r>
      <w:r>
        <w:rPr>
          <w:rStyle w:val="FootnoteAnchor"/>
          <w:rtl w:val="true"/>
        </w:rPr>
        <w:footnoteReference w:id="470"/>
      </w:r>
      <w:bookmarkStart w:id="452" w:name="pg6894_74657"/>
    </w:p>
    <w:p>
      <w:pPr>
        <w:pStyle w:val="Heading5"/>
        <w:numPr>
          <w:ilvl w:val="4"/>
          <w:numId w:val="1"/>
        </w:numPr>
        <w:rPr/>
      </w:pPr>
      <w:bookmarkStart w:id="453" w:name="__RefHeading___Toc1440564_372815092"/>
      <w:bookmarkStart w:id="454" w:name="_Toc168"/>
      <w:bookmarkEnd w:id="452"/>
      <w:bookmarkEnd w:id="453"/>
      <w:r>
        <w:rPr>
          <w:rtl w:val="true"/>
        </w:rPr>
        <w:t>اقلیت در حقوق بین الملل</w:t>
      </w:r>
      <w:bookmarkEnd w:id="454"/>
    </w:p>
    <w:p>
      <w:pPr>
        <w:pStyle w:val="BookText"/>
        <w:rPr/>
      </w:pPr>
      <w:r>
        <w:rPr>
          <w:rFonts w:ascii="IRNazanin" w:hAnsi="IRNazanin" w:eastAsia="IRNazanin"/>
          <w:color w:val="111111"/>
          <w:sz w:val="28"/>
          <w:sz w:val="28"/>
          <w:szCs w:val="28"/>
          <w:rtl w:val="true"/>
          <w:lang w:bidi="fa-IR"/>
        </w:rPr>
        <w:t xml:space="preserve">تلاش سازمان ملل متحد جهت ارائه تعریفی جامع و کامل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جایی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تعاریف مصطلح، توسط فرانسیسکو کاپور تورتی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 ویژه کمیسیون فرعی منع تبعیض و حمایت از اقلیتها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 المللی حقوق مدنی و سیاسی، اقلیت گروهی است که از نظر تعداد از بقیه جمعیت یک کشور کمترند، در وضعیتی غیر حاکم قرار دارند، اعضای آنها تبعه دولت محسوب می شوند، دارای ویژگیهای نژادی، مذهبی یا زبانی متفاوت با بقیه جمعیت می باشند و دارای نوعی از انسجام هستند که به سمت حفظ فرهنگ، ستتها، مذهب یا زبان خود پیش می روند</w:t>
      </w:r>
      <w:r>
        <w:rPr>
          <w:rFonts w:eastAsia="IRNazanin" w:cs="IRNazanin"/>
          <w:color w:val="111111"/>
          <w:sz w:val="28"/>
          <w:szCs w:val="28"/>
          <w:rtl w:val="true"/>
          <w:lang w:bidi="fa-IR"/>
        </w:rPr>
        <w:t xml:space="preserve">. </w:t>
      </w:r>
      <w:r>
        <w:rPr>
          <w:rStyle w:val="FootnoteAnchor"/>
          <w:rtl w:val="true"/>
        </w:rPr>
        <w:footnoteReference w:id="471"/>
      </w:r>
    </w:p>
    <w:p>
      <w:pPr>
        <w:pStyle w:val="Heading5"/>
        <w:numPr>
          <w:ilvl w:val="4"/>
          <w:numId w:val="1"/>
        </w:numPr>
        <w:rPr/>
      </w:pPr>
      <w:bookmarkStart w:id="455" w:name="__RefHeading___Toc1440566_372815092"/>
      <w:bookmarkStart w:id="456" w:name="_Toc169"/>
      <w:bookmarkEnd w:id="455"/>
      <w:r>
        <w:rPr>
          <w:rtl w:val="true"/>
        </w:rPr>
        <w:t>معیارهای تشخیص اقلیت</w:t>
      </w:r>
      <w:bookmarkEnd w:id="456"/>
    </w:p>
    <w:p>
      <w:pPr>
        <w:pStyle w:val="BookText"/>
        <w:rPr/>
      </w:pPr>
      <w:r>
        <w:rPr>
          <w:rFonts w:ascii="IRNazanin" w:hAnsi="IRNazanin" w:eastAsia="IRNazanin"/>
          <w:color w:val="111111"/>
          <w:sz w:val="28"/>
          <w:sz w:val="28"/>
          <w:szCs w:val="28"/>
          <w:rtl w:val="true"/>
          <w:lang w:bidi="fa-IR"/>
        </w:rPr>
        <w:t>به طور کلی، تحقیقاتی که درباره مفهوم اقلیت انجام گرفته، گر چه تاکنون نتیجه</w:t>
      </w:r>
    </w:p>
    <w:p>
      <w:pPr>
        <w:pStyle w:val="BookText"/>
        <w:rPr/>
      </w:pPr>
      <w:r>
        <w:rPr>
          <w:rFonts w:ascii="IRNazanin" w:hAnsi="IRNazanin" w:eastAsia="IRNazanin"/>
          <w:color w:val="111111"/>
          <w:sz w:val="28"/>
          <w:sz w:val="28"/>
          <w:szCs w:val="28"/>
          <w:rtl w:val="true"/>
          <w:lang w:bidi="fa-IR"/>
        </w:rPr>
        <w:t>رضایت بخشی نداده، لیکن می توان از نتایج آن، لااقل معیارهایی را کشف کرد که در تشخیص اقلیت از اکثریت مؤثر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معیارهای تعیین کننده اقلیت، که با مطالعه وجه مشترک گروههای اقلیتی مختلف به دست آمده،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حیث تعداد، نسبت به سایر جمعیت، در اقلیت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طبیعتأ تنها گروههایی مورد حمایت بین المللی قرار می گیرند که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حکومت 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 اقلیتی دیگری به سر می برند و به عبارت دیگر، طبقه حاکمه کشوری که در آن مستقر هستند را تشکیل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اقلیتهایی که زمام قدرت را به طور دسته جمعی در دست دارند، نیازی به حمایت بین المللی ندارند </w:t>
      </w:r>
      <w:bookmarkStart w:id="457" w:name="pg6894_74658"/>
    </w:p>
    <w:p>
      <w:pPr>
        <w:pStyle w:val="BookText"/>
        <w:rPr/>
      </w:pPr>
      <w:bookmarkEnd w:id="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سفیدپوستان آفریقای جنوبی در زمان آپارتاید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مشخصه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 دارای ویژگیهایی می باشند که رفتار شخصی یا</w:t>
      </w:r>
    </w:p>
    <w:p>
      <w:pPr>
        <w:pStyle w:val="BookText"/>
        <w:rPr/>
      </w:pPr>
      <w:r>
        <w:rPr>
          <w:rFonts w:ascii="IRNazanin" w:hAnsi="IRNazanin" w:eastAsia="IRNazanin"/>
          <w:color w:val="111111"/>
          <w:sz w:val="28"/>
          <w:sz w:val="28"/>
          <w:szCs w:val="28"/>
          <w:rtl w:val="true"/>
          <w:lang w:bidi="fa-IR"/>
        </w:rPr>
        <w:t>دسته جمعی آنها را از سایر مردم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دارای ریشه نسبتا عمیقی است، مانند نژاد، رنگ پوست، دین، ملیت، زبان یا به طور کلی فرهنگ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اقلیتهای سیاسی یا اجتماعی در این دسته قرار نمی گیرند، زیرا وابستگی این اشخاص به این گروهها بر اساس اراده آنهاست یا جنبه اجتناب ناپذیری برای آنان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آگاهی به متعلق بودن به گروه اقلیتی از یک سو و وجود</w:t>
      </w:r>
    </w:p>
    <w:p>
      <w:pPr>
        <w:pStyle w:val="BookText"/>
        <w:rPr/>
      </w:pPr>
      <w:r>
        <w:rPr>
          <w:rFonts w:ascii="IRNazanin" w:hAnsi="IRNazanin" w:eastAsia="IRNazanin"/>
          <w:color w:val="111111"/>
          <w:sz w:val="28"/>
          <w:sz w:val="28"/>
          <w:szCs w:val="28"/>
          <w:rtl w:val="true"/>
          <w:lang w:bidi="fa-IR"/>
        </w:rPr>
        <w:t>حس همبستگی از سوی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عنصر دارای اهمیت خاصی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اقلیتها در صورتی قادر به حفظ هویت و فرهنگ خویش هستند که به آن هویت و فرهنگ نخست پای بند و دلبسته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آن است که افراد متعلق به این گروهها به واقعیت وضعیت خود پی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باعث می شود بین آنان، برای نیل به هدف مورد نظر، همبستگی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علایم مشخص کننده وضعیت اقلیتها، اگر چه تعیین کننده نیستند اما مبنایی برای تحقیقات بعدی هستند</w:t>
      </w:r>
      <w:r>
        <w:rPr>
          <w:rFonts w:eastAsia="IRNazanin" w:cs="IRNazanin"/>
          <w:color w:val="111111"/>
          <w:sz w:val="28"/>
          <w:szCs w:val="28"/>
          <w:rtl w:val="true"/>
          <w:lang w:bidi="fa-IR"/>
        </w:rPr>
        <w:t xml:space="preserve">. </w:t>
      </w:r>
      <w:r>
        <w:rPr>
          <w:rStyle w:val="FootnoteAnchor"/>
          <w:rtl w:val="true"/>
        </w:rPr>
        <w:footnoteReference w:id="472"/>
      </w:r>
    </w:p>
    <w:p>
      <w:pPr>
        <w:pStyle w:val="Heading5"/>
        <w:numPr>
          <w:ilvl w:val="4"/>
          <w:numId w:val="1"/>
        </w:numPr>
        <w:rPr/>
      </w:pPr>
      <w:bookmarkStart w:id="458" w:name="__RefHeading___Toc1440568_372815092"/>
      <w:bookmarkStart w:id="459" w:name="_Toc170"/>
      <w:bookmarkEnd w:id="458"/>
      <w:r>
        <w:rPr>
          <w:rtl w:val="true"/>
        </w:rPr>
        <w:t>سابقه تاریخی وضعیت اقلیتها</w:t>
      </w:r>
      <w:bookmarkEnd w:id="459"/>
    </w:p>
    <w:p>
      <w:pPr>
        <w:pStyle w:val="Heading6"/>
        <w:numPr>
          <w:ilvl w:val="5"/>
          <w:numId w:val="1"/>
        </w:numPr>
        <w:rPr/>
      </w:pPr>
      <w:bookmarkStart w:id="460" w:name="__RefHeading___Toc1440570_372815092"/>
      <w:bookmarkStart w:id="461" w:name="_Toc171"/>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صفحات تاریخ مملو از ظلمها و تعدیهایی است که در حق اقلیتها روا داشته شده است؛ چه اقلیتهای قومی، نژادی، زبانی و چه اقلیتهای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تاریخ مراجعه کنیم کمتر موردی را می توان یافت که حکومت اکثریت با اقلیت با مهربانی برخورد و حقوق آنها را مراعات کرده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ترتیب تاریخی به گوشه هایی از نحوه رفتار با اقلیتها در ادوار تاریخ و جوامع مختلف اشاره می کنیم</w:t>
      </w:r>
      <w:r>
        <w:rPr>
          <w:rFonts w:eastAsia="IRNazanin" w:cs="IRNazanin"/>
          <w:color w:val="111111"/>
          <w:sz w:val="28"/>
          <w:szCs w:val="28"/>
          <w:rtl w:val="true"/>
          <w:lang w:bidi="fa-IR"/>
        </w:rPr>
        <w:t xml:space="preserve">. </w:t>
      </w:r>
      <w:bookmarkStart w:id="462" w:name="pg6894_74659"/>
    </w:p>
    <w:p>
      <w:pPr>
        <w:pStyle w:val="Heading6"/>
        <w:numPr>
          <w:ilvl w:val="5"/>
          <w:numId w:val="1"/>
        </w:numPr>
        <w:rPr/>
      </w:pPr>
      <w:bookmarkStart w:id="463" w:name="__RefHeading___Toc1440572_372815092"/>
      <w:bookmarkStart w:id="464" w:name="_Toc172"/>
      <w:bookmarkEnd w:id="462"/>
      <w:bookmarkEnd w:id="463"/>
      <w:r>
        <w:rPr>
          <w:rtl w:val="true"/>
        </w:rPr>
        <w:t>الف</w:t>
      </w:r>
      <w:r>
        <w:rPr>
          <w:rtl w:val="true"/>
        </w:rPr>
        <w:t xml:space="preserve">) </w:t>
      </w:r>
      <w:r>
        <w:rPr>
          <w:rtl w:val="true"/>
        </w:rPr>
        <w:t>وضعیت اقلیتها در قرون اولیه میلادی</w:t>
      </w:r>
      <w:r>
        <w:rPr>
          <w:rtl w:val="true"/>
        </w:rPr>
        <w:t>:</w:t>
      </w:r>
      <w:bookmarkEnd w:id="464"/>
    </w:p>
    <w:p>
      <w:pPr>
        <w:pStyle w:val="Heading6"/>
        <w:numPr>
          <w:ilvl w:val="5"/>
          <w:numId w:val="1"/>
        </w:numPr>
        <w:rPr/>
      </w:pPr>
      <w:bookmarkStart w:id="465" w:name="__RefHeading___Toc1440574_372815092"/>
      <w:bookmarkStart w:id="466" w:name="_Toc173"/>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نظر به این که در این قرون، دو امپراتوری ایران و روم دارای حکومت متشکل و از نهادهای مختلف اجتماعی برخوردار بودند و در آن روزگار جامعه ای متمدن محسوب می شدند، بررسی وضعیت اقلیتها در قرون اولیه را به این دو جامعه اختصاص می دهیم</w:t>
      </w:r>
      <w:r>
        <w:rPr>
          <w:rFonts w:eastAsia="IRNazanin" w:cs="IRNazanin"/>
          <w:color w:val="111111"/>
          <w:sz w:val="28"/>
          <w:szCs w:val="28"/>
          <w:rtl w:val="true"/>
          <w:lang w:bidi="fa-IR"/>
        </w:rPr>
        <w:t>.</w:t>
      </w:r>
    </w:p>
    <w:p>
      <w:pPr>
        <w:pStyle w:val="Heading6"/>
        <w:numPr>
          <w:ilvl w:val="5"/>
          <w:numId w:val="1"/>
        </w:numPr>
        <w:rPr/>
      </w:pPr>
      <w:bookmarkStart w:id="467" w:name="__RefHeading___Toc1440576_372815092"/>
      <w:bookmarkStart w:id="468" w:name="_Toc174"/>
      <w:bookmarkEnd w:id="467"/>
      <w:r>
        <w:rPr/>
        <w:t>1</w:t>
      </w:r>
      <w:r>
        <w:rPr>
          <w:rtl w:val="true"/>
        </w:rPr>
        <w:t xml:space="preserve">. </w:t>
      </w:r>
      <w:r>
        <w:rPr>
          <w:rtl w:val="true"/>
        </w:rPr>
        <w:t>اقلیتها در جامعه ساسانی</w:t>
      </w:r>
      <w:bookmarkEnd w:id="46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کوروش، مشهورترین پادشاه ایران باستان، به عقاید اتباع سرزمینش احترام می گذاشت، به آزادی عقیده و عبادت اعتقاد داشت، از غارت شهرها و تخریب معابد خودداری می کرد، نسبت به مقدسات ملل مغلوب به چشم احترام می نگریست و برای نگهداری پرستشگاهها و معابد از خود کمک مالی می کرد </w:t>
      </w:r>
      <w:r>
        <w:rPr>
          <w:rStyle w:val="FootnoteAnchor"/>
          <w:rtl w:val="true"/>
        </w:rPr>
        <w:footnoteReference w:id="473"/>
      </w:r>
      <w:r>
        <w:rPr>
          <w:rFonts w:ascii="IRNazanin" w:hAnsi="IRNazanin" w:eastAsia="IRNazanin"/>
          <w:color w:val="111111"/>
          <w:sz w:val="28"/>
          <w:sz w:val="28"/>
          <w:szCs w:val="28"/>
          <w:rtl w:val="true"/>
          <w:lang w:bidi="fa-IR"/>
        </w:rPr>
        <w:t>ولی در جامعه ساسانی در کنار مذهب رسمی، یعنی دین زردشت، سایر مذاهب جایگاه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زردشتی، ارتداد از دین ملی را گناهی بزرگ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که چهارمین پیامبر خدا در ردیف بودا، زردشت و مسیح است و دینی مبتنی بر تجرد، صلح طلبی و تورع را اعلام کرد؛ مغان مجاهد و دارای تعصب ملی او را مصلوب کردند و مانویت مجبور شد موفقیت خود را در خارج از مرزهای ایران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موبدان و پادشاهان ساسانی عموما نسبت به یهودیت و مسیحیت تسامح به خرج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یهودیان به ایالات باختری امپراتوری ایران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ساسانیان به قدرت رسیدند، مسیحیت در ایران مستقر شده بود این دین تا هنگامی که دین رسمی دشمنان ایران، یعنی یونان و روم نشده بود، تحمل می شد؛ اما پس از آنکه روحانیان مسیحی نقش فعالی در دفاع از سرزمین بیزانس در برابر شاپور دوم به عهده گرفتند که نمونه آن فعالیت آنان در سال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نصیبین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ایران امید طبیعی خود به پیروزی بیزانس را آشکار ساختند، دین مسیح مورد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شاپور فرمان به قتل عام تمام مسیحیان امپراتوری خود داد و تا هنگامی که این </w:t>
      </w:r>
      <w:bookmarkStart w:id="469" w:name="pg6894_74660"/>
    </w:p>
    <w:p>
      <w:pPr>
        <w:pStyle w:val="BookText"/>
        <w:rPr/>
      </w:pPr>
      <w:bookmarkEnd w:id="469"/>
      <w:r>
        <w:rPr>
          <w:rFonts w:ascii="IRNazanin" w:hAnsi="IRNazanin" w:eastAsia="IRNazanin"/>
          <w:color w:val="111111"/>
          <w:sz w:val="28"/>
          <w:sz w:val="28"/>
          <w:szCs w:val="28"/>
          <w:rtl w:val="true"/>
          <w:lang w:bidi="fa-IR"/>
        </w:rPr>
        <w:t>فرمان را به کشیشان، راهبان و راهبه ها محدود کرد، ساکنان بسیاری از دهات مسیحی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تعقیب و آزار، که تا زمان مرگ شاپور ادامه یافت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هزار تن مسیحی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اول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مذهبی را به مسیحیان باز گرداند و آنان را یاری داد تا کلیساهای خود را از نو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شورایی از اسقفان ایرانی، کلیسای مسیحیان ایران را از مسیحیت یونان و روم مستقل ساخت</w:t>
      </w:r>
      <w:r>
        <w:rPr>
          <w:rFonts w:eastAsia="IRNazanin" w:cs="IRNazanin"/>
          <w:color w:val="111111"/>
          <w:sz w:val="28"/>
          <w:szCs w:val="28"/>
          <w:rtl w:val="true"/>
          <w:lang w:bidi="fa-IR"/>
        </w:rPr>
        <w:t xml:space="preserve">. </w:t>
      </w:r>
      <w:r>
        <w:rPr>
          <w:rStyle w:val="FootnoteAnchor"/>
          <w:rtl w:val="true"/>
        </w:rPr>
        <w:footnoteReference w:id="474"/>
      </w:r>
    </w:p>
    <w:p>
      <w:pPr>
        <w:pStyle w:val="Heading6"/>
        <w:numPr>
          <w:ilvl w:val="5"/>
          <w:numId w:val="1"/>
        </w:numPr>
        <w:rPr/>
      </w:pPr>
      <w:bookmarkStart w:id="470" w:name="__RefHeading___Toc1440578_372815092"/>
      <w:bookmarkStart w:id="471" w:name="_Toc175"/>
      <w:bookmarkEnd w:id="470"/>
      <w:r>
        <w:rPr/>
        <w:t>2</w:t>
      </w:r>
      <w:r>
        <w:rPr>
          <w:rtl w:val="true"/>
        </w:rPr>
        <w:t xml:space="preserve">. </w:t>
      </w:r>
      <w:r>
        <w:rPr>
          <w:rtl w:val="true"/>
        </w:rPr>
        <w:t>اقلیتها در امپراتوری روم</w:t>
      </w:r>
      <w:bookmarkEnd w:id="471"/>
    </w:p>
    <w:p>
      <w:pPr>
        <w:pStyle w:val="BookText"/>
        <w:rPr/>
      </w:pPr>
      <w:r>
        <w:rPr>
          <w:rFonts w:ascii="IRNazanin" w:hAnsi="IRNazanin" w:eastAsia="IRNazanin"/>
          <w:color w:val="111111"/>
          <w:sz w:val="28"/>
          <w:sz w:val="28"/>
          <w:szCs w:val="28"/>
          <w:rtl w:val="true"/>
          <w:lang w:bidi="fa-IR"/>
        </w:rPr>
        <w:t>مسیحیان تا زمانی که آیین مسیحیت از طرف دولت روم به رسمیت شناخته نشده بود همواره در زیر شکنجه و آزار یهودیان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طلیعه قرن چهارم میلادی بود که به موجب فرمانی که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طرف امپراتوری روم صادر شد مسیحیان آزادی مختصری یافته، از شکنجه و تعصب ورزی علنی یهودیان نجات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که میان دولت ایران و روم در گرفته بود یهودیان هشتاد هزار اسیر مسیحی را از ایرانیان خریدند و از روی کینه و انتقام همه را از دم تیغ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شورش یهودیان در شهر قدس، این شهر به فرمان امپراتور محاصره شد و یهودیان قدس قتل عام شدند؛ معابد یهود ویران و کاهنان و رؤسای مذهبی شان به وضع فجیعی کشته شدند</w:t>
      </w:r>
      <w:r>
        <w:rPr>
          <w:rFonts w:eastAsia="IRNazanin" w:cs="IRNazanin"/>
          <w:color w:val="111111"/>
          <w:sz w:val="28"/>
          <w:szCs w:val="28"/>
          <w:rtl w:val="true"/>
          <w:lang w:bidi="fa-IR"/>
        </w:rPr>
        <w:t xml:space="preserve">. </w:t>
      </w:r>
      <w:r>
        <w:rPr>
          <w:rStyle w:val="FootnoteAnchor"/>
          <w:rtl w:val="true"/>
        </w:rPr>
        <w:footnoteReference w:id="475"/>
      </w:r>
    </w:p>
    <w:p>
      <w:pPr>
        <w:pStyle w:val="Heading6"/>
        <w:numPr>
          <w:ilvl w:val="5"/>
          <w:numId w:val="1"/>
        </w:numPr>
        <w:rPr/>
      </w:pPr>
      <w:bookmarkStart w:id="472" w:name="__RefHeading___Toc1440580_372815092"/>
      <w:bookmarkStart w:id="473" w:name="_Toc176"/>
      <w:bookmarkEnd w:id="472"/>
      <w:r>
        <w:rPr>
          <w:rtl w:val="true"/>
        </w:rPr>
        <w:t>ب</w:t>
      </w:r>
      <w:r>
        <w:rPr>
          <w:rtl w:val="true"/>
        </w:rPr>
        <w:t xml:space="preserve">) </w:t>
      </w:r>
      <w:r>
        <w:rPr>
          <w:rtl w:val="true"/>
        </w:rPr>
        <w:t>وضعیت اقلیتها در قرون وسطی</w:t>
      </w:r>
      <w:bookmarkEnd w:id="47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قرون وسطی دوران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نابردباری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قرون اقلیتهای مذهبی روزگار خوشی نداشتند و از آزار و اذیت و حتى قتل و کشتار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پر دامنه و ویرانگر صلیبی در این قرون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مهم جنگهای مزبور این است که رنگ دینی و مذهبی دارند و دو طرف این جنگ مسیحیان اروپایی و مسلمانان هستند و این نیروهای فاتح اند که پس از تصرف شهرها و روستاها سرنوشت مردم مغلوب معتقد به </w:t>
      </w:r>
    </w:p>
    <w:p>
      <w:pPr>
        <w:pStyle w:val="BookText"/>
        <w:rPr/>
      </w:pPr>
      <w:r>
        <w:rPr>
          <w:rFonts w:ascii="IRNazanin" w:hAnsi="IRNazanin" w:eastAsia="IRNazanin"/>
          <w:color w:val="111111"/>
          <w:sz w:val="28"/>
          <w:sz w:val="28"/>
          <w:szCs w:val="28"/>
          <w:rtl w:val="true"/>
          <w:lang w:bidi="fa-IR"/>
        </w:rPr>
        <w:t>دین و آیین دیگر را تعیین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جنگهای صلیبی به هشت فقره می رسید و از اواخر قرن یازدهم تا اواخر قرن</w:t>
      </w:r>
    </w:p>
    <w:p>
      <w:pPr>
        <w:pStyle w:val="BookText"/>
        <w:rPr/>
      </w:pPr>
      <w:r>
        <w:rPr>
          <w:rFonts w:ascii="IRNazanin" w:hAnsi="IRNazanin" w:eastAsia="IRNazanin"/>
          <w:color w:val="111111"/>
          <w:sz w:val="28"/>
          <w:sz w:val="28"/>
          <w:szCs w:val="28"/>
          <w:rtl w:val="true"/>
          <w:lang w:bidi="fa-IR"/>
        </w:rPr>
        <w:t>سیزدهم ادامه داشت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اولین سپاه صلیبی در پانزدهم ژوئیه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بیت المقدس شد و آنجا را</w:t>
      </w:r>
    </w:p>
    <w:p>
      <w:pPr>
        <w:pStyle w:val="BookText"/>
        <w:rPr/>
      </w:pPr>
      <w:r>
        <w:rPr>
          <w:rFonts w:ascii="IRNazanin" w:hAnsi="IRNazanin" w:eastAsia="IRNazanin"/>
          <w:color w:val="111111"/>
          <w:sz w:val="28"/>
          <w:sz w:val="28"/>
          <w:szCs w:val="28"/>
          <w:rtl w:val="true"/>
          <w:lang w:bidi="fa-IR"/>
        </w:rPr>
        <w:t>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صلیبی پس از تصرف شهرهای مسلمان نشین از هیچ جنایتی در حق آنان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خود گواه این جنایات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آلبر ماله در تاریخ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 فرو آدو بویون، فرمانده این سپاه خون آشام، در گزارش خود به پاپ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بدانید با دشمنانی که از بیت المقدس به دست ما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معامله شد، همین قدر بدانید که کسان ما در رواق سلیمان و معبد در لجه ای از خون مسلمانان می تاختند و خون تا زانوی مرکب می رسید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جرجی زیدان نویسنده مسیحی تاریخ تمدن اسلام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گذرها و میدانهای بیت المقدس از سرها و پاها تلهایی تشکیل یافته و از روی آنها عبور می کردند و مجروحین را پس از مدتی در آتش می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هزار جمعیتی که به مسجد عمر پناه برده بودند همه را طعمه شمشیر قرار دادند و در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خون به قدری جاری بود که لاشه های مقتولین در آن غوطه ور بودند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کشتار حامیان کلیسا به همین جا پایان نیافت بلکه طی مجلسی تصمیم گرفتند که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یکمرتبه تمام سکنه بیت المقدس را، اعم از مسلمان و یهودی و عیسوی، از دم شمشیر بگذرانند و این قتل عام تا هشت روز ادامه داشت و خونخواران مسیحی پس از قتل عام شهر وارد مسجد اقصی شده، زاهدان و معتکفان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سراغ مسجد عمر رفته، سپس به سوی معبد یهودیان سرازیر شدند و آنجا را آتش زدند به طوری که </w:t>
      </w:r>
      <w:bookmarkStart w:id="474" w:name="pg6894_74662"/>
    </w:p>
    <w:p>
      <w:pPr>
        <w:pStyle w:val="BookText"/>
        <w:rPr/>
      </w:pPr>
      <w:bookmarkEnd w:id="474"/>
      <w:r>
        <w:rPr>
          <w:rFonts w:ascii="IRNazanin" w:hAnsi="IRNazanin" w:eastAsia="IRNazanin"/>
          <w:color w:val="111111"/>
          <w:sz w:val="28"/>
          <w:sz w:val="28"/>
          <w:szCs w:val="28"/>
          <w:rtl w:val="true"/>
          <w:lang w:bidi="fa-IR"/>
        </w:rPr>
        <w:t>یهودیان در حالی که از این سو به آن سو می دویدند و شیون می کشیدند در میان لهيب آتش می گداختند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گوستاو لوبون مستشرق معروف فرانسوی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قبایح اعمال و کردار مجاهدین صلیب در تمام لشکرکشیها حقیقتا آنها را در ردیف</w:t>
      </w:r>
    </w:p>
    <w:p>
      <w:pPr>
        <w:pStyle w:val="BookText"/>
        <w:rPr/>
      </w:pPr>
      <w:r>
        <w:rPr>
          <w:rFonts w:ascii="IRNazanin" w:hAnsi="IRNazanin" w:eastAsia="IRNazanin"/>
          <w:color w:val="111111"/>
          <w:sz w:val="28"/>
          <w:sz w:val="28"/>
          <w:szCs w:val="28"/>
          <w:rtl w:val="true"/>
          <w:lang w:bidi="fa-IR"/>
        </w:rPr>
        <w:t>درنده ترین و بی شعورترین وحشی های روی زمین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نیز پس از فتح اسپانیا و اندلس با مسلمانان رفتار مشابهی داشتند </w:t>
      </w:r>
      <w:r>
        <w:rPr>
          <w:rStyle w:val="FootnoteAnchor"/>
          <w:rtl w:val="true"/>
        </w:rPr>
        <w:footnoteReference w:id="480"/>
      </w:r>
      <w:r>
        <w:rPr>
          <w:rFonts w:ascii="IRNazanin" w:hAnsi="IRNazanin" w:eastAsia="IRNazanin"/>
          <w:color w:val="111111"/>
          <w:sz w:val="28"/>
          <w:sz w:val="28"/>
          <w:szCs w:val="28"/>
          <w:rtl w:val="true"/>
          <w:lang w:bidi="fa-IR"/>
        </w:rPr>
        <w:t xml:space="preserve">اما مسلمانان بر عکس 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سرزمینها با اهالی، با ملایمت و مهربانی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 ماله مورخ شهیر فرانسوی در جلد سوم کتاب معروف خود می نویسد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جنگ طبریه سلطان صلاح الدین ایوبی با اسرای صلیبی خوشرفتاری کرد تا آنجا که گوی دو لوزنيان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خود نشانید و نسبت به او از احترام مضایقه ننمود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مورخ مسیحی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جنگهای صلیبی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خلیفه دوم مسلمانان بر بیت المقدس تسلط یافت، نصارا کوچکترین ضرری ندیدند و در صورتی که وقتی مسیحیان آن سرزمین را از دست مسلمین بازگرفتند مسلمانان را قتل عام و يهود را در آتش سوزانیدند</w:t>
      </w:r>
      <w:r>
        <w:rPr>
          <w:rFonts w:eastAsia="IRNazanin" w:cs="IRNazanin"/>
          <w:color w:val="111111"/>
          <w:sz w:val="28"/>
          <w:szCs w:val="28"/>
          <w:rtl w:val="true"/>
          <w:lang w:bidi="fa-IR"/>
        </w:rPr>
        <w:t xml:space="preserve">. </w:t>
      </w:r>
      <w:r>
        <w:rPr>
          <w:rStyle w:val="FootnoteAnchor"/>
          <w:rtl w:val="true"/>
        </w:rPr>
        <w:footnoteReference w:id="482"/>
      </w:r>
    </w:p>
    <w:p>
      <w:pPr>
        <w:pStyle w:val="Heading6"/>
        <w:numPr>
          <w:ilvl w:val="5"/>
          <w:numId w:val="1"/>
        </w:numPr>
        <w:rPr/>
      </w:pPr>
      <w:bookmarkStart w:id="475" w:name="__RefHeading___Toc1440582_372815092"/>
      <w:bookmarkStart w:id="476" w:name="_Toc177"/>
      <w:bookmarkEnd w:id="475"/>
      <w:r>
        <w:rPr>
          <w:rtl w:val="true"/>
        </w:rPr>
        <w:t>ج</w:t>
      </w:r>
      <w:r>
        <w:rPr>
          <w:rtl w:val="true"/>
        </w:rPr>
        <w:t xml:space="preserve">) </w:t>
      </w:r>
      <w:r>
        <w:rPr>
          <w:rtl w:val="true"/>
        </w:rPr>
        <w:t>وضعیت اقلیتها در قرون اخیر</w:t>
      </w:r>
      <w:r>
        <w:rPr>
          <w:rtl w:val="true"/>
        </w:rPr>
        <w:t>:</w:t>
      </w:r>
      <w:bookmarkEnd w:id="476"/>
    </w:p>
    <w:p>
      <w:pPr>
        <w:pStyle w:val="Heading6"/>
        <w:numPr>
          <w:ilvl w:val="5"/>
          <w:numId w:val="1"/>
        </w:numPr>
        <w:rPr/>
      </w:pPr>
      <w:bookmarkStart w:id="477" w:name="__RefHeading___Toc1440584_372815092"/>
      <w:bookmarkStart w:id="478" w:name="_Toc178"/>
      <w:bookmarkEnd w:id="477"/>
      <w:r>
        <w:rPr>
          <w:rtl w:val="true"/>
        </w:rPr>
        <w:t>اشاره</w:t>
      </w:r>
      <w:bookmarkEnd w:id="47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اروپا، در قرون شانزده و هفده، عموما بر این عقیده بودند که کلیه رعایای یک مملکت باید در تمام مسائل اساسی با یکدیگر همفکر باشند و خصوصا در مسائل مذهبی باید از </w:t>
      </w:r>
      <w:bookmarkStart w:id="479" w:name="pg6894_74663"/>
    </w:p>
    <w:p>
      <w:pPr>
        <w:pStyle w:val="BookText"/>
        <w:rPr/>
      </w:pPr>
      <w:bookmarkEnd w:id="479"/>
      <w:r>
        <w:rPr>
          <w:rFonts w:ascii="IRNazanin" w:hAnsi="IRNazanin" w:eastAsia="IRNazanin"/>
          <w:color w:val="111111"/>
          <w:sz w:val="28"/>
          <w:sz w:val="28"/>
          <w:szCs w:val="28"/>
          <w:rtl w:val="true"/>
          <w:lang w:bidi="fa-IR"/>
        </w:rPr>
        <w:t>مذهب پادشاه خود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مملکت فقط یک مذهب وجود داشت که آنهم رسمی و اجباری بود و مردم حق نداشتند از قواعد آن تخلف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عدم اغماض با نظارت مذهبی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انگلیس پروتستان مذهب کاتولیکها را از حمایت قانون خارج می ساخت و فرانسه واتیکان مذهب پروتستانها را بعد از نسخ فرمان نانت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مذهبی در اسپانیا و در ایتالیا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سرزمینها وحدت مذهبی شرط لازم وحدت سیاسی فرض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 نفر پروتستان قرن هفدهم، در آن عصر خیال می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مذهب موجب تفرقه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دولت و مذهب اتحاد کاملی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رواج همین طرز تفکر، در قرن شانزده میلادی هزاران نفر یهودی از اسپانیا و پرتقال رانده و آواره شدند و حکومت مسلمان عثمانی آنها را پناه داد و از چنگال بی رحم مسیحیان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اسپانیا آیین یهود غیرقانونی اعلام شد و حکومت مسیحی یهودیان را از انجام مراسم مذهبی خود منع و آنان را به پذیرفتن آیین نصرانیت مجبور کرد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در قرن هفده، دادگاههای تفتیش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دادگاهها از سوی کلیسا و برای اذیت و آزار، شکنجه و نابودی هر فکر مخالف کلیسا تأسیس شده بود</w:t>
      </w:r>
      <w:r>
        <w:rPr>
          <w:rFonts w:eastAsia="IRNazanin" w:cs="IRNazanin"/>
          <w:color w:val="111111"/>
          <w:sz w:val="28"/>
          <w:szCs w:val="28"/>
          <w:rtl w:val="true"/>
          <w:lang w:bidi="fa-IR"/>
        </w:rPr>
        <w:t>.</w:t>
      </w:r>
    </w:p>
    <w:p>
      <w:pPr>
        <w:pStyle w:val="Heading6"/>
        <w:numPr>
          <w:ilvl w:val="5"/>
          <w:numId w:val="1"/>
        </w:numPr>
        <w:rPr/>
      </w:pPr>
      <w:bookmarkStart w:id="480" w:name="__RefHeading___Toc1440586_372815092"/>
      <w:bookmarkStart w:id="481" w:name="_Toc179"/>
      <w:bookmarkEnd w:id="480"/>
      <w:r>
        <w:rPr>
          <w:rtl w:val="true"/>
        </w:rPr>
        <w:t>آزادی مذهب</w:t>
      </w:r>
      <w:r>
        <w:rPr>
          <w:rtl w:val="true"/>
        </w:rPr>
        <w:t>:</w:t>
      </w:r>
      <w:bookmarkEnd w:id="48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قرن هجدهم مخصوصأ ولتر به این وضعیت سخت حمله ور شدند و بویژه ولتر پیشقدم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علمدار مسلک اغماض در مورد مسائل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قرن هجدهم تحت تأثير فلاسفه مزبور، کلیه پادشاهان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مانند فردریک دوم و ژوزف دوم، شیوه اغماض مذهبی را در سرزمینهای خود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که پس از انقلاب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شاخه های مذهب پروتستان آزاد شده بود، نسبت به کاتولیکها هم سیاست تسامح آغاز شد</w:t>
      </w:r>
      <w:r>
        <w:rPr>
          <w:rFonts w:eastAsia="IRNazanin" w:cs="IRNazanin"/>
          <w:color w:val="111111"/>
          <w:sz w:val="28"/>
          <w:szCs w:val="28"/>
          <w:rtl w:val="true"/>
          <w:lang w:bidi="fa-IR"/>
        </w:rPr>
        <w:t xml:space="preserve">. </w:t>
      </w:r>
      <w:bookmarkStart w:id="482" w:name="pg6894_74664"/>
    </w:p>
    <w:p>
      <w:pPr>
        <w:pStyle w:val="BookText"/>
        <w:rPr/>
      </w:pPr>
      <w:bookmarkEnd w:id="482"/>
      <w:r>
        <w:rPr>
          <w:rFonts w:ascii="IRNazanin" w:hAnsi="IRNazanin" w:eastAsia="IRNazanin"/>
          <w:color w:val="111111"/>
          <w:sz w:val="28"/>
          <w:sz w:val="28"/>
          <w:szCs w:val="28"/>
          <w:rtl w:val="true"/>
          <w:lang w:bidi="fa-IR"/>
        </w:rPr>
        <w:t>در فرانسه، ماده دهم اعلامیه حقوق بشر اشعار می داشت که</w:t>
      </w:r>
    </w:p>
    <w:p>
      <w:pPr>
        <w:pStyle w:val="BookText"/>
        <w:rPr/>
      </w:pPr>
      <w:r>
        <w:rPr>
          <w:rFonts w:ascii="IRNazanin" w:hAnsi="IRNazanin" w:eastAsia="IRNazanin"/>
          <w:color w:val="111111"/>
          <w:sz w:val="28"/>
          <w:sz w:val="28"/>
          <w:szCs w:val="28"/>
          <w:rtl w:val="true"/>
          <w:lang w:bidi="fa-IR"/>
        </w:rPr>
        <w:t>به هیچ کس از بابت عقاید حتی عقاید مذهبی نباید تعرض کرد، به شرط اینکه اجرای آداب مذهبی او مخل به انتظامات عمومی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قانونگذاران فرانسه تا سال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نکردند آزادی مذهبی را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به بعد جنبش ضد سیاست مذهبی روز به روز بر توسعه خود افزود و آزادی عقیده، آزادی مذهب و همچنین عدم انجام رسوم مذهبی تقریبأ ترتیب عمومی کشورهای متمدن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روسیه شیوه مذهبی و اجتماعی پیشین مدت زمانی دوام داشت تا آن که قسمتی از آن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کشور و همچنین در رومانی یهودیها باز هم وضعیتی استثنایی داشتند، و باید توجه کرد که هر چند تساهل مذهبی فعلا در قوانین مندرج است اما هنوز کاملا وارد عمق اخلاق و عادات مردم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های مذهبی به شدت خود باقی مانده و هنوز جامعه معاصر را مضطرب نگاه داشته است</w:t>
      </w:r>
      <w:r>
        <w:rPr>
          <w:rFonts w:eastAsia="IRNazanin" w:cs="IRNazanin"/>
          <w:color w:val="111111"/>
          <w:sz w:val="28"/>
          <w:szCs w:val="28"/>
          <w:rtl w:val="true"/>
          <w:lang w:bidi="fa-IR"/>
        </w:rPr>
        <w:t>.</w:t>
      </w:r>
    </w:p>
    <w:p>
      <w:pPr>
        <w:pStyle w:val="Heading6"/>
        <w:numPr>
          <w:ilvl w:val="5"/>
          <w:numId w:val="1"/>
        </w:numPr>
        <w:rPr/>
      </w:pPr>
      <w:bookmarkStart w:id="483" w:name="__RefHeading___Toc1440588_372815092"/>
      <w:bookmarkStart w:id="484" w:name="_Toc180"/>
      <w:bookmarkEnd w:id="483"/>
      <w:r>
        <w:rPr>
          <w:rtl w:val="true"/>
        </w:rPr>
        <w:t>رابطه دولتهای اروپایی و مذهب در دوره معاصر</w:t>
      </w:r>
      <w:r>
        <w:rPr>
          <w:rtl w:val="true"/>
        </w:rPr>
        <w:t>:</w:t>
      </w:r>
      <w:bookmarkEnd w:id="484"/>
    </w:p>
    <w:p>
      <w:pPr>
        <w:pStyle w:val="BookText"/>
        <w:rPr/>
      </w:pPr>
      <w:r>
        <w:rPr>
          <w:rFonts w:ascii="IRNazanin" w:hAnsi="IRNazanin" w:eastAsia="IRNazanin"/>
          <w:color w:val="111111"/>
          <w:sz w:val="28"/>
          <w:sz w:val="28"/>
          <w:szCs w:val="28"/>
          <w:rtl w:val="true"/>
          <w:lang w:bidi="fa-IR"/>
        </w:rPr>
        <w:t>مسأله روابط بین کلیسا و دولت که در تمام اعصار اهمیت فراوانی داشت در دوره معاصر به شکلهای مختلف حل شد که از این لحاظ سه روش اساسی را می توان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مذهب دولتی، روش مذاهب رسمی و روش بی طرفی مذهبی یا تفکیک کلیسا از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اول مانند دوره قديم مذهب ممتازی وجود دارد که همان مذهب رئيس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در انگلستان، انگليکن، در اسپانیا کاتولیک در ممالک اسکاندیناو لوترانیسم، در روسیه و کشورهای بالکان ارتدوکس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مذهب دولتی اجباری نیست و سایر مذاهب آزادند تنها روسیه تا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کامل مذاهب را مستقر نساخته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دوم، مذهب رسمی ممتازی وجود ندارد بلکه چندین مذهب از طرف دولت به رسمیت شناخته شده اند که در نتیجه از بعضی از تشریفات رسمی بهره مند و دارای پاره ای امتیازات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روشی است که پس از قرارداد ناپلئون با پاپ در </w:t>
      </w:r>
      <w:bookmarkStart w:id="485" w:name="pg6894_74665"/>
    </w:p>
    <w:p>
      <w:pPr>
        <w:pStyle w:val="BookText"/>
        <w:rPr/>
      </w:pPr>
      <w:bookmarkEnd w:id="485"/>
      <w:r>
        <w:rPr>
          <w:rFonts w:ascii="IRNazanin" w:hAnsi="IRNazanin" w:eastAsia="IRNazanin"/>
          <w:color w:val="111111"/>
          <w:sz w:val="28"/>
          <w:sz w:val="28"/>
          <w:szCs w:val="28"/>
          <w:rtl w:val="true"/>
          <w:lang w:bidi="fa-IR"/>
        </w:rPr>
        <w:t xml:space="preserve">فرانسه برقرار شد و تا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کشورهای کاتولیک کلیسای پروتستان، کنیسه های یهودیان مانند مستخدمان رسمی از دولت حقوق دریافت می داشتند و در بعضی قسمتها تحت نظارت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اتریش، بلژیک و بیشتر کشورهای آلمانی زبان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روش دیگر دولت هیچ مذهبی را به رسمیت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مذاهب آزاد هستند، مذهب دیگر جنبه رسمی ندارد و جزء موسسات خصوصی به شمار می رود که کاملا از دولت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تفکیک مذهب از دولت است که ابتدا در ایالات متحده و سپس در اکثر جمهوریهای آمریکای لاتین و در فرانسه، پس از نسخ عهدنامه با پاپ در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استقرار یافت</w:t>
      </w:r>
      <w:r>
        <w:rPr>
          <w:rFonts w:eastAsia="IRNazanin" w:cs="IRNazanin"/>
          <w:color w:val="111111"/>
          <w:sz w:val="28"/>
          <w:szCs w:val="28"/>
          <w:rtl w:val="true"/>
          <w:lang w:bidi="fa-IR"/>
        </w:rPr>
        <w:t xml:space="preserve">. </w:t>
      </w:r>
      <w:r>
        <w:rPr>
          <w:rStyle w:val="FootnoteAnchor"/>
          <w:rtl w:val="true"/>
        </w:rPr>
        <w:footnoteReference w:id="484"/>
      </w:r>
    </w:p>
    <w:p>
      <w:pPr>
        <w:pStyle w:val="Heading5"/>
        <w:numPr>
          <w:ilvl w:val="4"/>
          <w:numId w:val="1"/>
        </w:numPr>
        <w:rPr/>
      </w:pPr>
      <w:bookmarkStart w:id="486" w:name="__RefHeading___Toc1440590_372815092"/>
      <w:bookmarkStart w:id="487" w:name="_Toc181"/>
      <w:bookmarkEnd w:id="486"/>
      <w:r>
        <w:rPr>
          <w:rtl w:val="true"/>
        </w:rPr>
        <w:t>حقوق اقلیتها در اسناد بین المللی</w:t>
      </w:r>
      <w:bookmarkEnd w:id="487"/>
    </w:p>
    <w:p>
      <w:pPr>
        <w:pStyle w:val="Heading6"/>
        <w:numPr>
          <w:ilvl w:val="5"/>
          <w:numId w:val="1"/>
        </w:numPr>
        <w:rPr/>
      </w:pPr>
      <w:bookmarkStart w:id="488" w:name="__RefHeading___Toc1440592_372815092"/>
      <w:bookmarkStart w:id="489" w:name="_Toc182"/>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از آنجا که اقلیتهای جامعه همواره در مقابل اکثریت، آسیب پذیر بوده و در معرض</w:t>
      </w:r>
    </w:p>
    <w:p>
      <w:pPr>
        <w:pStyle w:val="BookText"/>
        <w:rPr/>
      </w:pPr>
      <w:r>
        <w:rPr>
          <w:rFonts w:ascii="IRNazanin" w:hAnsi="IRNazanin" w:eastAsia="IRNazanin"/>
          <w:color w:val="111111"/>
          <w:sz w:val="28"/>
          <w:sz w:val="28"/>
          <w:szCs w:val="28"/>
          <w:rtl w:val="true"/>
          <w:lang w:bidi="fa-IR"/>
        </w:rPr>
        <w:t>ظلمها و تعدیات و تضییع حقوق قرار داشته اند یکی از رسالتهای بزرگ مجامع بین المللی توجه لازم به این مسأله بوده و مجامع مذکور از جامعه ملل گرفته تا سازمان ملل، تلاشها و اقداماتی را در جهت حمایت از اقلیتها به عمل آورده اند؛ اینکه تا چه مقدار توانسته اند به اهدافشان برسند در مباحث آینده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تلاشها و اقدامات بین المللی در این زمینه به ترتیب تاریخی بررسی خواهد شد</w:t>
      </w:r>
      <w:r>
        <w:rPr>
          <w:rFonts w:eastAsia="IRNazanin" w:cs="IRNazanin"/>
          <w:color w:val="111111"/>
          <w:sz w:val="28"/>
          <w:szCs w:val="28"/>
          <w:rtl w:val="true"/>
          <w:lang w:bidi="fa-IR"/>
        </w:rPr>
        <w:t>.</w:t>
      </w:r>
    </w:p>
    <w:p>
      <w:pPr>
        <w:pStyle w:val="Heading6"/>
        <w:numPr>
          <w:ilvl w:val="5"/>
          <w:numId w:val="1"/>
        </w:numPr>
        <w:rPr/>
      </w:pPr>
      <w:bookmarkStart w:id="490" w:name="__RefHeading___Toc1440594_372815092"/>
      <w:bookmarkStart w:id="491" w:name="_Toc183"/>
      <w:bookmarkEnd w:id="490"/>
      <w:r>
        <w:rPr>
          <w:rtl w:val="true"/>
        </w:rPr>
        <w:t xml:space="preserve">از اولین تلاشها تا اعلامیه دسامبر </w:t>
      </w:r>
      <w:r>
        <w:rPr/>
        <w:t>1992</w:t>
      </w:r>
      <w:bookmarkEnd w:id="491"/>
    </w:p>
    <w:p>
      <w:pPr>
        <w:pStyle w:val="Heading6"/>
        <w:numPr>
          <w:ilvl w:val="5"/>
          <w:numId w:val="1"/>
        </w:numPr>
        <w:rPr/>
      </w:pPr>
      <w:bookmarkStart w:id="492" w:name="__RefHeading___Toc1440596_372815092"/>
      <w:bookmarkStart w:id="493" w:name="_Toc184"/>
      <w:bookmarkEnd w:id="492"/>
      <w:r>
        <w:rPr>
          <w:rtl w:val="true"/>
        </w:rPr>
        <w:t>اشاره</w:t>
      </w:r>
      <w:bookmarkEnd w:id="49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تلاشهای بین المللی برای حمایت از اقلیتها و منع تبعیض نژادی و مذهبی با عقد </w:t>
      </w:r>
      <w:bookmarkStart w:id="494" w:name="pg6894_74666"/>
    </w:p>
    <w:p>
      <w:pPr>
        <w:pStyle w:val="BookText"/>
        <w:rPr/>
      </w:pPr>
      <w:bookmarkEnd w:id="494"/>
      <w:r>
        <w:rPr>
          <w:rFonts w:ascii="IRNazanin" w:hAnsi="IRNazanin" w:eastAsia="IRNazanin"/>
          <w:color w:val="111111"/>
          <w:sz w:val="28"/>
          <w:sz w:val="28"/>
          <w:szCs w:val="28"/>
          <w:rtl w:val="true"/>
          <w:lang w:bidi="fa-IR"/>
        </w:rPr>
        <w:t>معاهدات ذیل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وستفالی </w:t>
      </w:r>
      <w:r>
        <w:rPr>
          <w:rFonts w:eastAsia="IRNazanin" w:cs="IRNazanin"/>
          <w:color w:val="111111"/>
          <w:sz w:val="28"/>
          <w:szCs w:val="28"/>
          <w:lang w:bidi="fa-IR"/>
        </w:rPr>
        <w:t>1648</w:t>
      </w:r>
      <w:r>
        <w:rPr>
          <w:rFonts w:ascii="IRNazanin" w:hAnsi="IRNazanin" w:eastAsia="IRNazanin"/>
          <w:color w:val="111111"/>
          <w:sz w:val="28"/>
          <w:sz w:val="28"/>
          <w:szCs w:val="28"/>
          <w:rtl w:val="true"/>
          <w:lang w:bidi="fa-IR"/>
        </w:rPr>
        <w:t xml:space="preserve">، عهدنامه وین در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صراحتا به آزادی مذهبی اشاره دارد و پس از آن معاهده سال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که تبعیض نژادی و مذهبی را منع می کند و سپس معاهده برلن 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حقوق و آزادیهای فردی را بدون تبعیض نژادی، مذهبی و زبانی تضمین میکند</w:t>
      </w:r>
      <w:r>
        <w:rPr>
          <w:rFonts w:eastAsia="IRNazanin" w:cs="IRNazanin"/>
          <w:color w:val="111111"/>
          <w:sz w:val="28"/>
          <w:szCs w:val="28"/>
          <w:rtl w:val="true"/>
          <w:lang w:bidi="fa-IR"/>
        </w:rPr>
        <w:t>.</w:t>
      </w:r>
    </w:p>
    <w:p>
      <w:pPr>
        <w:pStyle w:val="Heading6"/>
        <w:numPr>
          <w:ilvl w:val="5"/>
          <w:numId w:val="1"/>
        </w:numPr>
        <w:rPr/>
      </w:pPr>
      <w:bookmarkStart w:id="495" w:name="__RefHeading___Toc1440598_372815092"/>
      <w:bookmarkStart w:id="496" w:name="_Toc185"/>
      <w:bookmarkEnd w:id="495"/>
      <w:r>
        <w:rPr>
          <w:rtl w:val="true"/>
        </w:rPr>
        <w:t>جامعه ملل و اقليتها</w:t>
      </w:r>
      <w:bookmarkEnd w:id="496"/>
    </w:p>
    <w:p>
      <w:pPr>
        <w:pStyle w:val="BookText"/>
        <w:rPr/>
      </w:pPr>
      <w:r>
        <w:rPr>
          <w:rFonts w:ascii="IRNazanin" w:hAnsi="IRNazanin" w:eastAsia="IRNazanin"/>
          <w:color w:val="111111"/>
          <w:sz w:val="28"/>
          <w:sz w:val="28"/>
          <w:szCs w:val="28"/>
          <w:rtl w:val="true"/>
          <w:lang w:bidi="fa-IR"/>
        </w:rPr>
        <w:t xml:space="preserve">پس از جنگ جهانی اول و دگرگونی چهره سیاسی اروپا بر اثر فروپاشی امپراتوریهای روسیه، اتریش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مجارستان و عثمانی، مسأله اقلیتها ابعاد جدید و در عین حال وسیعتری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خواسته های اقلیتهایی که فراسوی مرزهای سیاسی پراکنده بودند، صلح و ثبات جامعه بین المللی را در معرض تهدید قرار می داد، اهمیت بین المللی آن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حقوق بین الملل دیگر نمی توانست نسبت به این مسأله بی تفاوت باقی بماند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لذا به دنبال تشکیل جامعه ملل، این جامعه در کنار اقدامات دیگر به حمایت از اقلیتها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حمایت، اعطای حق مراجعه به اقلیت تبعه یک کشور به گونه ای است که آنها می توانند به یک سازمان بین المللی علیه کشور متبوع خویش شکایت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ملل برای اقلیتها حقوق و امتیازاتی قائل بود اما در مقابل وظایفی هم به عهده</w:t>
      </w:r>
    </w:p>
    <w:p>
      <w:pPr>
        <w:pStyle w:val="BookText"/>
        <w:rPr/>
      </w:pPr>
      <w:r>
        <w:rPr>
          <w:rFonts w:ascii="IRNazanin" w:hAnsi="IRNazanin" w:eastAsia="IRNazanin"/>
          <w:color w:val="111111"/>
          <w:sz w:val="28"/>
          <w:sz w:val="28"/>
          <w:szCs w:val="28"/>
          <w:rtl w:val="true"/>
          <w:lang w:bidi="fa-IR"/>
        </w:rPr>
        <w:t>آنها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اقلیتها را موظف می دانست که وفاداری خود را به کشور متبوع خویش ابراز کرده، همکاری صمیمانه ای با آن داشته باشند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حمایت از اقلیتها در جامعه ملل، مانند کارگران، شامل آیین نامه نظارت بین المللی بود که در آن اقلیتها می توانستند در مورد وضعیت خود از کشور متبوع خویش، مستقیما به شورای جامعه ملل که مأمور نظارت بود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شورا مطرح می شد و چنانچه اختلاف نظر بین شورا و کشور ذینفع به وجود می آمد مسأله به دیوان دائمی دادگستری بین المللی ارجاع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دیوان در این مورد قطعی و لازم الاجرا بود</w:t>
      </w:r>
      <w:r>
        <w:rPr>
          <w:rFonts w:eastAsia="IRNazanin" w:cs="IRNazanin"/>
          <w:color w:val="111111"/>
          <w:sz w:val="28"/>
          <w:szCs w:val="28"/>
          <w:rtl w:val="true"/>
          <w:lang w:bidi="fa-IR"/>
        </w:rPr>
        <w:t xml:space="preserve">. </w:t>
      </w:r>
      <w:bookmarkStart w:id="497" w:name="pg6894_74667"/>
    </w:p>
    <w:p>
      <w:pPr>
        <w:pStyle w:val="Heading6"/>
        <w:numPr>
          <w:ilvl w:val="5"/>
          <w:numId w:val="1"/>
        </w:numPr>
        <w:rPr/>
      </w:pPr>
      <w:bookmarkStart w:id="498" w:name="__RefHeading___Toc1440600_372815092"/>
      <w:bookmarkStart w:id="499" w:name="_Toc186"/>
      <w:bookmarkEnd w:id="497"/>
      <w:bookmarkEnd w:id="498"/>
      <w:r>
        <w:rPr>
          <w:rtl w:val="true"/>
        </w:rPr>
        <w:t>سازمان ملل و اقليتها</w:t>
      </w:r>
      <w:bookmarkEnd w:id="499"/>
    </w:p>
    <w:p>
      <w:pPr>
        <w:pStyle w:val="BookText"/>
        <w:rPr/>
      </w:pPr>
      <w:r>
        <w:rPr>
          <w:rFonts w:ascii="IRNazanin" w:hAnsi="IRNazanin" w:eastAsia="IRNazanin"/>
          <w:color w:val="111111"/>
          <w:sz w:val="28"/>
          <w:sz w:val="28"/>
          <w:szCs w:val="28"/>
          <w:rtl w:val="true"/>
          <w:lang w:bidi="fa-IR"/>
        </w:rPr>
        <w:t>سازمان ملل حمایت از اقلیتها را بیش از جامعه ملل مورد توجه قرار داده و چه در منشور و چه در معاهدات و مقررات دیگر مربوط به حقوق بشر از آن یاد کرده است</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تصویب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 از اولین گامها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حقوق بشر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فرعی جلوگیری از تبعیض علیه</w:t>
      </w:r>
    </w:p>
    <w:p>
      <w:pPr>
        <w:pStyle w:val="BookText"/>
        <w:rPr/>
      </w:pPr>
      <w:r>
        <w:rPr>
          <w:rFonts w:ascii="IRNazanin" w:hAnsi="IRNazanin" w:eastAsia="IRNazanin"/>
          <w:color w:val="111111"/>
          <w:sz w:val="28"/>
          <w:sz w:val="28"/>
          <w:szCs w:val="28"/>
          <w:rtl w:val="true"/>
          <w:lang w:bidi="fa-IR"/>
        </w:rPr>
        <w:t>اقلیتها و دفاع از آنها را به وجود آورد تا مطالعات و توصیه هایی در این باره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فرعی از هجده عضو که توسط کمیسیون حقوق بشر و با رضایت دولتهای متبوعشان انتخاب شده اند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کمیسیون فرعی در مقام فردی خود انجام وظیفه می کنند و نمایندگان دولتهایشان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فرعی از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مطالعه جنبه های اساسی تبعیض در شئون مختلف زندگی پرداخته، مانند تبعیض در آموزش و پرورش، تبعیض در استخدام و اشتغال، تبعیض در مورد حقوق و رویه های مذهبی و در مورد حقوق اساسی، تبعیض علیه اشخاصی که از روابط جنسی غیر از ازدواج به دنیا آمده اند، برابری در اجرای عدالت و تبعیضات نژادی در زمینه های سیاسی، اقتصادی، اجتماعی و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فرعی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تبعیض در امر آموزش و پرورش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مطالعه که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کنفرانس عمومی یونسکو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میثاق و یک توصیه علیه تبعیض در امر آموزش و پرورش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ابتکار کمیسیون فرعی، سازمان ملل متحد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سازمان بین المللی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مطالعه درباره تبعیض در استخدام و اشتغال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میثاق و یک توصیه در مورد تبعیض در استخدام و اشتغال تصویب کرد که از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اجرا گذاشته شدند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ترویج برابری امکانات و رفتار در مورد اشتغال و استخدام از طریق شیوه های </w:t>
      </w:r>
      <w:bookmarkStart w:id="500" w:name="pg6894_74668"/>
    </w:p>
    <w:p>
      <w:pPr>
        <w:pStyle w:val="BookText"/>
        <w:rPr/>
      </w:pPr>
      <w:bookmarkEnd w:id="500"/>
      <w:r>
        <w:rPr>
          <w:rFonts w:ascii="IRNazanin" w:hAnsi="IRNazanin" w:eastAsia="IRNazanin"/>
          <w:color w:val="111111"/>
          <w:sz w:val="28"/>
          <w:sz w:val="28"/>
          <w:szCs w:val="28"/>
          <w:rtl w:val="true"/>
          <w:lang w:bidi="fa-IR"/>
        </w:rPr>
        <w:t>مناسب دولتها باید شرایط و رسوم ملی خود را اتخاذ کنند و هدف این سیاست رفع هر گونه تبعیض در این مورد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فرعی همچنین مطالعات خود را درباره تبعیض در مورد حقوق و رویه های</w:t>
      </w:r>
    </w:p>
    <w:p>
      <w:pPr>
        <w:pStyle w:val="BookText"/>
        <w:rPr/>
      </w:pPr>
      <w:r>
        <w:rPr>
          <w:rFonts w:ascii="IRNazanin" w:hAnsi="IRNazanin" w:eastAsia="IRNazanin"/>
          <w:color w:val="111111"/>
          <w:sz w:val="28"/>
          <w:sz w:val="28"/>
          <w:szCs w:val="28"/>
          <w:rtl w:val="true"/>
          <w:lang w:bidi="fa-IR"/>
        </w:rPr>
        <w:t>مذهبی و در مورد حقوق سیاسی، تبعیض در مورد حق افراد برای ترک یک کشور، از جمله کشور خود، و بازگشت به آن، تبعیض علیه اشخاصی که والدینشان با یکدیگر ازدواج نکرده اند، و برابری در اجرای عدالت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فرعی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رفع کلیه انواع تبعیضات نژادی مطالعه ویژه ای را درباره تبعیضات نژادی و مظاهر آن در زمینه های سیاسی، اقتصادی، اجتماعی و فرهنگی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عمومی در هفدهمین اجلاس خود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کلیه مظاهر تبعیضات نژادی و اجحافهای ملی و مذهبی را تقبیح کرد و از دولتهای تمام کشورها</w:t>
      </w:r>
    </w:p>
    <w:p>
      <w:pPr>
        <w:pStyle w:val="BookText"/>
        <w:rPr/>
      </w:pPr>
      <w:r>
        <w:rPr>
          <w:rFonts w:ascii="IRNazanin" w:hAnsi="IRNazanin" w:eastAsia="IRNazanin"/>
          <w:color w:val="111111"/>
          <w:sz w:val="28"/>
          <w:sz w:val="28"/>
          <w:szCs w:val="28"/>
          <w:rtl w:val="true"/>
          <w:lang w:bidi="fa-IR"/>
        </w:rPr>
        <w:t>خواست کلیه اقدامات لازم را برای الغای قوانین تبعیضی به عمل آورند و در صورت لزوم قوانینی برای مبارزه با این گونه تبعیضات و اجحافات 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همچنین از شورای اقتصادی و اجتماعی خواست که از کمیسیون حقوق بشر تقاضا کند پیش نویس یک اعلامیه و میثاق درباره رفع کلیه انواع تبعیضات مذهبی را برای مطالعه مجمع تهیه کند</w:t>
      </w:r>
      <w:r>
        <w:rPr>
          <w:rFonts w:eastAsia="IRNazanin" w:cs="IRNazanin"/>
          <w:color w:val="111111"/>
          <w:sz w:val="28"/>
          <w:szCs w:val="28"/>
          <w:rtl w:val="true"/>
          <w:lang w:bidi="fa-IR"/>
        </w:rPr>
        <w:t>.</w:t>
      </w:r>
    </w:p>
    <w:p>
      <w:pPr>
        <w:pStyle w:val="Heading6"/>
        <w:numPr>
          <w:ilvl w:val="5"/>
          <w:numId w:val="1"/>
        </w:numPr>
        <w:rPr/>
      </w:pPr>
      <w:bookmarkStart w:id="501" w:name="__RefHeading___Toc1440602_372815092"/>
      <w:bookmarkStart w:id="502" w:name="_Toc187"/>
      <w:bookmarkEnd w:id="501"/>
      <w:r>
        <w:rPr>
          <w:rtl w:val="true"/>
        </w:rPr>
        <w:t>میثاق رفع تبعیضات نژادی</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ملل متحد در مورد رفع کلیه انواع تبعیضات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آرا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مجمع عمومی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بین المللی رفع کلیه انواع تبعیضات نژادی به تصویب مجمع عمومی رسید و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امضا مفتوح شد و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مزبور قوت قانونی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اعضای سازمان ملل متحد و کارگزاریهای تخصصی آن می توانند به این میثاق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این میثاق مورد تصویب و یا پذیرش چهل و شش کشور قرار گرفته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امضا کننده میثاق مذکور تعهد میکنند که بدون معطلی سیاست رفع </w:t>
      </w:r>
    </w:p>
    <w:p>
      <w:pPr>
        <w:pStyle w:val="BookText"/>
        <w:rPr/>
      </w:pPr>
      <w:r>
        <w:rPr>
          <w:rFonts w:ascii="IRNazanin" w:hAnsi="IRNazanin" w:eastAsia="IRNazanin"/>
          <w:color w:val="111111"/>
          <w:sz w:val="28"/>
          <w:sz w:val="28"/>
          <w:szCs w:val="28"/>
          <w:rtl w:val="true"/>
          <w:lang w:bidi="fa-IR"/>
        </w:rPr>
        <w:t>تبعیضات نژادی را، به هر نوع که باشد، پیش بگیرند و تفاهم میان نژادها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بویژه تعهد می کنند که برابری افراد را در مقابل قانون از حیث برخورداری از حقوق بشر، بویژه حق هر فرد به رفتار مساوی در کلیه دستگاههای قضایی، حق امنیت افراد و حمایت دولت از افراد در مقابل خشونت و یا صدمه جسمانی و حقوق اساسی، مدنی، اقتصادی، اجتماعی و فرهنگی هر فرد را تضمین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تبعیض نژادی، بدان سان که در میثاق مزبور تعریف شده،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امتیاز،</w:t>
      </w:r>
    </w:p>
    <w:p>
      <w:pPr>
        <w:pStyle w:val="BookText"/>
        <w:rPr/>
      </w:pPr>
      <w:r>
        <w:rPr>
          <w:rFonts w:ascii="IRNazanin" w:hAnsi="IRNazanin" w:eastAsia="IRNazanin"/>
          <w:color w:val="111111"/>
          <w:sz w:val="28"/>
          <w:sz w:val="28"/>
          <w:szCs w:val="28"/>
          <w:rtl w:val="true"/>
          <w:lang w:bidi="fa-IR"/>
        </w:rPr>
        <w:t>محرومیت و استثنا، محدودیت و یا ترجیح بر اساس نژاد، رنگ، اصل و نسب خانوادگی، ملی و یا قومی که به منظور یا موجد لغو و یا لطمه به شناسایی، برخورداری و یا اعمال حقوق بشر و آزادیهای اساسی بر پایه برابر در زندگی سیاسی، اقتصادی، اجتماعی، فرهنگی و سایر زمینه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مفاد این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رفع تبعیضات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هجده کارشناس</w:t>
      </w:r>
    </w:p>
    <w:p>
      <w:pPr>
        <w:pStyle w:val="BookText"/>
        <w:rPr/>
      </w:pPr>
      <w:r>
        <w:rPr>
          <w:rFonts w:ascii="IRNazanin" w:hAnsi="IRNazanin" w:eastAsia="IRNazanin"/>
          <w:color w:val="111111"/>
          <w:sz w:val="28"/>
          <w:sz w:val="28"/>
          <w:szCs w:val="28"/>
          <w:rtl w:val="true"/>
          <w:lang w:bidi="fa-IR"/>
        </w:rPr>
        <w:t>به وجود آمد تا بر اجرای تعهدات کشورهای امضا کننده میثاق نظارت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اصلی کمیته مزبور رسیدگی به گزارشهایی است که منظم توسط کشورهای</w:t>
      </w:r>
    </w:p>
    <w:p>
      <w:pPr>
        <w:pStyle w:val="BookText"/>
        <w:rPr/>
      </w:pPr>
      <w:r>
        <w:rPr>
          <w:rFonts w:ascii="IRNazanin" w:hAnsi="IRNazanin" w:eastAsia="IRNazanin"/>
          <w:color w:val="111111"/>
          <w:sz w:val="28"/>
          <w:sz w:val="28"/>
          <w:szCs w:val="28"/>
          <w:rtl w:val="true"/>
          <w:lang w:bidi="fa-IR"/>
        </w:rPr>
        <w:t>امضا کننده میثاق درباره اقدامات تقنینی، قضایی و سایر اقداماتی که برای اجرای مفاد این میثاق به عمل می آورند تسلیم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موظفند که اولین گزارش خود را ظرف یک سال پس از الحاق به میثاق مزبور و گزارشهای بعدی خود را به فواصل دو ساله تسلیم 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کمیته همچنین مجاز است به موضوعاتی که هر کشور در مورد عدم اجرای مفاد میثاق مزبور توسط سایر کشورها به نظر کمیته می رساند،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صورتی می تواند به این گونه موضوعات رسیدگی کند که یقین داشته باشد شاکی به کلیه مراجع محلی متوسل شده، مگر این که رسیدگی این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 لازم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کمیته می تواند یک کمیسیون آشتی پنج نفره را مأمور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کمیته مزبور می تواند از افراد و گروههایی که مدعی هستند قربانی نقض حقوق مندرج در میثاق مزبور توسط یکی از کشورهای امضا کننده شده اند، شکایت دریافت و به آن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گونه موارد، کشور مربوطه می بایستی قبلا اعلام کرده باشد که </w:t>
      </w:r>
      <w:bookmarkStart w:id="503" w:name="pg6894_74670"/>
    </w:p>
    <w:p>
      <w:pPr>
        <w:pStyle w:val="BookText"/>
        <w:rPr/>
      </w:pPr>
      <w:bookmarkEnd w:id="503"/>
      <w:r>
        <w:rPr>
          <w:rFonts w:ascii="IRNazanin" w:hAnsi="IRNazanin" w:eastAsia="IRNazanin"/>
          <w:color w:val="111111"/>
          <w:sz w:val="28"/>
          <w:sz w:val="28"/>
          <w:szCs w:val="28"/>
          <w:rtl w:val="true"/>
          <w:lang w:bidi="fa-IR"/>
        </w:rPr>
        <w:t>صلاحیت کمیته را برای بررسی این گونه شکایات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هنگامی قابل اجراست که ده کشور امضا کننده پذیرش آن را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بعدی مجمع عمومی سازمان ملل متحد، در راستای مبارزه با تبعیض نژادی،</w:t>
      </w:r>
    </w:p>
    <w:p>
      <w:pPr>
        <w:pStyle w:val="BookText"/>
        <w:rPr/>
      </w:pPr>
      <w:r>
        <w:rPr>
          <w:rFonts w:ascii="IRNazanin" w:hAnsi="IRNazanin" w:eastAsia="IRNazanin"/>
          <w:color w:val="111111"/>
          <w:sz w:val="28"/>
          <w:sz w:val="28"/>
          <w:szCs w:val="28"/>
          <w:rtl w:val="true"/>
          <w:lang w:bidi="fa-IR"/>
        </w:rPr>
        <w:t xml:space="preserve">صدور قطعنامه ای در بیست و پنجمین اجلاس خود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حقوق بشر سازمان ملل متحد طرح مقاوله نامه بین المللی مربوط به از بین بردن کلیه اشکال نابردباری مذهبی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طرح که مبتنی بر تعریف مندرج 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حقوق بشر است تأمین اجرای این ماده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آزادی اختیار کردن مذهب به عنوان یک حق مطلق در مقاوله نامه های بین المللی پیش بینی شده آزادی تظاهر به مذهب تابع محدودیتهایی است؛ لكن فقط محدودیتهایی که در قوانین پیش بینی شده و برای حمایت از امنیت و نظم و سلامت عمومی و اخلاق حسنه و آزادیها و حقوق اساسی دیگران ضرورت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محدودیتها منحصر به آزادی وجدان و مذهب نیست، بلکه طبق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جهانی حقوق بشر به طور کلی شامل اجرای کلیه حقوق و آزادیهاست و فلسفه آن این است که عمومات هر یک از آزادیها با شرایط و مقتضیات محلی هر جامعه ای تطبیق داده شود، اما البته این ترتیب یک ضرورت قهری است و ممکن است در عین حال، به قانونگزار محلی مجال دهد که ضرورتها و مقتضیات نظم عمومی و سایر مقتضيات مذکور در جمله دوم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را به شکلی دلخواه با نظر تحدیدی تفسیر کند که آزادیهای شناخته شده در عمل بکلی بی ارزش شود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اقدام دیگر مجمع عمومی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امحای تمامی اشکال نابردباری و تبعیض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قطعنامه </w:t>
      </w:r>
      <w:r>
        <w:rPr>
          <w:rFonts w:eastAsia="IRNazanin" w:cs="IRNazanin"/>
          <w:color w:val="111111"/>
          <w:sz w:val="28"/>
          <w:szCs w:val="28"/>
          <w:lang w:bidi="fa-IR"/>
        </w:rPr>
        <w:t>36/55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6"/>
        <w:numPr>
          <w:ilvl w:val="5"/>
          <w:numId w:val="1"/>
        </w:numPr>
        <w:rPr/>
      </w:pPr>
      <w:bookmarkStart w:id="504" w:name="__RefHeading___Toc1440604_372815092"/>
      <w:bookmarkStart w:id="505" w:name="_Toc188"/>
      <w:bookmarkEnd w:id="504"/>
      <w:r>
        <w:rPr>
          <w:rtl w:val="true"/>
        </w:rPr>
        <w:t>حقوق اقلیتها در اعلامیه های حقوق بشر</w:t>
      </w:r>
      <w:bookmarkEnd w:id="50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اسناد بین المللی که در مورد حقوق اقلیتها می تواند مورد استناد قرار گیرد، </w:t>
      </w:r>
      <w:bookmarkStart w:id="506" w:name="pg6894_74671"/>
    </w:p>
    <w:p>
      <w:pPr>
        <w:pStyle w:val="BookText"/>
        <w:rPr/>
      </w:pPr>
      <w:bookmarkEnd w:id="506"/>
      <w:r>
        <w:rPr>
          <w:rFonts w:ascii="IRNazanin" w:hAnsi="IRNazanin" w:eastAsia="IRNazanin"/>
          <w:color w:val="111111"/>
          <w:sz w:val="28"/>
          <w:sz w:val="28"/>
          <w:szCs w:val="28"/>
          <w:rtl w:val="true"/>
          <w:lang w:bidi="fa-IR"/>
        </w:rPr>
        <w:t xml:space="preserve">اسناد ذیل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پیشگیری و سرکوبی جنایت کشتار عام، مصوب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که هر عملی را که در جهت از بین بردن تمامی یا بخشی از یک گروه ملی، قومی، نژادی یا دینی ارتکاب یابد، با قاطعیت محکوم کرده، تدابیری جهت جلوگیری از وقوع آن به عمل آورده است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جهانی حقوق بشر، مصوب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میثاق بین المللی حقوق مدنی و سیاسی و میثاق بین المللی مربوط به حقوق اقتصادی، اجتماعی و فرهنگی، هر دو مصوب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حقوق افراد متعلق به اقلیتهای ملی، قومی، مذهبی و زبانی مصوب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موادی از اعلامیه جهانی حقوق بشر و دو میثاق مذکور را که در مورد حقوق</w:t>
      </w:r>
    </w:p>
    <w:p>
      <w:pPr>
        <w:pStyle w:val="BookText"/>
        <w:rPr/>
      </w:pPr>
      <w:r>
        <w:rPr>
          <w:rFonts w:ascii="IRNazanin" w:hAnsi="IRNazanin" w:eastAsia="IRNazanin"/>
          <w:color w:val="111111"/>
          <w:sz w:val="28"/>
          <w:sz w:val="28"/>
          <w:szCs w:val="28"/>
          <w:rtl w:val="true"/>
          <w:lang w:bidi="fa-IR"/>
        </w:rPr>
        <w:t>اقلیتهاست ذکر می کنیم</w:t>
      </w:r>
    </w:p>
    <w:p>
      <w:pPr>
        <w:pStyle w:val="Heading6"/>
        <w:numPr>
          <w:ilvl w:val="5"/>
          <w:numId w:val="1"/>
        </w:numPr>
        <w:rPr/>
      </w:pPr>
      <w:bookmarkStart w:id="507" w:name="__RefHeading___Toc1440606_372815092"/>
      <w:bookmarkStart w:id="508" w:name="_Toc189"/>
      <w:bookmarkEnd w:id="507"/>
      <w:r>
        <w:rPr>
          <w:rtl w:val="true"/>
        </w:rPr>
        <w:t>اعلامیه جهانی حقوق بشر</w:t>
      </w:r>
      <w:bookmarkEnd w:id="50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تواند بدون هیچ گونه تمایز مخصوصا از حيث نژاد، رنگ، جنس، زبان، مذهب، عقیده سیاسی یا هر عقیده دیگر و همچنین ملیت، وضع اجتماعی، ثروت، ولادت، یا هر موقعیت دیگر از اتمام حقوق و کلیه آزادیهایی که در اعلامیه حاضر ذکر شده است بهره مند گردد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حق دارد از آزادی فکر، وجدان و مذهب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متضمن آزادی اظهار عقیده و ایمان می باشد و نیز شامل تعلیمات مذهبی و اجرای مراسم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تواند از این حقوق منفردا يا مجتمعا به طور خصوصی یا به طور عمومی </w:t>
      </w:r>
      <w:bookmarkStart w:id="509" w:name="pg6894_74672"/>
    </w:p>
    <w:p>
      <w:pPr>
        <w:pStyle w:val="BookText"/>
        <w:rPr/>
      </w:pPr>
      <w:bookmarkEnd w:id="509"/>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 xml:space="preserve">. </w:t>
      </w:r>
      <w:r>
        <w:rPr>
          <w:rStyle w:val="FootnoteAnchor"/>
          <w:rtl w:val="true"/>
        </w:rPr>
        <w:footnoteReference w:id="491"/>
      </w:r>
    </w:p>
    <w:p>
      <w:pPr>
        <w:pStyle w:val="Heading6"/>
        <w:numPr>
          <w:ilvl w:val="5"/>
          <w:numId w:val="1"/>
        </w:numPr>
        <w:rPr/>
      </w:pPr>
      <w:bookmarkStart w:id="510" w:name="__RefHeading___Toc1440608_372815092"/>
      <w:bookmarkStart w:id="511" w:name="_Toc190"/>
      <w:bookmarkEnd w:id="510"/>
      <w:r>
        <w:rPr>
          <w:rtl w:val="true"/>
        </w:rPr>
        <w:t>میثاق بین المللی حقوق مدنی و سیاسی</w:t>
      </w:r>
      <w:bookmarkEnd w:id="51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حق دارد از آزادی فکر، وجدان و مذهب برخوردار شود و از جمله حق دارد مذهب و معتقدات دلخواه خود را داشته باشد یا بپذیرد و انفراد یا مشتركا به طور علنی ایا در خلوت مذهب یا ایمان خود را با عبادات و اجرای فرائض و رسوم و تعلیمات مذهبی ابراز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نباید مورد اکراهی واقع شود که به آزادی او در داشتن یا قبول مذهب یا معتقدات دلخواهش لطمه وارد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ابراز مذهب یا معتقدات را نمی توان تابع محدودیتها کرد مگر آنچه منحصرا به موجب قانون پیش بینی شده و برای حمایت از امنیت، نظم، سلامت یا عفت عمومی یا حقوق و آزادیهای اساسی دیگران ضرورت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طرف این میثاق متعهد می شوند که آزادی والدین و بر حسب مورد</w:t>
      </w:r>
    </w:p>
    <w:p>
      <w:pPr>
        <w:pStyle w:val="BookText"/>
        <w:rPr/>
      </w:pPr>
      <w:r>
        <w:rPr>
          <w:rFonts w:ascii="IRNazanin" w:hAnsi="IRNazanin" w:eastAsia="IRNazanin"/>
          <w:color w:val="111111"/>
          <w:sz w:val="28"/>
          <w:sz w:val="28"/>
          <w:szCs w:val="28"/>
          <w:rtl w:val="true"/>
          <w:lang w:bidi="fa-IR"/>
        </w:rPr>
        <w:t>سرپرستان قانونی کودکان را در تأمین آموزش مذهبی و اخلاقی کودکان مطابق معتقدات خودشان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اشخاص در مقابل قانون متساوی هستند و بدون هیچ گونه تبعیض استحقاق</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بالسویه قانون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قانون باید هر گونه تبعیضی را منع و برای کلیه اشخاص حمایت مؤثر و متساوی علیه هر نوع تبعیض خصوصا از حیث نژاد، رنگ، جنس، زبان، مذهب، عقاید سیاسی و عقاید دیگر، اصل و منشأ ملی یا اجتماعی، مکنت، نسب یا هر وضعیت دیگر تضمین بکند</w:t>
      </w:r>
      <w:r>
        <w:rPr>
          <w:rFonts w:eastAsia="IRNazanin" w:cs="IRNazanin"/>
          <w:color w:val="111111"/>
          <w:sz w:val="28"/>
          <w:szCs w:val="28"/>
          <w:rtl w:val="true"/>
          <w:lang w:bidi="fa-IR"/>
        </w:rPr>
        <w:t xml:space="preserve">. </w:t>
      </w:r>
      <w:r>
        <w:rPr>
          <w:rStyle w:val="FootnoteAnchor"/>
          <w:rtl w:val="true"/>
        </w:rPr>
        <w:footnoteReference w:id="492"/>
      </w:r>
      <w:bookmarkStart w:id="512" w:name="pg6894_74673"/>
    </w:p>
    <w:p>
      <w:pPr>
        <w:pStyle w:val="BookText"/>
        <w:rPr/>
      </w:pPr>
      <w:bookmarkEnd w:id="512"/>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کشورهایی که اقلیتهای نژادی، مذهبی یا زبانی وجود دارند اشخاص متعلق به</w:t>
      </w:r>
    </w:p>
    <w:p>
      <w:pPr>
        <w:pStyle w:val="BookText"/>
        <w:rPr/>
      </w:pPr>
      <w:r>
        <w:rPr>
          <w:rFonts w:ascii="IRNazanin" w:hAnsi="IRNazanin" w:eastAsia="IRNazanin"/>
          <w:color w:val="111111"/>
          <w:sz w:val="28"/>
          <w:sz w:val="28"/>
          <w:szCs w:val="28"/>
          <w:rtl w:val="true"/>
          <w:lang w:bidi="fa-IR"/>
        </w:rPr>
        <w:t>اقلیتهای مزبور را نمی توان از این حق محروم کرد که مجتمعا با سایر افراد گروه خود از فرهنگ خاص خود برخوردار شوند و به دین خود متدین باشند و بر طبق آن عمل کنند یا زبان خود را به کار ببرند</w:t>
      </w:r>
      <w:r>
        <w:rPr>
          <w:rFonts w:eastAsia="IRNazanin" w:cs="IRNazanin"/>
          <w:color w:val="111111"/>
          <w:sz w:val="28"/>
          <w:szCs w:val="28"/>
          <w:rtl w:val="true"/>
          <w:lang w:bidi="fa-IR"/>
        </w:rPr>
        <w:t xml:space="preserve">. </w:t>
      </w:r>
      <w:r>
        <w:rPr>
          <w:rStyle w:val="FootnoteAnchor"/>
          <w:rtl w:val="true"/>
        </w:rPr>
        <w:footnoteReference w:id="493"/>
      </w:r>
    </w:p>
    <w:p>
      <w:pPr>
        <w:pStyle w:val="Heading6"/>
        <w:numPr>
          <w:ilvl w:val="5"/>
          <w:numId w:val="1"/>
        </w:numPr>
        <w:rPr/>
      </w:pPr>
      <w:bookmarkStart w:id="513" w:name="__RefHeading___Toc1440610_372815092"/>
      <w:bookmarkStart w:id="514" w:name="_Toc191"/>
      <w:bookmarkEnd w:id="513"/>
      <w:r>
        <w:rPr>
          <w:rtl w:val="true"/>
        </w:rPr>
        <w:t xml:space="preserve">میثاق بین المللی حقوق اقتصادی </w:t>
      </w:r>
      <w:r>
        <w:rPr>
          <w:rtl w:val="true"/>
        </w:rPr>
        <w:t xml:space="preserve">- </w:t>
      </w:r>
      <w:r>
        <w:rPr>
          <w:rtl w:val="true"/>
        </w:rPr>
        <w:t>اجتماعی و فرهنگی</w:t>
      </w:r>
      <w:bookmarkEnd w:id="51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طرف این میثاق متعهد می شوند که اعمال حقوق مذکور در این میثاق را بدون هیچ نوع تبعیض از حیث نژاد، رنگ، جنس، زبان، مذهب، عقیده سیاسی یا هر گونه عقیده دیگر، اصل و منشأ ملی یا اجتماعی، ثروت، نسب یا هر وضعیت دیگر تضمین نماید</w:t>
      </w:r>
      <w:r>
        <w:rPr>
          <w:rFonts w:eastAsia="IRNazanin" w:cs="IRNazanin"/>
          <w:color w:val="111111"/>
          <w:sz w:val="28"/>
          <w:szCs w:val="28"/>
          <w:rtl w:val="true"/>
          <w:lang w:bidi="fa-IR"/>
        </w:rPr>
        <w:t xml:space="preserve">. </w:t>
      </w:r>
      <w:r>
        <w:rPr>
          <w:rStyle w:val="FootnoteAnchor"/>
          <w:rtl w:val="true"/>
        </w:rPr>
        <w:footnoteReference w:id="494"/>
      </w:r>
    </w:p>
    <w:p>
      <w:pPr>
        <w:pStyle w:val="Heading6"/>
        <w:numPr>
          <w:ilvl w:val="5"/>
          <w:numId w:val="1"/>
        </w:numPr>
        <w:rPr/>
      </w:pPr>
      <w:bookmarkStart w:id="515" w:name="__RefHeading___Toc1440612_372815092"/>
      <w:bookmarkStart w:id="516" w:name="_Toc192"/>
      <w:bookmarkEnd w:id="515"/>
      <w:r>
        <w:rPr>
          <w:rtl w:val="true"/>
        </w:rPr>
        <w:t xml:space="preserve">حقوق اقلیتها در اعلامیه دسامبر </w:t>
      </w:r>
      <w:r>
        <w:rPr/>
        <w:t>1992</w:t>
      </w:r>
      <w:bookmarkEnd w:id="516"/>
    </w:p>
    <w:p>
      <w:pPr>
        <w:pStyle w:val="BookText"/>
        <w:rPr/>
      </w:pPr>
      <w:r>
        <w:rPr>
          <w:rFonts w:ascii="IRNazanin" w:hAnsi="IRNazanin" w:eastAsia="IRNazanin"/>
          <w:color w:val="111111"/>
          <w:sz w:val="28"/>
          <w:sz w:val="28"/>
          <w:szCs w:val="28"/>
          <w:rtl w:val="true"/>
          <w:lang w:bidi="fa-IR"/>
        </w:rPr>
        <w:t xml:space="preserve">مجمع عمومی سازمان ملل متحد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درباره حقوق اشخاص متعلق به اقلیتهای ملی یا قومی، دینی یا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عظیم در جهت حمایت بین المللی از حقوق اقلیتها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مذکور حاوی نکات تازه ای در حمایت از حقوق اقلیتهاست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w:t>
      </w:r>
    </w:p>
    <w:p>
      <w:pPr>
        <w:pStyle w:val="BookText"/>
        <w:rPr/>
      </w:pPr>
      <w:r>
        <w:rPr>
          <w:rFonts w:ascii="IRNazanin" w:hAnsi="IRNazanin" w:eastAsia="IRNazanin"/>
          <w:color w:val="111111"/>
          <w:sz w:val="28"/>
          <w:sz w:val="28"/>
          <w:szCs w:val="28"/>
          <w:rtl w:val="true"/>
          <w:lang w:bidi="fa-IR"/>
        </w:rPr>
        <w:t>نه تنها بر تساوی و برابری اقلیتها با اکثریت و عدم تبعیض میان آنها در مقابل قانون تاکید شده بلکه دولتها مکلف به حمایتهای ویژه از اقلیتها نیز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تساوی و برابری اقلیتها با اکثریت، در مقدمه اعلامیه، مجمع عمومی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ملل بر ایمان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حقوق مردان و زنان و ملتها، اعم از بزرگ 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برابری همه اعضای یک جامعه و عدم تبعیض میان </w:t>
      </w:r>
    </w:p>
    <w:p>
      <w:pPr>
        <w:pStyle w:val="BookText"/>
        <w:rPr/>
      </w:pPr>
      <w:r>
        <w:rPr>
          <w:rFonts w:ascii="IRNazanin" w:hAnsi="IRNazanin" w:eastAsia="IRNazanin"/>
          <w:color w:val="111111"/>
          <w:sz w:val="28"/>
          <w:sz w:val="28"/>
          <w:szCs w:val="28"/>
          <w:rtl w:val="true"/>
          <w:lang w:bidi="fa-IR"/>
        </w:rPr>
        <w:t>آنها در مقابل قانون، در متن اعلامیه، به صورت تکلیفی اخلاقی برای دولتها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بند نخست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دولتها موظف هستند تدابیر لازم را اتخاذ</w:t>
      </w:r>
    </w:p>
    <w:p>
      <w:pPr>
        <w:pStyle w:val="BookText"/>
        <w:rPr/>
      </w:pPr>
      <w:r>
        <w:rPr>
          <w:rFonts w:ascii="IRNazanin" w:hAnsi="IRNazanin" w:eastAsia="IRNazanin"/>
          <w:color w:val="111111"/>
          <w:sz w:val="28"/>
          <w:sz w:val="28"/>
          <w:szCs w:val="28"/>
          <w:rtl w:val="true"/>
          <w:lang w:bidi="fa-IR"/>
        </w:rPr>
        <w:t xml:space="preserve">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متعلق به اقلیتها تماما و واقعأ، تمامی حقوق بشر و همه آزادیهای</w:t>
      </w:r>
    </w:p>
    <w:p>
      <w:pPr>
        <w:pStyle w:val="BookText"/>
        <w:rPr/>
      </w:pPr>
      <w:r>
        <w:rPr>
          <w:rFonts w:ascii="IRNazanin" w:hAnsi="IRNazanin" w:eastAsia="IRNazanin"/>
          <w:color w:val="111111"/>
          <w:sz w:val="28"/>
          <w:sz w:val="28"/>
          <w:szCs w:val="28"/>
          <w:rtl w:val="true"/>
          <w:lang w:bidi="fa-IR"/>
        </w:rPr>
        <w:t>اساسی را به اجرا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خاتمه بر این امر تأکید شده است که اجرای این حقوق و آزادیها باید بدون هیچ تبعیض و در شرایطی کاملا مساوی در برابر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مسایل مهم در مورد حمایت از حقوق اقلیتها، آزادی ارتباط میان آنها یا بین آنها و سایر اعضا و گروههای مقیم در آن کشور، و حتی مقیم در خارج از کشور،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موضوع مستقیما به درجه آزادی کلی گروههای اقلیتی در یک کشور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اشخاص متعلق به اقلیتها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دارند ارتباطات آزادانه و مسالمت آمیز با سایر اعضای گروه خود و با اشخاص متعلق به اقلیتهای دیگر، و همچنین ارتباطاتی فراسوی مرزها با اتباع دولتهای دیگر که با آنان از لحاظ ریشه و نسب ملی و قومی با وابستگیهای دینی یا زبانی متصل هستند، بدون هیچ تبعیضی، برقرار ساخته و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مذکور ضمن اعلام آزادی ارتباطات برای اقلیتها، موانع جغرافیایی موجود یا</w:t>
      </w:r>
    </w:p>
    <w:p>
      <w:pPr>
        <w:pStyle w:val="BookText"/>
        <w:rPr/>
      </w:pPr>
      <w:r>
        <w:rPr>
          <w:rFonts w:ascii="IRNazanin" w:hAnsi="IRNazanin" w:eastAsia="IRNazanin"/>
          <w:color w:val="111111"/>
          <w:sz w:val="28"/>
          <w:sz w:val="28"/>
          <w:szCs w:val="28"/>
          <w:rtl w:val="true"/>
          <w:lang w:bidi="fa-IR"/>
        </w:rPr>
        <w:t>ممکن در این زمینه را نیز برداشته است و وضعیت متفاوت گروههای مختلف اقلیتی را در این زمینه، مد نظر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متعلق به گروههای اقلیتی که به طور پراکنده در کشوری به سر می برند،</w:t>
      </w:r>
    </w:p>
    <w:p>
      <w:pPr>
        <w:pStyle w:val="BookText"/>
        <w:rPr/>
      </w:pPr>
      <w:r>
        <w:rPr>
          <w:rFonts w:ascii="IRNazanin" w:hAnsi="IRNazanin" w:eastAsia="IRNazanin"/>
          <w:color w:val="111111"/>
          <w:sz w:val="28"/>
          <w:sz w:val="28"/>
          <w:szCs w:val="28"/>
          <w:rtl w:val="true"/>
          <w:lang w:bidi="fa-IR"/>
        </w:rPr>
        <w:t>همانند گروههایی که به طور دسته جمعی در منطقه جغرافیایی مشخصی ساکن هستند مشمول این ماده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ماده شامل گروههای اقلیتی که بین مرزهای سیاسی چندین دولت پراکنده هستند و یا آنکه در نزدیکی مرز با دولت دیگر ساکن هستند و با جمعیت آن سوی مرز دارای وابستگیهای ملی، قومی، دینی یا فرهنگی می باشند،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که در ماده فوق الذکر به گروههای اقلیتی اعطا شده یک نوآوری اعلامیه بود؛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موقع چنین حقی در زمنیه حمایت از اقلیتها به رسمیت شناخته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کار </w:t>
      </w:r>
    </w:p>
    <w:p>
      <w:pPr>
        <w:pStyle w:val="BookText"/>
        <w:rPr/>
      </w:pPr>
      <w:r>
        <w:rPr>
          <w:rFonts w:ascii="IRNazanin" w:hAnsi="IRNazanin" w:eastAsia="IRNazanin"/>
          <w:color w:val="111111"/>
          <w:sz w:val="28"/>
          <w:sz w:val="28"/>
          <w:szCs w:val="28"/>
          <w:rtl w:val="true"/>
          <w:lang w:bidi="fa-IR"/>
        </w:rPr>
        <w:t xml:space="preserve">کمیسیون حقوق بشر خصوصا بر گنجانیدن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فراسوی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ماده مورد بحث تأکید ورزیده بود، زیرا منظور واقعی که در این ماده منعکس شده این است که اقليتها حق داشته باشند هم در داخل و هم در خارج از کشوری که در آن مقیم هستند ارتباط برقرار ساخته و آن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اقلیتهایی که در نزدیکی مرزها ساکن هستند چنین حقی حائز اهمیت خاصی</w:t>
      </w:r>
    </w:p>
    <w:p>
      <w:pPr>
        <w:pStyle w:val="BookText"/>
        <w:rPr/>
      </w:pPr>
      <w:r>
        <w:rPr>
          <w:rFonts w:ascii="IRNazanin" w:hAnsi="IRNazanin" w:eastAsia="IRNazanin"/>
          <w:color w:val="111111"/>
          <w:sz w:val="28"/>
          <w:sz w:val="28"/>
          <w:szCs w:val="28"/>
          <w:rtl w:val="true"/>
          <w:lang w:bidi="fa-IR"/>
        </w:rPr>
        <w:t>است زیرا به آنها اجازه می دهد از طریق ارتباط با جمعیتهای واقع در آن سوی مرز، هویت مشترک خود را تحکیم، و توسعه و ترویج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اعلامیه که در زمینه حمایتهای ویژه از هویت اقلیتهاست از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بین المللی حقوق مدنی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است و حتی از حقوق شناخته شده در این ماده به مراتب فراتر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اول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در این راستا حقوق ذیل را برای اقلیتها به رسمیت شناخته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 متعلق به اقلیتها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از فرهنگ خاص خود بهره مند باشند، دین</w:t>
      </w:r>
    </w:p>
    <w:p>
      <w:pPr>
        <w:pStyle w:val="BookText"/>
        <w:rPr/>
      </w:pPr>
      <w:r>
        <w:rPr>
          <w:rFonts w:ascii="IRNazanin" w:hAnsi="IRNazanin" w:eastAsia="IRNazanin"/>
          <w:color w:val="111111"/>
          <w:sz w:val="28"/>
          <w:sz w:val="28"/>
          <w:szCs w:val="28"/>
          <w:rtl w:val="true"/>
          <w:lang w:bidi="fa-IR"/>
        </w:rPr>
        <w:t>مخصوص خود را به جا آورده و آموزش دهند و زبان مخصوص خود را استفاده</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حقوق نوینی را نیز برای حمایت از هویت اقلیتها</w:t>
      </w:r>
    </w:p>
    <w:p>
      <w:pPr>
        <w:pStyle w:val="BookText"/>
        <w:rPr/>
      </w:pPr>
      <w:r>
        <w:rPr>
          <w:rFonts w:ascii="IRNazanin" w:hAnsi="IRNazanin" w:eastAsia="IRNazanin"/>
          <w:color w:val="111111"/>
          <w:sz w:val="28"/>
          <w:sz w:val="28"/>
          <w:szCs w:val="28"/>
          <w:rtl w:val="true"/>
          <w:lang w:bidi="fa-IR"/>
        </w:rPr>
        <w:t xml:space="preserve">پیش بینی کرده است، که به ترتیب در بند اول ماده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حق بهره مند بودن از حمایت دولت متبوع خود جهت حفظ موجودیت 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حق، یعنی حمایت از موجودیت اقلیتها، هر گونه اقدامی را از سوی دولتها به منظور از بین بردن اقلیتها، به هر طریقی که باشد،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نابودی فیزیکی اقلیتها جابجایی آنها از منطقه ای به منطقه دیگر در قلمروی از سرزمین دولت و یا اخراج آنها از کشوری به کشور دیگر، شامل این ممنوعیت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جدیدی است که به اقلیتها صراحتا اعطا شده است، گر چه سابق بر این آنها به طور غیرمستقیم از یک سری تضمیناتی در این باره توسط متون متفاوتی نظیر </w:t>
      </w:r>
    </w:p>
    <w:p>
      <w:pPr>
        <w:pStyle w:val="BookText"/>
        <w:rPr/>
      </w:pPr>
      <w:r>
        <w:rPr>
          <w:rFonts w:ascii="IRNazanin" w:hAnsi="IRNazanin" w:eastAsia="IRNazanin"/>
          <w:color w:val="111111"/>
          <w:sz w:val="28"/>
          <w:sz w:val="28"/>
          <w:szCs w:val="28"/>
          <w:rtl w:val="true"/>
          <w:lang w:bidi="fa-IR"/>
        </w:rPr>
        <w:t>کنوانسیون یا اعلامیه های بین المللی در رابطه به حقوق افراد، به طور کلی، بهره 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حق مذکور در این بند، حمایت از هویت اقلیتها را در برابر تخریب مبانی فرهنگی آنها که می تواند فرضا از طریق تدابیری جهت ادغام اجباری آنها با اکثریت، یا پراکنده ساختن آنها صورت گیرد،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هویت اقلیتی بدین معنی است که گروه مورد نظر باید بتواند از تمامی امکانات لازم برای رشد و توسعه خود و تطبیق با جامعه در حال تحول،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گسترش دامنه حمایت به زمینه مسایل فرهنگی، اعلامیه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موجود در</w:t>
      </w:r>
    </w:p>
    <w:p>
      <w:pPr>
        <w:pStyle w:val="BookText"/>
        <w:rPr/>
      </w:pP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پیشگیری و محکومیت جنایت نسل کشی را که تنها به تخریب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و بیولوژیکی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حق نوینی که در اعلامیه دسامبر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شده است حق سهیم بودن</w:t>
      </w:r>
    </w:p>
    <w:p>
      <w:pPr>
        <w:pStyle w:val="BookText"/>
        <w:rPr/>
      </w:pPr>
      <w:r>
        <w:rPr>
          <w:rFonts w:ascii="IRNazanin" w:hAnsi="IRNazanin" w:eastAsia="IRNazanin"/>
          <w:color w:val="111111"/>
          <w:sz w:val="28"/>
          <w:sz w:val="28"/>
          <w:szCs w:val="28"/>
          <w:rtl w:val="true"/>
          <w:lang w:bidi="fa-IR"/>
        </w:rPr>
        <w:t>واقعی اقلیتها، در تصمیم گیریهایی است که به آنان یا به مناطقی که در آن زندگی می کنند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چه در سطح ملی و چه در سطح منطقه ای باید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ماده تحکیم حس همبستگی اقلیتها در سطح منطقه ای یا ملی است، به طوری که از خطر انزوا کاسته شده و ثبات داخلی کشور بهتر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نوین دیگری که توسط اعلامیه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اقلیتها اعطا شده است و تا حدودی به</w:t>
      </w:r>
    </w:p>
    <w:p>
      <w:pPr>
        <w:pStyle w:val="BookText"/>
        <w:rPr/>
      </w:pPr>
      <w:r>
        <w:rPr>
          <w:rFonts w:ascii="IRNazanin" w:hAnsi="IRNazanin" w:eastAsia="IRNazanin"/>
          <w:color w:val="111111"/>
          <w:sz w:val="28"/>
          <w:sz w:val="28"/>
          <w:szCs w:val="28"/>
          <w:rtl w:val="true"/>
          <w:lang w:bidi="fa-IR"/>
        </w:rPr>
        <w:t xml:space="preserve">حقوق فوق الذكر مربوط می شود و در واقع دنباله آنهاست، حق تشکیل و اداره انجمنهای خاص خود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این ماده گروههای اقلیتی می توانند سازمانهایی خاص به جهت نمایندگی تشکیل دهند که این اقدام خصوصا گاهی در جهت شناسایی شخصیت حقوقی آنها به عنوان یک گروه حائز اهمیت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این انجمنها عمدتا پیرامون استیفای حقوق آنها بر طبق اعلامیه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یعنی حفظ هویت اقلیتها و فراهم ساختن شرکت مستقیم آنها در زندگی جامعه و در تصمیم گیری هایی که به آنان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حقوق، اعلامیه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خاصی به حمایت از منافع مشروع اشخاص</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به اقلیتها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منافع باید به طور کامل در </w:t>
      </w:r>
      <w:bookmarkStart w:id="517" w:name="pg6894_74677"/>
    </w:p>
    <w:p>
      <w:pPr>
        <w:pStyle w:val="BookText"/>
        <w:rPr/>
      </w:pPr>
      <w:bookmarkEnd w:id="517"/>
      <w:r>
        <w:rPr>
          <w:rFonts w:ascii="IRNazanin" w:hAnsi="IRNazanin" w:eastAsia="IRNazanin"/>
          <w:color w:val="111111"/>
          <w:sz w:val="28"/>
          <w:sz w:val="28"/>
          <w:szCs w:val="28"/>
          <w:rtl w:val="true"/>
          <w:lang w:bidi="fa-IR"/>
        </w:rPr>
        <w:t>برنامه ریزی و اجرای سیاستها و طرحهای ملی و همچنین طرحهای همکاری و امداد میان دولتها،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اعلامیه مذکور در کنار به رسمیت شناختن حقوق بالا برای اقلیتها و حمایتهای</w:t>
      </w:r>
    </w:p>
    <w:p>
      <w:pPr>
        <w:pStyle w:val="BookText"/>
        <w:rPr/>
      </w:pPr>
      <w:r>
        <w:rPr>
          <w:rFonts w:ascii="IRNazanin" w:hAnsi="IRNazanin" w:eastAsia="IRNazanin"/>
          <w:color w:val="111111"/>
          <w:sz w:val="28"/>
          <w:sz w:val="28"/>
          <w:szCs w:val="28"/>
          <w:rtl w:val="true"/>
          <w:lang w:bidi="fa-IR"/>
        </w:rPr>
        <w:t>ویژه، محدودیتهایی را هم برای برخورداری اقلیتها از حقوق و حمایتهای مذکور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محدودیت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دولتهاست که توسط حقوق بین الملل عمومی حمایت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مفاد اعلامیه حاضر نباید طوری تفسیر شود که هر گونه فعالیت مغایر با</w:t>
      </w:r>
    </w:p>
    <w:p>
      <w:pPr>
        <w:pStyle w:val="BookText"/>
        <w:rPr/>
      </w:pPr>
      <w:r>
        <w:rPr>
          <w:rFonts w:ascii="IRNazanin" w:hAnsi="IRNazanin" w:eastAsia="IRNazanin"/>
          <w:color w:val="111111"/>
          <w:sz w:val="28"/>
          <w:sz w:val="28"/>
          <w:szCs w:val="28"/>
          <w:rtl w:val="true"/>
          <w:lang w:bidi="fa-IR"/>
        </w:rPr>
        <w:t xml:space="preserve">اهداف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 از جمله حاکمیت برابر، تمامیت ارضی و استقلال سیاسی دولتها،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دیگر، رعایت قوانین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 کند اعمال</w:t>
      </w:r>
    </w:p>
    <w:p>
      <w:pPr>
        <w:pStyle w:val="BookText"/>
        <w:rPr/>
      </w:pPr>
      <w:r>
        <w:rPr>
          <w:rFonts w:ascii="IRNazanin" w:hAnsi="IRNazanin" w:eastAsia="IRNazanin"/>
          <w:color w:val="111111"/>
          <w:sz w:val="28"/>
          <w:sz w:val="28"/>
          <w:szCs w:val="28"/>
          <w:rtl w:val="true"/>
          <w:lang w:bidi="fa-IR"/>
        </w:rPr>
        <w:t>بخصوص که از نظر قوانین ملی خلاف محسوب شود یا مغایر ضوابط بین المللی باشد، از حمایت این ماده مستثناست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موضعی منطقی به نظر می رسد زیرا طبیعتا هیچ دولتی سعی نمیکند شرایطی را برای اجرای اعمالی مغایر با قوانین خود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 محدودیتها نمی توان منکر شد که اعلامیه مورد بحث، پیشرفت قابل</w:t>
      </w:r>
    </w:p>
    <w:p>
      <w:pPr>
        <w:pStyle w:val="BookText"/>
        <w:rPr/>
      </w:pPr>
      <w:r>
        <w:rPr>
          <w:rFonts w:ascii="IRNazanin" w:hAnsi="IRNazanin" w:eastAsia="IRNazanin"/>
          <w:color w:val="111111"/>
          <w:sz w:val="28"/>
          <w:sz w:val="28"/>
          <w:szCs w:val="28"/>
          <w:rtl w:val="true"/>
          <w:lang w:bidi="fa-IR"/>
        </w:rPr>
        <w:t>توجهی در زمینه دفاع از حقوق اقلیتها، و در چارچوبی وسیعتر، از حقوق افراد به طور کلی، در سطح جامعه بین المللی محسوب می شود</w:t>
      </w:r>
      <w:r>
        <w:rPr>
          <w:rFonts w:eastAsia="IRNazanin" w:cs="IRNazanin"/>
          <w:color w:val="111111"/>
          <w:sz w:val="28"/>
          <w:szCs w:val="28"/>
          <w:rtl w:val="true"/>
          <w:lang w:bidi="fa-IR"/>
        </w:rPr>
        <w:t xml:space="preserve">. </w:t>
      </w:r>
      <w:r>
        <w:rPr>
          <w:rStyle w:val="FootnoteAnchor"/>
          <w:rtl w:val="true"/>
        </w:rPr>
        <w:footnoteReference w:id="495"/>
      </w:r>
    </w:p>
    <w:p>
      <w:pPr>
        <w:pStyle w:val="Heading5"/>
        <w:numPr>
          <w:ilvl w:val="4"/>
          <w:numId w:val="1"/>
        </w:numPr>
        <w:rPr/>
      </w:pPr>
      <w:bookmarkStart w:id="518" w:name="__RefHeading___Toc1440614_372815092"/>
      <w:bookmarkStart w:id="519" w:name="_Toc193"/>
      <w:bookmarkEnd w:id="518"/>
      <w:r>
        <w:rPr>
          <w:rtl w:val="true"/>
        </w:rPr>
        <w:t>اسلام و حقوق اقلیتها</w:t>
      </w:r>
      <w:bookmarkEnd w:id="519"/>
    </w:p>
    <w:p>
      <w:pPr>
        <w:pStyle w:val="Heading6"/>
        <w:numPr>
          <w:ilvl w:val="5"/>
          <w:numId w:val="1"/>
        </w:numPr>
        <w:rPr/>
      </w:pPr>
      <w:bookmarkStart w:id="520" w:name="__RefHeading___Toc1440616_372815092"/>
      <w:bookmarkStart w:id="521" w:name="_Toc194"/>
      <w:bookmarkEnd w:id="520"/>
      <w:r>
        <w:rPr>
          <w:rtl w:val="true"/>
        </w:rPr>
        <w:t>اشاره</w:t>
      </w:r>
      <w:bookmarkEnd w:id="52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آغاز اولین حکومت اسلامی در جهان، یعنی تشکیل حکومت اسلامی در مدينة النبي توسط حضرت پیامبر صلی الله علیه واله اقلیتهایی در جامعه اسلامی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522" w:name="pg6894_74678"/>
    </w:p>
    <w:p>
      <w:pPr>
        <w:pStyle w:val="BookText"/>
        <w:rPr/>
      </w:pPr>
      <w:bookmarkEnd w:id="522"/>
      <w:r>
        <w:rPr>
          <w:rFonts w:ascii="IRNazanin" w:hAnsi="IRNazanin" w:eastAsia="IRNazanin"/>
          <w:color w:val="111111"/>
          <w:sz w:val="28"/>
          <w:sz w:val="28"/>
          <w:szCs w:val="28"/>
          <w:rtl w:val="true"/>
          <w:lang w:bidi="fa-IR"/>
        </w:rPr>
        <w:t>اکرم صلی الله علیه واله وجود این اقلیتها را در جامعه مسلمان با آغوش باز پذیرفت با هر یک معاهدات و قراردادهایی را امضا کرد و حقوق آنها را در این معاهدات محترم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صلی الله علیه واله و نیز زمامداران مسلمان بعدی بر پیمان خویش وفادار ماندند و رعایت مفاد این عهدنامه ها را بر خود واجب و لازم الاجرا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برآنیم که حقوق اقلیتها را از دیدگاه اسلام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دیدگاه</w:t>
      </w:r>
    </w:p>
    <w:p>
      <w:pPr>
        <w:pStyle w:val="BookText"/>
        <w:rPr/>
      </w:pPr>
      <w:r>
        <w:rPr>
          <w:rFonts w:ascii="IRNazanin" w:hAnsi="IRNazanin" w:eastAsia="IRNazanin"/>
          <w:color w:val="111111"/>
          <w:sz w:val="28"/>
          <w:sz w:val="28"/>
          <w:szCs w:val="28"/>
          <w:rtl w:val="true"/>
          <w:lang w:bidi="fa-IR"/>
        </w:rPr>
        <w:t>اسلام در مورد اقلیتهای نژادی ۔ قومی، قبیله ای و زبانی آگاه می شویم و سپس به حقوق اقلیتهای مذهبی از نظر اسلام می پردازیم</w:t>
      </w:r>
      <w:r>
        <w:rPr>
          <w:rFonts w:eastAsia="IRNazanin" w:cs="IRNazanin"/>
          <w:color w:val="111111"/>
          <w:sz w:val="28"/>
          <w:szCs w:val="28"/>
          <w:rtl w:val="true"/>
          <w:lang w:bidi="fa-IR"/>
        </w:rPr>
        <w:t>.</w:t>
      </w:r>
    </w:p>
    <w:p>
      <w:pPr>
        <w:pStyle w:val="Heading6"/>
        <w:numPr>
          <w:ilvl w:val="5"/>
          <w:numId w:val="1"/>
        </w:numPr>
        <w:rPr/>
      </w:pPr>
      <w:bookmarkStart w:id="523" w:name="__RefHeading___Toc1440618_372815092"/>
      <w:bookmarkStart w:id="524" w:name="_Toc195"/>
      <w:bookmarkEnd w:id="523"/>
      <w:r>
        <w:rPr>
          <w:rtl w:val="true"/>
        </w:rPr>
        <w:t xml:space="preserve">اسلام و اقلیتهای نژادی </w:t>
      </w:r>
      <w:r>
        <w:rPr>
          <w:rtl w:val="true"/>
        </w:rPr>
        <w:t xml:space="preserve">- </w:t>
      </w:r>
      <w:r>
        <w:rPr>
          <w:rtl w:val="true"/>
        </w:rPr>
        <w:t>قومی، قبیله ای و زبانی</w:t>
      </w:r>
      <w:bookmarkEnd w:id="524"/>
    </w:p>
    <w:p>
      <w:pPr>
        <w:pStyle w:val="Heading6"/>
        <w:numPr>
          <w:ilvl w:val="5"/>
          <w:numId w:val="1"/>
        </w:numPr>
        <w:rPr/>
      </w:pPr>
      <w:bookmarkStart w:id="525" w:name="__RefHeading___Toc1440620_372815092"/>
      <w:bookmarkStart w:id="526" w:name="_Toc196"/>
      <w:bookmarkEnd w:id="525"/>
      <w:r>
        <w:rPr>
          <w:rtl w:val="true"/>
        </w:rPr>
        <w:t>اسلام و منع تبعیض نژادی</w:t>
      </w:r>
      <w:bookmarkEnd w:id="526"/>
    </w:p>
    <w:p>
      <w:pPr>
        <w:pStyle w:val="BookText"/>
        <w:rPr/>
      </w:pPr>
      <w:r>
        <w:rPr>
          <w:rFonts w:ascii="IRNazanin" w:hAnsi="IRNazanin" w:eastAsia="IRNazanin"/>
          <w:color w:val="111111"/>
          <w:sz w:val="28"/>
          <w:sz w:val="28"/>
          <w:szCs w:val="28"/>
          <w:rtl w:val="true"/>
          <w:lang w:bidi="fa-IR"/>
        </w:rPr>
        <w:t xml:space="preserve">از آنجا که دین اسلام، آیینی جهان شمول است و برای تمام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بیشتر از ادیان دیگر بر برابری انسانها و عدم برتری نژادی و منع تبعیض بر اساس نژاد، رنگ پوست و زبان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تاریخ و محیطی که اسلام در آن طلوع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می بینیم که یکی از بزرگترین اهداف اسلام مبارزه با تبعیض نژادی و تأکید بر برابری تمام انسانها و نجات افراد مظلوم از جمله بردگان سیاهپوست از زیر یوغ ظلم و ستم اربابان ظالمشان است و اولین کسانی که به اسلام میگروند از همین قشر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بلال حبشی، یاسر، سمیه، عمار، صهیب رومی و امثال آنان، از همین طبقه اند و دلیل گرویدن آنها به اسلام این است که آزادی، نجات و کسب حقوق پایمال شده خود را در اسلام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تبعیض نژادی بزرگترین ارمغانی است که اسلام، در آن دوران حاکمیت جهل و نادانی و تفاخر نژادی، به بشریت اهدا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برتری نژادی و برابری انسانها آنقدر مهم است که خداوند در آیات متعدد قرآنی بر آن تأکید ورزیده و حضرت پیامبر صلی الله علیه واله و امامان معصوم علیهم السلام در روایات زیادی به آن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و روایت به عنوان نمونه در این جا ذکر می شود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النَّاسُ أَنَا خَلَقْناكُمْ مِنْ ذَكَرٍ وَ انثی وَ جَعَلْناكُمْ شُعُوباً وَ قَبائِلَ لِتَعارَفُوا انَّ أَكْرَمَكُمْ </w:t>
      </w:r>
    </w:p>
    <w:p>
      <w:pPr>
        <w:pStyle w:val="BookText"/>
        <w:rPr/>
      </w:pPr>
      <w:r>
        <w:rPr>
          <w:rFonts w:ascii="Amiri" w:hAnsi="Amiri" w:eastAsia="Amiri" w:cs="Amiri"/>
          <w:color w:val="111111"/>
          <w:sz w:val="28"/>
          <w:sz w:val="28"/>
          <w:szCs w:val="28"/>
          <w:rtl w:val="true"/>
          <w:lang w:bidi="ar-SA"/>
        </w:rPr>
        <w:t xml:space="preserve">عندالله اتقيكم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شما را از یک زن و مرد آفریدیم و شما را به صورت تیره و</w:t>
      </w:r>
    </w:p>
    <w:p>
      <w:pPr>
        <w:pStyle w:val="BookText"/>
        <w:rPr/>
      </w:pPr>
      <w:r>
        <w:rPr>
          <w:rFonts w:ascii="IRNazanin" w:hAnsi="IRNazanin" w:eastAsia="IRNazanin"/>
          <w:color w:val="111111"/>
          <w:sz w:val="28"/>
          <w:sz w:val="28"/>
          <w:szCs w:val="28"/>
          <w:rtl w:val="true"/>
          <w:lang w:bidi="fa-IR"/>
        </w:rPr>
        <w:t xml:space="preserve">قبیله 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 گرامی ترین شما نزد خداوند با تقواترین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أُمَّتُكُمْ أُمَّةً واحِدَةً وَ أَنَا ربکم فَاعْبُدُونِ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بزرگ و پیروان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واحدی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پیرویک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پروردگار شما هستم پس مرا پرستش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ان ربكم واحد و ان اباكم واحد كلكم لآدم و آدم من تراب، ان اکرمکم عندالله اتقيكم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لعربي على عجمي ولا لعجمی علی عربی فضل الا بالتقوى </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ای مردم همانا پروردگارتان یکی است و از یک پدر آفریده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w:t>
      </w:r>
    </w:p>
    <w:p>
      <w:pPr>
        <w:pStyle w:val="BookText"/>
        <w:rPr/>
      </w:pPr>
      <w:r>
        <w:rPr>
          <w:rFonts w:ascii="IRNazanin" w:hAnsi="IRNazanin" w:eastAsia="IRNazanin"/>
          <w:color w:val="111111"/>
          <w:sz w:val="28"/>
          <w:sz w:val="28"/>
          <w:szCs w:val="28"/>
          <w:rtl w:val="true"/>
          <w:lang w:bidi="fa-IR"/>
        </w:rPr>
        <w:t>آدم ابوالبشر هستید و آدم از خاک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تان با تقواترین 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از عرب بر عجم و عجم بر عرب برتری ندارد، مگر به تقوا</w:t>
      </w:r>
    </w:p>
    <w:p>
      <w:pPr>
        <w:pStyle w:val="BookText"/>
        <w:rPr/>
      </w:pPr>
      <w:r>
        <w:rPr>
          <w:rFonts w:ascii="IRNazanin" w:hAnsi="IRNazanin" w:eastAsia="IRNazanin"/>
          <w:color w:val="111111"/>
          <w:sz w:val="28"/>
          <w:sz w:val="28"/>
          <w:szCs w:val="28"/>
          <w:rtl w:val="true"/>
          <w:lang w:bidi="fa-IR"/>
        </w:rPr>
        <w:t>با توجه به این گونه آیات و روایات جای هیچ گونه شک و تردیدی نمی ماند که</w:t>
      </w:r>
    </w:p>
    <w:p>
      <w:pPr>
        <w:pStyle w:val="BookText"/>
        <w:rPr/>
      </w:pPr>
      <w:r>
        <w:rPr>
          <w:rFonts w:ascii="IRNazanin" w:hAnsi="IRNazanin" w:eastAsia="IRNazanin"/>
          <w:color w:val="111111"/>
          <w:sz w:val="28"/>
          <w:sz w:val="28"/>
          <w:szCs w:val="28"/>
          <w:rtl w:val="true"/>
          <w:lang w:bidi="fa-IR"/>
        </w:rPr>
        <w:t>اسلام نه تنها مانند اعلامیه های جهانی حقوق بشر بلکه بیشتر و بهتر از آن بر نفی تبعیض نژادی تاکید ورزیده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خطابات قرآن در دادن حق به انسانها و خواستن تکلیفی از آنها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خطاب به فلان قبیله و نژاد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آنجا که دین مبین اسلام برای هدایت تمام انسانها آمده است، لذا در دیدگاه اسلام حتى تصور فرق گذاشتن میان نژادهای مختلف انسانی یا تبعیض بر اساس زبان مورد تکلم آنها نمی رود، چه رسد به این که در جامعه، نژادی با جمعیت کمتر به عنوان اقلیت مصطلح امروز کشورها و مجامع بین المللی، شناخته و بعد درباره حقوق آن بحث شود</w:t>
      </w:r>
      <w:r>
        <w:rPr>
          <w:rFonts w:eastAsia="IRNazanin" w:cs="IRNazanin"/>
          <w:color w:val="111111"/>
          <w:sz w:val="28"/>
          <w:szCs w:val="28"/>
          <w:rtl w:val="true"/>
          <w:lang w:bidi="fa-IR"/>
        </w:rPr>
        <w:t xml:space="preserve">. </w:t>
      </w:r>
      <w:bookmarkStart w:id="527" w:name="pg6894_74680"/>
    </w:p>
    <w:p>
      <w:pPr>
        <w:pStyle w:val="Heading6"/>
        <w:numPr>
          <w:ilvl w:val="5"/>
          <w:numId w:val="1"/>
        </w:numPr>
        <w:rPr/>
      </w:pPr>
      <w:bookmarkStart w:id="528" w:name="__RefHeading___Toc1440622_372815092"/>
      <w:bookmarkStart w:id="529" w:name="_Toc197"/>
      <w:bookmarkEnd w:id="527"/>
      <w:bookmarkEnd w:id="528"/>
      <w:r>
        <w:rPr>
          <w:rtl w:val="true"/>
        </w:rPr>
        <w:t>اسلام و اقلیتهای مذهبی</w:t>
      </w:r>
      <w:bookmarkEnd w:id="529"/>
    </w:p>
    <w:p>
      <w:pPr>
        <w:pStyle w:val="Heading6"/>
        <w:numPr>
          <w:ilvl w:val="5"/>
          <w:numId w:val="1"/>
        </w:numPr>
        <w:rPr/>
      </w:pPr>
      <w:bookmarkStart w:id="530" w:name="__RefHeading___Toc1440624_372815092"/>
      <w:bookmarkStart w:id="531" w:name="_Toc198"/>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 xml:space="preserve">در حقوق اسلامی آنچه به عنوان اقلیت شناخته شده، اقلیتهای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 xml:space="preserve">تمام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همین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حقوق اقلیتهای مذهبی در اسلام سزاوار است که از دیدگاه این</w:t>
      </w:r>
    </w:p>
    <w:p>
      <w:pPr>
        <w:pStyle w:val="BookText"/>
        <w:rPr/>
      </w:pPr>
      <w:r>
        <w:rPr>
          <w:rFonts w:ascii="IRNazanin" w:hAnsi="IRNazanin" w:eastAsia="IRNazanin"/>
          <w:color w:val="111111"/>
          <w:sz w:val="28"/>
          <w:sz w:val="28"/>
          <w:szCs w:val="28"/>
          <w:rtl w:val="true"/>
          <w:lang w:bidi="fa-IR"/>
        </w:rPr>
        <w:t xml:space="preserve">دین مبین درباره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یابیم</w:t>
      </w:r>
      <w:r>
        <w:rPr>
          <w:rFonts w:eastAsia="IRNazanin" w:cs="IRNazanin"/>
          <w:color w:val="111111"/>
          <w:sz w:val="28"/>
          <w:szCs w:val="28"/>
          <w:rtl w:val="true"/>
          <w:lang w:bidi="fa-IR"/>
        </w:rPr>
        <w:t>.</w:t>
      </w:r>
    </w:p>
    <w:p>
      <w:pPr>
        <w:pStyle w:val="Heading6"/>
        <w:numPr>
          <w:ilvl w:val="5"/>
          <w:numId w:val="1"/>
        </w:numPr>
        <w:rPr/>
      </w:pPr>
      <w:bookmarkStart w:id="532" w:name="__RefHeading___Toc1440626_372815092"/>
      <w:bookmarkStart w:id="533" w:name="_Toc199"/>
      <w:bookmarkEnd w:id="532"/>
      <w:r>
        <w:rPr>
          <w:rtl w:val="true"/>
        </w:rPr>
        <w:t>اسلام و آزادی عقیده</w:t>
      </w:r>
      <w:bookmarkEnd w:id="533"/>
    </w:p>
    <w:p>
      <w:pPr>
        <w:pStyle w:val="BookText"/>
        <w:rPr/>
      </w:pPr>
      <w:r>
        <w:rPr>
          <w:rFonts w:ascii="IRNazanin" w:hAnsi="IRNazanin" w:eastAsia="IRNazanin"/>
          <w:color w:val="111111"/>
          <w:sz w:val="28"/>
          <w:sz w:val="28"/>
          <w:szCs w:val="28"/>
          <w:rtl w:val="true"/>
          <w:lang w:bidi="fa-IR"/>
        </w:rPr>
        <w:t>آزادی اندیشه و تفکر در اسلام، اصلی شناخته شده و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اجبار و اکراه در دین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صراحتا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إِكْراهَ فِي الدِّينِ قَدْ تَبَيَّنَ الرُّشْدُ مِنَ الْغَيِّ </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در پذیرش دین اجباری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آیات و روایات زیاد دیگری وجود دارد که بر آزادی عقیده و احترام به ادیان دیگر دلالت دارد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بزرگان اسلام، پیامبر صلی الله علیه واله و امامان معصوم و سایر زمامداران نیز در عمل، این اصل را مراعات می کردند و به عقاید اقلیتهای مذهبی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حضرت پیامبر صلی الله علیه واله وجود دارد که در آن به برخورد نیک با اقلیتهای غیر مسلمان سفارش شده است</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حضرت علی علیه السلام نیز در فرازهایی از نهج البلاغه و روایات دیگری که از ایشان رسیده است کارگزاران حکومت اسلامی را به رعایت حال اقلیتهای مذهبی توصیه می کند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در سیره امامان معصوم دیگر هم نمونه هایی از توجه و عنایت به اقلیتها مشاهده می شود</w:t>
      </w:r>
      <w:r>
        <w:rPr>
          <w:rFonts w:eastAsia="IRNazanin" w:cs="IRNazanin"/>
          <w:color w:val="111111"/>
          <w:sz w:val="28"/>
          <w:szCs w:val="28"/>
          <w:rtl w:val="true"/>
          <w:lang w:bidi="fa-IR"/>
        </w:rPr>
        <w:t xml:space="preserve">. </w:t>
      </w:r>
      <w:bookmarkStart w:id="534" w:name="pg6894_74681"/>
    </w:p>
    <w:p>
      <w:pPr>
        <w:pStyle w:val="BookText"/>
        <w:rPr/>
      </w:pPr>
      <w:bookmarkEnd w:id="534"/>
      <w:r>
        <w:rPr>
          <w:rFonts w:ascii="IRNazanin" w:hAnsi="IRNazanin" w:eastAsia="IRNazanin"/>
          <w:color w:val="111111"/>
          <w:sz w:val="28"/>
          <w:sz w:val="28"/>
          <w:szCs w:val="28"/>
          <w:rtl w:val="true"/>
          <w:lang w:bidi="fa-IR"/>
        </w:rPr>
        <w:t>در طول تاریخ، اقلیتهای مذهبی در جوامع اسلامی از آزادی کامل در عقایدشان</w:t>
      </w:r>
    </w:p>
    <w:p>
      <w:pPr>
        <w:pStyle w:val="BookText"/>
        <w:rPr/>
      </w:pPr>
      <w:r>
        <w:rPr>
          <w:rFonts w:ascii="IRNazanin" w:hAnsi="IRNazanin" w:eastAsia="IRNazanin"/>
          <w:color w:val="111111"/>
          <w:sz w:val="28"/>
          <w:sz w:val="28"/>
          <w:szCs w:val="28"/>
          <w:rtl w:val="true"/>
          <w:lang w:bidi="fa-IR"/>
        </w:rPr>
        <w:t>برخوردار بوده اند، که این امر تحسین برخی از نویسندگان غربی را نیز برانگیخته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اکنون نوبت آن رسیده است که به حقوق اقلیتهای مذهبی در اسلام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کفار را به دو دسته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اهل کتاب؛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غیر اهل کتاب</w:t>
      </w:r>
      <w:r>
        <w:rPr>
          <w:rFonts w:eastAsia="IRNazanin" w:cs="IRNazanin"/>
          <w:color w:val="111111"/>
          <w:sz w:val="28"/>
          <w:szCs w:val="28"/>
          <w:rtl w:val="true"/>
          <w:lang w:bidi="fa-IR"/>
        </w:rPr>
        <w:t>.</w:t>
      </w:r>
    </w:p>
    <w:p>
      <w:pPr>
        <w:pStyle w:val="Heading6"/>
        <w:numPr>
          <w:ilvl w:val="5"/>
          <w:numId w:val="1"/>
        </w:numPr>
        <w:rPr/>
      </w:pPr>
      <w:bookmarkStart w:id="535" w:name="__RefHeading___Toc1440628_372815092"/>
      <w:bookmarkStart w:id="536" w:name="_Toc200"/>
      <w:bookmarkEnd w:id="535"/>
      <w:r>
        <w:rPr>
          <w:rtl w:val="true"/>
        </w:rPr>
        <w:t>اقلیتهای مذهبی اهل کتاب</w:t>
      </w:r>
      <w:bookmarkEnd w:id="536"/>
    </w:p>
    <w:p>
      <w:pPr>
        <w:pStyle w:val="Heading6"/>
        <w:numPr>
          <w:ilvl w:val="5"/>
          <w:numId w:val="1"/>
        </w:numPr>
        <w:rPr/>
      </w:pPr>
      <w:bookmarkStart w:id="537" w:name="__RefHeading___Toc1440630_372815092"/>
      <w:bookmarkStart w:id="538" w:name="_Toc201"/>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حکومت اسلامی، موظف است با این دسته از اقلیتها قرارداد ذمه منعقد و حقوق آنها را در پرتو این قرارداد رعایت کند و تعهدات خود را در قبال آنها، در چارچوب این قرارداد به نحو احسن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اهل کتاب شمرده می شوند؟</w:t>
      </w:r>
    </w:p>
    <w:p>
      <w:pPr>
        <w:pStyle w:val="BookText"/>
        <w:rPr/>
      </w:pPr>
      <w:r>
        <w:rPr>
          <w:rFonts w:ascii="IRNazanin" w:hAnsi="IRNazanin" w:eastAsia="IRNazanin"/>
          <w:color w:val="111111"/>
          <w:sz w:val="28"/>
          <w:sz w:val="28"/>
          <w:szCs w:val="28"/>
          <w:rtl w:val="true"/>
          <w:lang w:bidi="fa-IR"/>
        </w:rPr>
        <w:t xml:space="preserve">قرآن، یهودیها، پیروان شریعت حضرت موسی، و مسيحيها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پیروان</w:t>
      </w:r>
    </w:p>
    <w:p>
      <w:pPr>
        <w:pStyle w:val="BookText"/>
        <w:rPr/>
      </w:pPr>
      <w:r>
        <w:rPr>
          <w:rFonts w:ascii="IRNazanin" w:hAnsi="IRNazanin" w:eastAsia="IRNazanin"/>
          <w:color w:val="111111"/>
          <w:sz w:val="28"/>
          <w:sz w:val="28"/>
          <w:szCs w:val="28"/>
          <w:rtl w:val="true"/>
          <w:lang w:bidi="fa-IR"/>
        </w:rPr>
        <w:t>حضرت عیسی، را اهل کتاب نامیده است</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فقها نیز در مباحث فقهیشان از آنها با این نام یاد کرده اند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زردشتیها نیز به دلیل روایاتی از پیامبر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پیامبری داشته اند و او را به قتل رسانیده اند و نیز کتاب آسمانی بر آنان نازل شده بوده و آن را آتش زده اند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در حكم اهل کتاب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صابئان، میان فقها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در مورد آنان چنین فرموده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اینکه اهل کتاب بودن صابئان احراز نگردد آنها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شبهة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 شوند مانند مجوس ازردشتیها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شبهة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مجوس ندارد، بلکه در مورد هر آئینی که در این ملاک با آنان مشترک باشد، جاری خواهد </w:t>
      </w:r>
      <w:bookmarkStart w:id="539" w:name="pg6894_74682"/>
    </w:p>
    <w:p>
      <w:pPr>
        <w:pStyle w:val="BookText"/>
        <w:rPr/>
      </w:pPr>
      <w:bookmarkEnd w:id="539"/>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صابئان نیز خود را معتقد به توحید، دارای پیامبر، کتاب آسمانی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ادعای آنها در مورد بیان عقایدشان و آنچه در معارف و احکام به خود منتسب می دانند، روش عقلایی و هماهنگ با بنای عقلا در دیگر موارد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ایشان دعوی ایمان به خدا و آخرت و پیروی پیامبری از پیامبران معروف و شناخته شده را داشتند و هم چنین ادعای عمل به کتابی از کتابهای آسمانی را کردند که احتمال آن می رود که از سوی خداوند نازل شده باشد در چنین موردی مقتضای قاعده عقلایی آن است که بایستی سخن ایشان را اخذ کرد و به دعوی آنان تمسک جست و تردیدی در این مورد به خود راه نداد و شارع هم از این قاعده عقلایی، ردع و منعی ننموده است</w:t>
      </w:r>
      <w:r>
        <w:rPr>
          <w:rFonts w:eastAsia="IRNazanin" w:cs="IRNazanin"/>
          <w:color w:val="111111"/>
          <w:sz w:val="28"/>
          <w:szCs w:val="28"/>
          <w:rtl w:val="true"/>
          <w:lang w:bidi="fa-IR"/>
        </w:rPr>
        <w:t xml:space="preserve">. </w:t>
      </w:r>
      <w:r>
        <w:rPr>
          <w:rStyle w:val="FootnoteAnchor"/>
          <w:rtl w:val="true"/>
        </w:rPr>
        <w:footnoteReference w:id="507"/>
      </w:r>
    </w:p>
    <w:p>
      <w:pPr>
        <w:pStyle w:val="Heading6"/>
        <w:numPr>
          <w:ilvl w:val="5"/>
          <w:numId w:val="1"/>
        </w:numPr>
        <w:rPr/>
      </w:pPr>
      <w:bookmarkStart w:id="540" w:name="__RefHeading___Toc1440632_372815092"/>
      <w:bookmarkStart w:id="541" w:name="_Toc202"/>
      <w:bookmarkEnd w:id="540"/>
      <w:r>
        <w:rPr>
          <w:rtl w:val="true"/>
        </w:rPr>
        <w:t>قرارداد ذمه</w:t>
      </w:r>
      <w:r>
        <w:rPr>
          <w:rtl w:val="true"/>
        </w:rPr>
        <w:t>:</w:t>
      </w:r>
      <w:bookmarkEnd w:id="541"/>
    </w:p>
    <w:p>
      <w:pPr>
        <w:pStyle w:val="BookText"/>
        <w:rPr/>
      </w:pPr>
      <w:r>
        <w:rPr>
          <w:rFonts w:ascii="IRNazanin" w:hAnsi="IRNazanin" w:eastAsia="IRNazanin"/>
          <w:color w:val="111111"/>
          <w:sz w:val="28"/>
          <w:sz w:val="28"/>
          <w:szCs w:val="28"/>
          <w:rtl w:val="true"/>
          <w:lang w:bidi="fa-IR"/>
        </w:rPr>
        <w:t>قرارداد ذمه قراردادی است که حکومت اسلامی با کفار اهل کتاب منعقد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اساس این قرارداد اقلیتهای مذهبی اهل کتاب متعهد می شوند که سالانه مالیاتی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اسلامی بپردازند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 در مقابل دولت اسلامی خود را موظف می داند که آنها را تحت پوشش حمایتی خویش در آورد و امنیت، آسایش و برخورداری از حقوق لازم را برایشان فراهم کند</w:t>
      </w:r>
      <w:r>
        <w:rPr>
          <w:rFonts w:eastAsia="IRNazanin" w:cs="IRNazanin"/>
          <w:color w:val="111111"/>
          <w:sz w:val="28"/>
          <w:szCs w:val="28"/>
          <w:rtl w:val="true"/>
          <w:lang w:bidi="fa-IR"/>
        </w:rPr>
        <w:t>.</w:t>
      </w:r>
    </w:p>
    <w:p>
      <w:pPr>
        <w:pStyle w:val="Heading6"/>
        <w:numPr>
          <w:ilvl w:val="5"/>
          <w:numId w:val="1"/>
        </w:numPr>
        <w:rPr/>
      </w:pPr>
      <w:bookmarkStart w:id="542" w:name="__RefHeading___Toc1440634_372815092"/>
      <w:bookmarkStart w:id="543" w:name="_Toc203"/>
      <w:bookmarkEnd w:id="542"/>
      <w:r>
        <w:rPr>
          <w:rtl w:val="true"/>
        </w:rPr>
        <w:t>مفهوم جزیه و خراج</w:t>
      </w:r>
      <w:r>
        <w:rPr>
          <w:rtl w:val="true"/>
        </w:rPr>
        <w:t>:</w:t>
      </w:r>
      <w:bookmarkEnd w:id="54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لغوی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بیشتر اهل لغت کلمه جزیه، لفظی است عربی و گرفته شده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اللغة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جزیه چیزی است که از اهل ذمه دریافت می شود و جمع آن جزی است مانند لحيه، لح</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گروهی دیگر بر آنند که این لفظ، معرب کلمه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0"/>
      </w:r>
      <w:bookmarkStart w:id="544" w:name="pg6894_74683"/>
    </w:p>
    <w:p>
      <w:pPr>
        <w:pStyle w:val="BookText"/>
        <w:rPr/>
      </w:pPr>
      <w:bookmarkEnd w:id="544"/>
      <w:r>
        <w:rPr>
          <w:rFonts w:ascii="IRNazanin" w:hAnsi="IRNazanin" w:eastAsia="IRNazanin"/>
          <w:color w:val="111111"/>
          <w:sz w:val="28"/>
          <w:sz w:val="28"/>
          <w:szCs w:val="28"/>
          <w:rtl w:val="true"/>
          <w:lang w:bidi="fa-IR"/>
        </w:rPr>
        <w:t>معنای لغوی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خراج در اصل بنا بر نظر مرجح، از راه زبان آرامی، از</w:t>
      </w:r>
    </w:p>
    <w:p>
      <w:pPr>
        <w:pStyle w:val="BookText"/>
        <w:rPr/>
      </w:pPr>
      <w:r>
        <w:rPr>
          <w:rFonts w:ascii="IRNazanin" w:hAnsi="IRNazanin" w:eastAsia="IRNazanin"/>
          <w:color w:val="111111"/>
          <w:sz w:val="28"/>
          <w:sz w:val="28"/>
          <w:szCs w:val="28"/>
          <w:rtl w:val="true"/>
          <w:lang w:bidi="fa-IR"/>
        </w:rPr>
        <w:t>فارسی از عبری و آکادی، و بنا بر نظری دیگر از راه زبان فارسی از آرامی، و بنا بر نظر سوم از راه زبان سریانی از یونانی به عربی آمده و به هر حال فرهنگ نویسان و زبان شناسان عرب نیز معتقد بوده اند که این کلمه عربی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پس از آمدن به عربی، در این زبان در معانی قریب المأخذی از قبیل درآمد و سود، محصول زمین و عوارض به مفهوم اعم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نبوی نیز به همان معنای لغوی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مرور در معنی مالیات تخصیص یافته که در عرف عام معمولا معنایی وسیع داشته و شامل انواع مالیاتها بوده، و در عرف خاص حقوقی در معنی دقیقتر آن یعنی مالیات ارضی به کار می رفته است</w:t>
      </w:r>
      <w:r>
        <w:rPr>
          <w:rFonts w:eastAsia="IRNazanin" w:cs="IRNazanin"/>
          <w:color w:val="111111"/>
          <w:sz w:val="28"/>
          <w:szCs w:val="28"/>
          <w:rtl w:val="true"/>
          <w:lang w:bidi="fa-IR"/>
        </w:rPr>
        <w:t xml:space="preserve">.» </w:t>
      </w:r>
      <w:r>
        <w:rPr>
          <w:rStyle w:val="FootnoteAnchor"/>
          <w:rtl w:val="true"/>
        </w:rPr>
        <w:footnoteReference w:id="511"/>
      </w:r>
    </w:p>
    <w:p>
      <w:pPr>
        <w:pStyle w:val="Heading6"/>
        <w:numPr>
          <w:ilvl w:val="5"/>
          <w:numId w:val="1"/>
        </w:numPr>
        <w:rPr/>
      </w:pPr>
      <w:bookmarkStart w:id="545" w:name="__RefHeading___Toc1440636_372815092"/>
      <w:bookmarkStart w:id="546" w:name="_Toc204"/>
      <w:bookmarkEnd w:id="545"/>
      <w:r>
        <w:rPr>
          <w:rtl w:val="true"/>
        </w:rPr>
        <w:t>تفاوت جزیه و خراج</w:t>
      </w:r>
      <w:r>
        <w:rPr>
          <w:rtl w:val="true"/>
        </w:rPr>
        <w:t>:</w:t>
      </w:r>
      <w:bookmarkEnd w:id="546"/>
    </w:p>
    <w:p>
      <w:pPr>
        <w:pStyle w:val="BookText"/>
        <w:rPr/>
      </w:pPr>
      <w:r>
        <w:rPr>
          <w:rFonts w:ascii="IRNazanin" w:hAnsi="IRNazanin" w:eastAsia="IRNazanin"/>
          <w:color w:val="111111"/>
          <w:sz w:val="28"/>
          <w:sz w:val="28"/>
          <w:szCs w:val="28"/>
          <w:rtl w:val="true"/>
          <w:lang w:bidi="fa-IR"/>
        </w:rPr>
        <w:t>اگرچه بعضی معتقدند که میان جزیه و خراج فرقی نیست ولی مسلما میان آن دو</w:t>
      </w:r>
    </w:p>
    <w:p>
      <w:pPr>
        <w:pStyle w:val="BookText"/>
        <w:rPr/>
      </w:pPr>
      <w:r>
        <w:rPr>
          <w:rFonts w:ascii="IRNazanin" w:hAnsi="IRNazanin" w:eastAsia="IRNazanin"/>
          <w:color w:val="111111"/>
          <w:sz w:val="28"/>
          <w:sz w:val="28"/>
          <w:szCs w:val="28"/>
          <w:rtl w:val="true"/>
          <w:lang w:bidi="fa-IR"/>
        </w:rPr>
        <w:t>تفاوتهایی وجود دارد و مهمترین تفاوت آن است که جزیه بر مالیات سرانه اطلاق</w:t>
      </w:r>
    </w:p>
    <w:p>
      <w:pPr>
        <w:pStyle w:val="BookText"/>
        <w:rPr/>
      </w:pPr>
      <w:r>
        <w:rPr>
          <w:rFonts w:ascii="IRNazanin" w:hAnsi="IRNazanin" w:eastAsia="IRNazanin"/>
          <w:color w:val="111111"/>
          <w:sz w:val="28"/>
          <w:sz w:val="28"/>
          <w:szCs w:val="28"/>
          <w:rtl w:val="true"/>
          <w:lang w:bidi="fa-IR"/>
        </w:rPr>
        <w:t xml:space="preserve">می شده است و خراج بر مالیات ارضی و علاوه بر این، از آنجا که خراج بر مطلق مالیات ارضی گفته می شده، اختصاص به کفار اهل ذمه ندارد بلکه مسلمانان هم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داشته باشند باید خراج آن را بپردازند، به همین دلیل با اسلام آوردن شخص ذمی، جزیه او ساقط می شود ولی خراج ساقط نمی گردد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حتی بعضی گفته اند واژه خراج از زمان خلیفه دوم به بعد، در میان مسلمانان معمول گشت و در دوره پیامبر به هیچ وجه وجود نداشته است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آقای عمید زنجانی در تفاوت جزیه و خراج چنین می 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موارد به جای جزیه، خراج در عهدنامه های ذمه قید می گردید و ذمیان متعهد </w:t>
      </w:r>
      <w:bookmarkStart w:id="547" w:name="pg6894_74684"/>
    </w:p>
    <w:p>
      <w:pPr>
        <w:pStyle w:val="BookText"/>
        <w:rPr/>
      </w:pPr>
      <w:bookmarkEnd w:id="547"/>
      <w:r>
        <w:rPr>
          <w:rFonts w:ascii="IRNazanin" w:hAnsi="IRNazanin" w:eastAsia="IRNazanin"/>
          <w:color w:val="111111"/>
          <w:sz w:val="28"/>
          <w:sz w:val="28"/>
          <w:szCs w:val="28"/>
          <w:rtl w:val="true"/>
          <w:lang w:bidi="fa-IR"/>
        </w:rPr>
        <w:t>می شدند به جای مالیات سرانه، سالیانه قسمتی از محصولات کشاورزی خود را به</w:t>
      </w:r>
    </w:p>
    <w:p>
      <w:pPr>
        <w:pStyle w:val="BookText"/>
        <w:rPr/>
      </w:pPr>
      <w:r>
        <w:rPr>
          <w:rFonts w:ascii="IRNazanin" w:hAnsi="IRNazanin" w:eastAsia="IRNazanin"/>
          <w:color w:val="111111"/>
          <w:sz w:val="28"/>
          <w:sz w:val="28"/>
          <w:szCs w:val="28"/>
          <w:rtl w:val="true"/>
          <w:lang w:bidi="fa-IR"/>
        </w:rPr>
        <w:t>دولت مسؤول بپردازند و شاید همین موضوع موجب آن شد که در پاره ای موارد، دو اصطلاح مزبور به جای یکدیگر استعمال گردند و همین امر موجب اشتباه جمعی از مستشرقین مبنی بر یکی دانستن آن دو شده است</w:t>
      </w:r>
      <w:r>
        <w:rPr>
          <w:rFonts w:eastAsia="IRNazanin" w:cs="IRNazanin"/>
          <w:color w:val="111111"/>
          <w:sz w:val="28"/>
          <w:szCs w:val="28"/>
          <w:rtl w:val="true"/>
          <w:lang w:bidi="fa-IR"/>
        </w:rPr>
        <w:t xml:space="preserve">. </w:t>
      </w:r>
      <w:r>
        <w:rPr>
          <w:rStyle w:val="FootnoteAnchor"/>
          <w:rtl w:val="true"/>
        </w:rPr>
        <w:footnoteReference w:id="514"/>
      </w:r>
    </w:p>
    <w:p>
      <w:pPr>
        <w:pStyle w:val="Heading6"/>
        <w:numPr>
          <w:ilvl w:val="5"/>
          <w:numId w:val="1"/>
        </w:numPr>
        <w:rPr/>
      </w:pPr>
      <w:bookmarkStart w:id="548" w:name="__RefHeading___Toc1440638_372815092"/>
      <w:bookmarkStart w:id="549" w:name="_Toc205"/>
      <w:bookmarkEnd w:id="548"/>
      <w:r>
        <w:rPr>
          <w:rtl w:val="true"/>
        </w:rPr>
        <w:t>سابقه جزیه و خراج</w:t>
      </w:r>
      <w:r>
        <w:rPr>
          <w:rtl w:val="true"/>
        </w:rPr>
        <w:t>:</w:t>
      </w:r>
      <w:bookmarkEnd w:id="549"/>
    </w:p>
    <w:p>
      <w:pPr>
        <w:pStyle w:val="BookText"/>
        <w:rPr/>
      </w:pPr>
      <w:r>
        <w:rPr>
          <w:rFonts w:ascii="IRNazanin" w:hAnsi="IRNazanin" w:eastAsia="IRNazanin"/>
          <w:color w:val="111111"/>
          <w:sz w:val="28"/>
          <w:sz w:val="28"/>
          <w:szCs w:val="28"/>
          <w:rtl w:val="true"/>
          <w:lang w:bidi="fa-IR"/>
        </w:rPr>
        <w:t>جزیه و خراج از تأسیسات دین اسلام نیست بلکه مدتها قبل از ظهور اسلام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تاریخ، جزیه و خراج، در امپراتوری ساسانی ایران و امپراتوری بیزانس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مسلمانان روش طبقه بندی اراضی خراجی و نحوه خراج بستن بر آنها را با توجه به نوع زمین، به تقلید از شیوه حکومت ساسانی ایران، انجام می دادند</w:t>
      </w:r>
      <w:r>
        <w:rPr>
          <w:rFonts w:eastAsia="IRNazanin" w:cs="IRNazanin"/>
          <w:color w:val="111111"/>
          <w:sz w:val="28"/>
          <w:szCs w:val="28"/>
          <w:rtl w:val="true"/>
          <w:lang w:bidi="fa-IR"/>
        </w:rPr>
        <w:t xml:space="preserve">. </w:t>
      </w:r>
      <w:r>
        <w:rPr>
          <w:rStyle w:val="FootnoteAnchor"/>
          <w:rtl w:val="true"/>
        </w:rPr>
        <w:footnoteReference w:id="515"/>
      </w:r>
    </w:p>
    <w:p>
      <w:pPr>
        <w:pStyle w:val="Heading6"/>
        <w:numPr>
          <w:ilvl w:val="5"/>
          <w:numId w:val="1"/>
        </w:numPr>
        <w:rPr/>
      </w:pPr>
      <w:bookmarkStart w:id="550" w:name="__RefHeading___Toc1440640_372815092"/>
      <w:bookmarkStart w:id="551" w:name="_Toc206"/>
      <w:bookmarkEnd w:id="550"/>
      <w:r>
        <w:rPr>
          <w:rtl w:val="true"/>
        </w:rPr>
        <w:t>مقدار جزیه و خراج</w:t>
      </w:r>
      <w:r>
        <w:rPr>
          <w:rtl w:val="true"/>
        </w:rPr>
        <w:t>:</w:t>
      </w:r>
      <w:bookmarkEnd w:id="551"/>
    </w:p>
    <w:p>
      <w:pPr>
        <w:pStyle w:val="BookText"/>
        <w:rPr/>
      </w:pPr>
      <w:r>
        <w:rPr>
          <w:rFonts w:ascii="IRNazanin" w:hAnsi="IRNazanin" w:eastAsia="IRNazanin"/>
          <w:color w:val="111111"/>
          <w:sz w:val="28"/>
          <w:sz w:val="28"/>
          <w:szCs w:val="28"/>
          <w:rtl w:val="true"/>
          <w:lang w:bidi="fa-IR"/>
        </w:rPr>
        <w:t>در این مورد روایاتی وجود دارد از جمله دو روایت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جعل على أغنيائهم ثمانية و اربعین درهما، و على أوساطهم أربعة و عشرين درهما، و جعل على فقرائهم اثنی عشر درهما و كذلك صنع عمر بن الخطاب قبله و انما صنعه بمشورته علیه السلام </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از حضرت امیر روایت شده که ایشان بر توانگران چهل و هشت درهم و بر افراد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متوسط الحال بیست و چهار درهم و بر افراد کم بضاعت دوازده درهم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ایشان، عمر بن خطاب نیز به همین ترتیب عمل می کرد و این کار را با مشورت حضرت على علیه السلام انجام می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الْجِزْيَةِ عَلَى أَهْلِ الْكِتَابِ وَ هَلْ عَلَيْهِمْ فِي ذَلِكَ شَيْ‌ءُ مُوَظَّفُ لَا يَنْبَغِي أَنْ يَجُوزَ الَىَّ غَيْرِهِ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الَىَّ الْأَمَامَ ، يَأْخُذُ مِنْ كُلِّ انسان مِنْهُمْ مَا شَاءَ عَلَى قَدْرِ مَالِهِ وَ مَا يُطِيقُ ، أَنَّما هُمْ قَوْمُ فَدَوْا أَنْفُسَهُمْ مِنْ أَنْ يُسْتَعْبَدُوا أَوْ يُقْتَلُوا فَالْجِزْيَةُ تُؤْخَذُ مِنْهُمْ عَلَى قَدْرِ مَا يُطِيقُونَ لَهُ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بر اساس این روایت صحیح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حد و میزان جزیه چیست؟ آیا در این زمینه مقدار معینی مقرر شده که از آن نباید تجاوز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موکول به نظر پیشوای مسلمین است، به هر فردی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میزان مالش و به اندازه ای که قادر به پرداخت آن باشد، مقرر می دارد؛ آنان گروهی هستند که به خاطر نجات یافتن از اسارت و نابودی، جزیه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آنان جزیه تنها به اندازه ای که قدرت و تمکن دارند دریافت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نیز بر این که تعیین مقدار جزیه به اختیار امام است، 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جزیه از نظر حداقل و حداکثر تعیین نشده، بلکه مقدار آن منوط به نظر امام است و این قول به نظر من قوی است و مرحوم شیخ طوسی و شیخ صدوق نیز همین قول را اختیار کرده اند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تقدير الجزية الى الامام</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از مجموع روایات مذکور و كلمات فقها به این نتیجه می رسیم که تعیین مقدار جزیه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خراج به اختیار امام است، و امام با در نظر گرفتن توانایی و تمکن مالی اقلیتها این مالیات را در حق آنان مقرر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جنبه دیگری از توجه دین اسلام به رعایت حال اقلیتها را نشان می دهد</w:t>
      </w:r>
      <w:r>
        <w:rPr>
          <w:rFonts w:eastAsia="IRNazanin" w:cs="IRNazanin"/>
          <w:color w:val="111111"/>
          <w:sz w:val="28"/>
          <w:szCs w:val="28"/>
          <w:rtl w:val="true"/>
          <w:lang w:bidi="fa-IR"/>
        </w:rPr>
        <w:t xml:space="preserve">. </w:t>
      </w:r>
      <w:bookmarkStart w:id="552" w:name="pg6894_74686"/>
    </w:p>
    <w:p>
      <w:pPr>
        <w:pStyle w:val="Heading6"/>
        <w:numPr>
          <w:ilvl w:val="5"/>
          <w:numId w:val="1"/>
        </w:numPr>
        <w:rPr/>
      </w:pPr>
      <w:bookmarkStart w:id="553" w:name="__RefHeading___Toc1440642_372815092"/>
      <w:bookmarkStart w:id="554" w:name="_Toc207"/>
      <w:bookmarkEnd w:id="552"/>
      <w:bookmarkEnd w:id="553"/>
      <w:r>
        <w:rPr>
          <w:rtl w:val="true"/>
        </w:rPr>
        <w:t>آیا خراج و جزیه هر دو بر ذمی واجب است؟</w:t>
      </w:r>
      <w:bookmarkEnd w:id="554"/>
    </w:p>
    <w:p>
      <w:pPr>
        <w:pStyle w:val="BookText"/>
        <w:rPr/>
      </w:pPr>
      <w:r>
        <w:rPr>
          <w:rFonts w:ascii="IRNazanin" w:hAnsi="IRNazanin" w:eastAsia="IRNazanin"/>
          <w:color w:val="111111"/>
          <w:sz w:val="28"/>
          <w:sz w:val="28"/>
          <w:szCs w:val="28"/>
          <w:rtl w:val="true"/>
          <w:lang w:bidi="fa-IR"/>
        </w:rPr>
        <w:t xml:space="preserve">طبق روایات صحیحی که در این باره از پیشوایان دین رسیده است، اهل ذمه منحصر به پرداخت مالیات 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می باشند، </w:t>
      </w:r>
      <w:r>
        <w:rPr>
          <w:rStyle w:val="FootnoteAnchor"/>
          <w:rtl w:val="true"/>
        </w:rPr>
        <w:footnoteReference w:id="520"/>
      </w:r>
      <w:r>
        <w:rPr>
          <w:rFonts w:ascii="IRNazanin" w:hAnsi="IRNazanin" w:eastAsia="IRNazanin"/>
          <w:color w:val="111111"/>
          <w:sz w:val="28"/>
          <w:sz w:val="28"/>
          <w:szCs w:val="28"/>
          <w:rtl w:val="true"/>
          <w:lang w:bidi="fa-IR"/>
        </w:rPr>
        <w:t>نهایت آنکه طرفین معاهده می توانند به جای مالیات سرانه، مالیات ارضی را در قرارداد ذمه قید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تعهدات مالی ذمیان به یکی از دو صورت فوق تعیین و مقرر می شود و هرگاه مالیات 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 خراجی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آنان نخواهد بود و اگر نظر طرفین بر پرداخت مالیات 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 اهل ذمه از پرداخت مالیات 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می شوند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بنابراین، ادعای کسانی که معتقد به لزوم پرداخت هر دو از سوی ذمی هستند بی دلیل است</w:t>
      </w:r>
      <w:r>
        <w:rPr>
          <w:rFonts w:eastAsia="IRNazanin" w:cs="IRNazanin"/>
          <w:color w:val="111111"/>
          <w:sz w:val="28"/>
          <w:szCs w:val="28"/>
          <w:rtl w:val="true"/>
          <w:lang w:bidi="fa-IR"/>
        </w:rPr>
        <w:t xml:space="preserve">. </w:t>
      </w:r>
      <w:r>
        <w:rPr>
          <w:rStyle w:val="FootnoteAnchor"/>
          <w:rtl w:val="true"/>
        </w:rPr>
        <w:footnoteReference w:id="522"/>
      </w:r>
    </w:p>
    <w:p>
      <w:pPr>
        <w:pStyle w:val="Heading6"/>
        <w:numPr>
          <w:ilvl w:val="5"/>
          <w:numId w:val="1"/>
        </w:numPr>
        <w:rPr/>
      </w:pPr>
      <w:bookmarkStart w:id="555" w:name="__RefHeading___Toc1440644_372815092"/>
      <w:bookmarkStart w:id="556" w:name="_Toc208"/>
      <w:bookmarkEnd w:id="555"/>
      <w:r>
        <w:rPr>
          <w:rtl w:val="true"/>
        </w:rPr>
        <w:t>فلسفه تشریع جزيه</w:t>
      </w:r>
      <w:r>
        <w:rPr>
          <w:rtl w:val="true"/>
        </w:rPr>
        <w:t>:</w:t>
      </w:r>
      <w:bookmarkEnd w:id="556"/>
    </w:p>
    <w:p>
      <w:pPr>
        <w:pStyle w:val="BookText"/>
        <w:rPr/>
      </w:pPr>
      <w:r>
        <w:rPr>
          <w:rFonts w:ascii="IRNazanin" w:hAnsi="IRNazanin" w:eastAsia="IRNazanin"/>
          <w:color w:val="111111"/>
          <w:sz w:val="28"/>
          <w:sz w:val="28"/>
          <w:szCs w:val="28"/>
          <w:rtl w:val="true"/>
          <w:lang w:bidi="fa-IR"/>
        </w:rPr>
        <w:t>فقها و مفسران شیعه و سنی در مورد علت تشریع جزیه، سخنان پراکنده ای دارند که برای پاره ای از آنها هیچ گونه شاهد و دلیلی در کتاب و سنت یافت نمی شود و تأسف آور است که بعضی از همین سخنان دستاویز گروهی از شرق شناسان کینه ورز واقع شده و آنان را در حمله به اسلام و حاکمیت مسلمانان تشویق کرده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اخذ جزیه نه به عنوان کیفر و مجازات یا اهانت و خوار ساختن کار است بلکه به خاطر حمایت از حقوق اهل ذمه و حسن اداره و تأمین امنیت و آسایش آنهاست و نیز این مالیات در عوض شرکت نکردن آنان در امور نظامی و وارد نشدن در </w:t>
      </w:r>
    </w:p>
    <w:p>
      <w:pPr>
        <w:pStyle w:val="BookText"/>
        <w:rPr/>
      </w:pPr>
      <w:r>
        <w:rPr>
          <w:rFonts w:ascii="IRNazanin" w:hAnsi="IRNazanin" w:eastAsia="IRNazanin"/>
          <w:color w:val="111111"/>
          <w:sz w:val="28"/>
          <w:sz w:val="28"/>
          <w:szCs w:val="28"/>
          <w:rtl w:val="true"/>
          <w:lang w:bidi="fa-IR"/>
        </w:rPr>
        <w:t>ارتش اسلامی است و به عبارت دیگر اسلام با اخذ جزیه از آنها بار شرکت در جنگ و تحمل سختیهای جنگ را از دوش آنها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ذیل، جزیه مجازات و کیفر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علما عقد جزیه تنها با رضایت طرفین عقد تمام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قبلا ذکر شد، مقدار جزیه با توجه به توانایی مالی اهل ذمه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امر با کیفر بودن جزیه 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چنان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جزیه نسبت به زکات و دیگر حقوق</w:t>
      </w:r>
    </w:p>
    <w:p>
      <w:pPr>
        <w:pStyle w:val="BookText"/>
        <w:rPr/>
      </w:pPr>
      <w:r>
        <w:rPr>
          <w:rFonts w:ascii="IRNazanin" w:hAnsi="IRNazanin" w:eastAsia="IRNazanin"/>
          <w:color w:val="111111"/>
          <w:sz w:val="28"/>
          <w:sz w:val="28"/>
          <w:szCs w:val="28"/>
          <w:rtl w:val="true"/>
          <w:lang w:bidi="fa-IR"/>
        </w:rPr>
        <w:t xml:space="preserve">شرعیی که بر مسلمانان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کفارات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اهل ذمه، مكلف به شرکت در امر دفاع و همکاری در امور نظامی نیستند و حال آنکه همه اینها بر مسلمانان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بر همه افراد اهل ذمه واجب نیست و پرداخت آن فقط بر مردان سالم و</w:t>
      </w:r>
    </w:p>
    <w:p>
      <w:pPr>
        <w:pStyle w:val="BookText"/>
        <w:rPr/>
      </w:pPr>
      <w:r>
        <w:rPr>
          <w:rFonts w:ascii="IRNazanin" w:hAnsi="IRNazanin" w:eastAsia="IRNazanin"/>
          <w:color w:val="111111"/>
          <w:sz w:val="28"/>
          <w:sz w:val="28"/>
          <w:szCs w:val="28"/>
          <w:rtl w:val="true"/>
          <w:lang w:bidi="fa-IR"/>
        </w:rPr>
        <w:t xml:space="preserve">تندرست لازم است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 جزیه معاف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گذشت روایات زیادی داریم که در آنها پیامبر و امامان اذیت و آزار ذمیان را شدیدا نهی کرده اند و اینها با مجازات بودن جزیه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برابر نقل ثقة الاسلام کلینی در کافی، علی علیه السلام مردی از قبیله ثقیف را برای جمع آوری خراج به بانقيا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نواحی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او، در هنگام رفتن به محل مأموریت،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تَضْرِبَ مُسْلِماً أَوْ يَهُودِيّاً أَوْ نَصْرَانِيّاً فِي دِرْهَمِ خَرَاجٍ أَوْ تَبِيعَ دَابَّةَ عَمَلٍ فِي دِرْهَمٍ فانا أُمِرْنَا أَنْ نَأْخُذَ مِنْهُمُ الْعَفْوَ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جهت گرفتن یک درهم خراج، شخص مسلمان یا یهودی یا مسیحی را مورد</w:t>
      </w:r>
    </w:p>
    <w:p>
      <w:pPr>
        <w:pStyle w:val="BookText"/>
        <w:rPr/>
      </w:pPr>
      <w:r>
        <w:rPr>
          <w:rFonts w:ascii="IRNazanin" w:hAnsi="IRNazanin" w:eastAsia="IRNazanin"/>
          <w:color w:val="111111"/>
          <w:sz w:val="28"/>
          <w:sz w:val="28"/>
          <w:szCs w:val="28"/>
          <w:rtl w:val="true"/>
          <w:lang w:bidi="fa-IR"/>
        </w:rPr>
        <w:t>ضرب و شتم قرار دهی یا برای این منظور، حیوانی از آنان را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مأموریم فزون بر نیازهای آنان را دریافت داریم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حضرت علی علیه السلام که از طریق اهل سنت از آن حضرت نقل شده، نیز تأییدی است بر گفتار ما و آن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إِنَّمَا بَذَلُوا الْجِزْيَةِ لِتَكُونَ أَمْوَالِهِمْ كأموالنا وَ دِمَاؤُهُمْ کدمائنا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ذمه به پرداخت جزیه تن در دادند تا مال و خونشان مانند مال و خون ما، نگهداری شده و در امان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 در مورد هزینه و مصرف جزیه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اختصاص به رزمندگان دارد و در راه جهاد و دفاع از اسلام هزینه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علما بیانگر این نکته است که در برابر وظیفه نداشتن اهل ذمه برای شرکت</w:t>
      </w:r>
    </w:p>
    <w:p>
      <w:pPr>
        <w:pStyle w:val="BookText"/>
        <w:rPr/>
      </w:pPr>
      <w:r>
        <w:rPr>
          <w:rFonts w:ascii="IRNazanin" w:hAnsi="IRNazanin" w:eastAsia="IRNazanin"/>
          <w:color w:val="111111"/>
          <w:sz w:val="28"/>
          <w:sz w:val="28"/>
          <w:szCs w:val="28"/>
          <w:rtl w:val="true"/>
          <w:lang w:bidi="fa-IR"/>
        </w:rPr>
        <w:t>در خدمت نظامی و حضور در میدانهای نبرد، از آنان جزیه دریافت می شود و در راه جهاد و برای مجاهدان مصرف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قرارداد ذمه شرط است که هرگاه حکومت اسلامی از حمایت و پشتیبانی اهل</w:t>
      </w:r>
    </w:p>
    <w:p>
      <w:pPr>
        <w:pStyle w:val="BookText"/>
        <w:rPr/>
      </w:pPr>
      <w:r>
        <w:rPr>
          <w:rFonts w:ascii="IRNazanin" w:hAnsi="IRNazanin" w:eastAsia="IRNazanin"/>
          <w:color w:val="111111"/>
          <w:sz w:val="28"/>
          <w:sz w:val="28"/>
          <w:szCs w:val="28"/>
          <w:rtl w:val="true"/>
          <w:lang w:bidi="fa-IR"/>
        </w:rPr>
        <w:t>ذمه عاجز شد و نتوانست تعهدات خود را در مقابل آنها انجام دهد و یا اهل ذمه در</w:t>
      </w:r>
    </w:p>
    <w:p>
      <w:pPr>
        <w:pStyle w:val="BookText"/>
        <w:rPr/>
      </w:pPr>
      <w:r>
        <w:rPr>
          <w:rFonts w:ascii="IRNazanin" w:hAnsi="IRNazanin" w:eastAsia="IRNazanin"/>
          <w:color w:val="111111"/>
          <w:sz w:val="28"/>
          <w:sz w:val="28"/>
          <w:szCs w:val="28"/>
          <w:rtl w:val="true"/>
          <w:lang w:bidi="fa-IR"/>
        </w:rPr>
        <w:t>خدمت سربازی حاضر شوند و یا در جهاد با مسلمانان شرکت جویند، جزیه ساقط</w:t>
      </w:r>
    </w:p>
    <w:p>
      <w:pPr>
        <w:pStyle w:val="BookText"/>
        <w:rPr/>
      </w:pPr>
      <w:r>
        <w:rPr>
          <w:rFonts w:ascii="IRNazanin" w:hAnsi="IRNazanin" w:eastAsia="IRNazanin"/>
          <w:color w:val="111111"/>
          <w:sz w:val="28"/>
          <w:sz w:val="28"/>
          <w:szCs w:val="28"/>
          <w:rtl w:val="true"/>
          <w:lang w:bidi="fa-IR"/>
        </w:rPr>
        <w:t>خواهد شد و اگر هم، حکومت اسلامی جزیه گرفته باشد باید مسترد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عملی کارگزاران اسلام و خلفا در صدر اسلام گویای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سیره گر چه از نظر شیعه همیشه و در همه موارد از مدارک احکام شرعی به شمار</w:t>
      </w:r>
    </w:p>
    <w:p>
      <w:pPr>
        <w:pStyle w:val="BookText"/>
        <w:rPr/>
      </w:pPr>
      <w:r>
        <w:rPr>
          <w:rFonts w:ascii="IRNazanin" w:hAnsi="IRNazanin" w:eastAsia="IRNazanin"/>
          <w:color w:val="111111"/>
          <w:sz w:val="28"/>
          <w:sz w:val="28"/>
          <w:szCs w:val="28"/>
          <w:rtl w:val="true"/>
          <w:lang w:bidi="fa-IR"/>
        </w:rPr>
        <w:t>نمی آید، ولی می تواند تأیید و تأکیدی بر درستی سخن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نمونه های زیادی از سیره یاد شده به چشم می خورد که در زیر به</w:t>
      </w:r>
    </w:p>
    <w:p>
      <w:pPr>
        <w:pStyle w:val="BookText"/>
        <w:rPr/>
      </w:pPr>
      <w:r>
        <w:rPr>
          <w:rFonts w:ascii="IRNazanin" w:hAnsi="IRNazanin" w:eastAsia="IRNazanin"/>
          <w:color w:val="111111"/>
          <w:sz w:val="28"/>
          <w:sz w:val="28"/>
          <w:szCs w:val="28"/>
          <w:rtl w:val="true"/>
          <w:lang w:bidi="fa-IR"/>
        </w:rPr>
        <w:t>چند مورد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ابوعبیده فرمانده ارتش اسلام، در زمان خلیفه دوم، احساس کرد نمی تواند امنیت مردم شامات را در برابر لشکر روم حفظ کند تمام مالیاتهایی را که از آنها گرفته بود به آنها باز گرداند و خطاب به اهالی این مناطق چنین نوشت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این سبب اموال شما را پس دادیم که از بسیجی که علیه ما شده خبر یافتیم شما با ما شرط کرده بودید که در برابر دشمن از شما حفاظت کنیم و اکنون به این کار قادر نیستیم، آنچه را گرفته بودیم پس دادیم و هرگاه خدا ما را بر دشمن پیروز گردانید بر شرط خود و آنچه میان من و شما نوشته شده باقی هستیم</w:t>
      </w:r>
      <w:r>
        <w:rPr>
          <w:rFonts w:eastAsia="IRNazanin" w:cs="IRNazanin"/>
          <w:color w:val="111111"/>
          <w:sz w:val="28"/>
          <w:szCs w:val="28"/>
          <w:rtl w:val="true"/>
          <w:lang w:bidi="fa-IR"/>
        </w:rPr>
        <w:t xml:space="preserve">. </w:t>
      </w:r>
      <w:bookmarkStart w:id="557" w:name="pg6894_74689"/>
    </w:p>
    <w:p>
      <w:pPr>
        <w:pStyle w:val="BookText"/>
        <w:rPr/>
      </w:pPr>
      <w:bookmarkEnd w:id="557"/>
      <w:r>
        <w:rPr>
          <w:rFonts w:ascii="IRNazanin" w:hAnsi="IRNazanin" w:eastAsia="IRNazanin"/>
          <w:color w:val="111111"/>
          <w:sz w:val="28"/>
          <w:sz w:val="28"/>
          <w:szCs w:val="28"/>
          <w:rtl w:val="true"/>
          <w:lang w:bidi="fa-IR"/>
        </w:rPr>
        <w:t>اهالی نیز درباره پیروزی آنها دعا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به ما بازگرداند و بر رومیان پیروز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بودند هیچ چیز به ما باز نمی گرداندند و هر چه داشتیم از ما می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قبیله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انطاکیه سکونت داشتند و همچنین</w:t>
      </w:r>
    </w:p>
    <w:p>
      <w:pPr>
        <w:pStyle w:val="BookText"/>
        <w:rPr/>
      </w:pPr>
      <w:r>
        <w:rPr>
          <w:rFonts w:ascii="IRNazanin" w:hAnsi="IRNazanin" w:eastAsia="IRNazanin"/>
          <w:color w:val="111111"/>
          <w:sz w:val="28"/>
          <w:sz w:val="28"/>
          <w:szCs w:val="28"/>
          <w:rtl w:val="true"/>
          <w:lang w:bidi="fa-IR"/>
        </w:rPr>
        <w:t>مسیحیانی که در شمال فارس زندگی می کردند چون با مسلمانان پیمان همکاری نظامی بسته بودند و مانند آنان، در خدمت نظامی شرکت کرده بودند، از جزیه دادن معاف شده، حتی از غنایم جنگی نیز بهره مند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ولید هنگامی که به منطقه فرات وارد شد، نامه ای به بزرگ آن جا، صلوبا بن نسطونا، نوشت که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ای است از خالد پسر ولید به صلوبا پسر نسطونا و قومش، من با شما به جزیه و امر دفاع عهد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دفاع و حمایت کردیم، سزاوار جزیه خواهیم بود؛ در غیر این صورت، استحقاق آن را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سال دوازدهم، ماه صفر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نشان می دهد که جزیه باجگیری یا کیفر و جریمه نیست، بلکه مالیاتی</w:t>
      </w:r>
    </w:p>
    <w:p>
      <w:pPr>
        <w:pStyle w:val="BookText"/>
        <w:rPr/>
      </w:pPr>
      <w:r>
        <w:rPr>
          <w:rFonts w:ascii="IRNazanin" w:hAnsi="IRNazanin" w:eastAsia="IRNazanin"/>
          <w:color w:val="111111"/>
          <w:sz w:val="28"/>
          <w:sz w:val="28"/>
          <w:szCs w:val="28"/>
          <w:rtl w:val="true"/>
          <w:lang w:bidi="fa-IR"/>
        </w:rPr>
        <w:t>است که حکومت اسلامی جهت هزینه کردن در مصالح کشور اسلامی از جمله دفاع از اهل ذمه در هنگام خطر، از آنها دریافت می کند و در برابر، آنان وظیفه ندارند که در جهاد شرکت جویند؛ این در حالی است که آنان با مسلمانان در سودها و امتیازهای جهاد شریکند</w:t>
      </w:r>
      <w:r>
        <w:rPr>
          <w:rFonts w:eastAsia="IRNazanin" w:cs="IRNazanin"/>
          <w:color w:val="111111"/>
          <w:sz w:val="28"/>
          <w:szCs w:val="28"/>
          <w:rtl w:val="true"/>
          <w:lang w:bidi="fa-IR"/>
        </w:rPr>
        <w:t xml:space="preserve">. </w:t>
      </w:r>
      <w:r>
        <w:rPr>
          <w:rStyle w:val="FootnoteAnchor"/>
          <w:rtl w:val="true"/>
        </w:rPr>
        <w:footnoteReference w:id="523"/>
      </w:r>
    </w:p>
    <w:p>
      <w:pPr>
        <w:pStyle w:val="Heading6"/>
        <w:numPr>
          <w:ilvl w:val="5"/>
          <w:numId w:val="1"/>
        </w:numPr>
        <w:rPr/>
      </w:pPr>
      <w:bookmarkStart w:id="558" w:name="__RefHeading___Toc1440646_372815092"/>
      <w:bookmarkStart w:id="559" w:name="_Toc209"/>
      <w:bookmarkEnd w:id="558"/>
      <w:r>
        <w:rPr>
          <w:rtl w:val="true"/>
        </w:rPr>
        <w:t>بررسی آیه جزیه</w:t>
      </w:r>
      <w:bookmarkEnd w:id="559"/>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مورد جزیه چنین می فرماید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لایدینون دین </w:t>
      </w:r>
    </w:p>
    <w:p>
      <w:pPr>
        <w:pStyle w:val="BookText"/>
        <w:rPr/>
      </w:pPr>
      <w:r>
        <w:rPr>
          <w:rFonts w:ascii="Amiri" w:hAnsi="Amiri" w:eastAsia="Amiri" w:cs="Amiri"/>
          <w:color w:val="111111"/>
          <w:sz w:val="28"/>
          <w:sz w:val="28"/>
          <w:szCs w:val="28"/>
          <w:rtl w:val="true"/>
          <w:lang w:bidi="ar-SA"/>
        </w:rPr>
        <w:t>الْحَقُّ مِنَ الَّذِينَ أُوتُوا الْكِتابَ حَتَّى يُعْطُوا الْجِزْيَةَ عَنْ يَدٍ وَهْمُ صاغِرُونَ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به خدا و روز بازپسین ایمان نیاورده اند و چیزهایی را که خدا و رسولش حرام شمرده اند، حرام نمی دانند و به دین حق نگرویده اند از کسانی که کتاب آسمانی بر آنان نازل گشته بجنگید تا آن هنگام که به دست خویش با توانایی جزیه بپردازند در حالتی که در برابر اسلام خاضعند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عده ای چنین پنداشته اند که آیه مزبور متضمن اعلان جنگ به جميع</w:t>
      </w:r>
    </w:p>
    <w:p>
      <w:pPr>
        <w:pStyle w:val="BookText"/>
        <w:rPr/>
      </w:pPr>
      <w:r>
        <w:rPr>
          <w:rFonts w:ascii="IRNazanin" w:hAnsi="IRNazanin" w:eastAsia="IRNazanin"/>
          <w:color w:val="111111"/>
          <w:sz w:val="28"/>
          <w:sz w:val="28"/>
          <w:szCs w:val="28"/>
          <w:rtl w:val="true"/>
          <w:lang w:bidi="fa-IR"/>
        </w:rPr>
        <w:t xml:space="preserve">گروههای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مسیحیان و مجوسیان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جنگ باید تا حصول نتیجه ای که در ذیل آیه بیان شده ادامه پیدا کند و غایت جنگ آن است که اهل کتاب در حالت خواری و خفت و ذلت به دست خویش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برداشتی از مفهوم آیه کاملا نادرست بوده و با ماهیت قرارداد ذمه، دستورهای اسلام و سفارشهای پیامبر و امامان در مورد اقلیتهای دینی، و محترم بودن ادیان الهی از نظر اسلام،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باید نکات ذیل را در تفسیر آیه جزیه مورد مطالعه و بررسی قرارداد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آیه که متذکر پیکار با اهل کتاب می باشد جنبه تشریعی نداشته و در زمینه</w:t>
      </w:r>
    </w:p>
    <w:p>
      <w:pPr>
        <w:pStyle w:val="BookText"/>
        <w:rPr/>
      </w:pPr>
      <w:r>
        <w:rPr>
          <w:rFonts w:ascii="IRNazanin" w:hAnsi="IRNazanin" w:eastAsia="IRNazanin"/>
          <w:color w:val="111111"/>
          <w:sz w:val="28"/>
          <w:sz w:val="28"/>
          <w:szCs w:val="28"/>
          <w:rtl w:val="true"/>
          <w:lang w:bidi="fa-IR"/>
        </w:rPr>
        <w:t xml:space="preserve">آیات جهاد و با توجه به چگونگی و شرایط قانون جهاد که پیش از نزول این آیه تشریع و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و مستقیما درصدد تشريع قانون جهاد با اهل کتاب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در آغاز آیه از یاد آوری پیکار با اهل کتاب منظور گردیده توضیح و بیان قانون دیگری است که اختصاص به اهل کتاب پیدا میکند و در حقیقت مفهوم آیه چنین می شود که هر گاه طبق مقررات قانون جهاد، در مواردی که پیکار با اهل کتاب مجاز است، با آنان جنگی انجام گیرد قبول پیشنهاد قرارداد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آنان باید به عنوان پایان مخاصمه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 کسانی که قسمت اول آیه جزیه را به عنوان اعلان جنگ با اهل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محسوب کرده اند مرتکب اشتباه بزرگ و کاملا واضحی شده اند زیرا بررسی آیات مربوط به قانون جهاد بخوبی می رساند که اسلام در هیچ مورد حتی درباره گروههای </w:t>
      </w:r>
    </w:p>
    <w:p>
      <w:pPr>
        <w:pStyle w:val="BookText"/>
        <w:rPr/>
      </w:pPr>
      <w:r>
        <w:rPr>
          <w:rFonts w:ascii="IRNazanin" w:hAnsi="IRNazanin" w:eastAsia="IRNazanin"/>
          <w:color w:val="111111"/>
          <w:sz w:val="28"/>
          <w:sz w:val="28"/>
          <w:szCs w:val="28"/>
          <w:rtl w:val="true"/>
          <w:lang w:bidi="fa-IR"/>
        </w:rPr>
        <w:t xml:space="preserve">مشرک و ضد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اعلان جنگ نکرده است و جهاد در</w:t>
      </w:r>
    </w:p>
    <w:p>
      <w:pPr>
        <w:pStyle w:val="BookText"/>
        <w:rPr/>
      </w:pPr>
      <w:r>
        <w:rPr>
          <w:rFonts w:ascii="IRNazanin" w:hAnsi="IRNazanin" w:eastAsia="IRNazanin"/>
          <w:color w:val="111111"/>
          <w:sz w:val="28"/>
          <w:sz w:val="28"/>
          <w:szCs w:val="28"/>
          <w:rtl w:val="true"/>
          <w:lang w:bidi="fa-IR"/>
        </w:rPr>
        <w:t>موارد خاص و شرایط معین به منظور از میان بردن موانع دعوت جهانی اسلام و نجات بخشیدن به ملتهای ستمدیده و گسستن زنجیرهای اسارت فکری و سیاسی فرض شده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ذیل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يعطوا الجزية عن 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معنی را احتمال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به دست خویش جزیه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w:t>
      </w:r>
      <w:r>
        <w:rPr>
          <w:rStyle w:val="FootnoteAnchor"/>
          <w:rtl w:val="true"/>
        </w:rPr>
        <w:footnoteReference w:id="525"/>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اقتدار و قدرت و سلطه مسلمانان معنی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اقتدار و قدر مسلمانان ، اهل کتاب جزیه دهند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ولی دسته سوم، جمله بالا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جزیه توسط اهل کتاب با توجه به توانایی</w:t>
      </w:r>
    </w:p>
    <w:p>
      <w:pPr>
        <w:pStyle w:val="BookText"/>
        <w:rPr/>
      </w:pPr>
      <w:r>
        <w:rPr>
          <w:rFonts w:ascii="IRNazanin" w:hAnsi="IRNazanin" w:eastAsia="IRNazanin"/>
          <w:color w:val="111111"/>
          <w:sz w:val="28"/>
          <w:sz w:val="28"/>
          <w:szCs w:val="28"/>
          <w:rtl w:val="true"/>
          <w:lang w:bidi="fa-IR"/>
        </w:rPr>
        <w:t>مالی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با توجه به فلسفه تشریع جزیه، و روایات جزیه قول اخیر قویتر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مقدار جزیه و پرداخت آن مستقیما به مقدار توانایی و عدم توانایی مالی</w:t>
      </w:r>
    </w:p>
    <w:p>
      <w:pPr>
        <w:pStyle w:val="BookText"/>
        <w:rPr/>
      </w:pPr>
      <w:r>
        <w:rPr>
          <w:rFonts w:ascii="IRNazanin" w:hAnsi="IRNazanin" w:eastAsia="IRNazanin"/>
          <w:color w:val="111111"/>
          <w:sz w:val="28"/>
          <w:sz w:val="28"/>
          <w:szCs w:val="28"/>
          <w:rtl w:val="true"/>
          <w:lang w:bidi="fa-IR"/>
        </w:rPr>
        <w:t>اهل ذمه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ادعا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به معنای توانایی به کار رفته است و شاید آیه زیر از جمله این موارد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اذکر عِبادِنا ابراهیم وَ اسحاق وَ یعقوب أَوْلَى الْأَيْدِي </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بندگان ما ابراهیم و اسحاق و يعقوب، صاحبان دستهای نیرومند را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تأییدکننده دیگر در آیه مورد بحث،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اعطا در </w:t>
      </w:r>
    </w:p>
    <w:p>
      <w:pPr>
        <w:pStyle w:val="BookText"/>
        <w:rPr/>
      </w:pPr>
      <w:r>
        <w:rPr>
          <w:rFonts w:ascii="IRNazanin" w:hAnsi="IRNazanin" w:eastAsia="IRNazanin"/>
          <w:color w:val="111111"/>
          <w:sz w:val="28"/>
          <w:sz w:val="28"/>
          <w:szCs w:val="28"/>
          <w:rtl w:val="true"/>
          <w:lang w:bidi="fa-IR"/>
        </w:rPr>
        <w:t>این جا، پذیرش پرداخت جزیه و پایبندی به آن است؛ چرا که جنگ، با این پایبندی پایان می پذیرد، نه با پرداخت کنونی جزیه که بر حسب فتاوی و روایات، زمان آن، آخر هر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در تأیید سخن ما این است که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يعطوا الجزية عن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کنونی جزیه با 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این بود که تعبیر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يعطوا الجزية بأيديهم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w:t>
      </w:r>
    </w:p>
    <w:p>
      <w:pPr>
        <w:pStyle w:val="BookText"/>
        <w:rPr/>
      </w:pPr>
      <w:r>
        <w:rPr>
          <w:rFonts w:ascii="IRNazanin" w:hAnsi="IRNazanin" w:eastAsia="IRNazanin"/>
          <w:color w:val="111111"/>
          <w:sz w:val="28"/>
          <w:sz w:val="28"/>
          <w:szCs w:val="28"/>
          <w:rtl w:val="true"/>
          <w:lang w:bidi="fa-IR"/>
        </w:rPr>
        <w:t>تعبیر نشده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مؤید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خواهد آمد که جزیه فقط از توانمندان اهل ذمه اخذ می شود و فقرا معاف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اخیر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اعطای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خواری و</w:t>
      </w:r>
    </w:p>
    <w:p>
      <w:pPr>
        <w:pStyle w:val="BookText"/>
        <w:rPr/>
      </w:pP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ولی اکثر مفسران و همچنین علمایی که در این باره بحث کرده اند آن را به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نهادن به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جزیه در حالی که با این کار در برابر احکام اسلام گردن نهاده و خاضع اند</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ما همین قول دوم صحیح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اظهار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معنای ذلت و خواری، اگر چه ممکن است اظهار خضوع در بسیاری از موارد توأم با خواری و ذلت باشد ولی خواری و ذلت </w:t>
      </w:r>
      <w:bookmarkStart w:id="560" w:name="pg6894_74693"/>
    </w:p>
    <w:p>
      <w:pPr>
        <w:pStyle w:val="BookText"/>
        <w:rPr/>
      </w:pPr>
      <w:bookmarkEnd w:id="560"/>
      <w:r>
        <w:rPr>
          <w:rFonts w:ascii="IRNazanin" w:hAnsi="IRNazanin" w:eastAsia="IRNazanin"/>
          <w:color w:val="111111"/>
          <w:sz w:val="28"/>
          <w:sz w:val="28"/>
          <w:szCs w:val="28"/>
          <w:rtl w:val="true"/>
          <w:lang w:bidi="fa-IR"/>
        </w:rPr>
        <w:t>از مفهوم اصلی صاغر بیرون است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علاوه بر این، مسلما برداشت اول از این کلمه با آن همه توصیه های بزرگان اسلام در مورد اهل ذمه و مبانی و اهداف عالی این دین مبین و رسالت آن برای تمام انسانها،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این قسمت از آیه چنین باشد، دیگر جای هیچ گونه اشکال و ایرادی به</w:t>
      </w:r>
    </w:p>
    <w:p>
      <w:pPr>
        <w:pStyle w:val="BookText"/>
        <w:rPr/>
      </w:pPr>
      <w:r>
        <w:rPr>
          <w:rFonts w:ascii="IRNazanin" w:hAnsi="IRNazanin" w:eastAsia="IRNazanin"/>
          <w:color w:val="111111"/>
          <w:sz w:val="28"/>
          <w:sz w:val="28"/>
          <w:szCs w:val="28"/>
          <w:rtl w:val="true"/>
          <w:lang w:bidi="fa-IR"/>
        </w:rPr>
        <w:t>اسلام در مورد درخواست انقیاد از اهل ذمه در برابر احکام اسلام نیست، زیرا هر</w:t>
      </w:r>
    </w:p>
    <w:p>
      <w:pPr>
        <w:pStyle w:val="BookText"/>
        <w:rPr/>
      </w:pPr>
      <w:r>
        <w:rPr>
          <w:rFonts w:ascii="IRNazanin" w:hAnsi="IRNazanin" w:eastAsia="IRNazanin"/>
          <w:color w:val="111111"/>
          <w:sz w:val="28"/>
          <w:sz w:val="28"/>
          <w:szCs w:val="28"/>
          <w:rtl w:val="true"/>
          <w:lang w:bidi="fa-IR"/>
        </w:rPr>
        <w:t>حاکمیتی ذیحق است که از تبعه اش انتظار داشته باشد به قانون آن حکومت احترام</w:t>
      </w:r>
    </w:p>
    <w:p>
      <w:pPr>
        <w:pStyle w:val="BookText"/>
        <w:rPr/>
      </w:pPr>
      <w:r>
        <w:rPr>
          <w:rFonts w:ascii="IRNazanin" w:hAnsi="IRNazanin" w:eastAsia="IRNazanin"/>
          <w:color w:val="111111"/>
          <w:sz w:val="28"/>
          <w:sz w:val="28"/>
          <w:szCs w:val="28"/>
          <w:rtl w:val="true"/>
          <w:lang w:bidi="fa-IR"/>
        </w:rPr>
        <w:t>بگذارد و دین اسلام خضوع و خشوع نسبت به احکام اسلام را نه تنها از ذمیان، بكله از پیروان خود و حتی از زمامداران جامعه اسلامی نیز درخواست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زمانی که قاضی دادگاه به دعوی بین حضرت علی علیه السلام و یک نفر ذمی رسیدگی می کند، چون با امام علیه السلام محترمانه برخورد می کند و با ذمی چنین نمی کند، امام علیه السلام به قاضی اعتراض می کند و از او می خواهد که با هر دو به طور مساوی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جز این نیست که مطابق مقررات اسلامی، همه در برابر قانون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مقررات حقوق بین الملل امروز نیز هر تبعه ای را موظف می داند که از قانون حکومتی که در تحت حاکمیت آن قرار دارد، تبعیت کند</w:t>
      </w:r>
      <w:r>
        <w:rPr>
          <w:rFonts w:eastAsia="IRNazanin" w:cs="IRNazanin"/>
          <w:color w:val="111111"/>
          <w:sz w:val="28"/>
          <w:szCs w:val="28"/>
          <w:rtl w:val="true"/>
          <w:lang w:bidi="fa-IR"/>
        </w:rPr>
        <w:t>.</w:t>
      </w:r>
    </w:p>
    <w:p>
      <w:pPr>
        <w:pStyle w:val="Heading6"/>
        <w:numPr>
          <w:ilvl w:val="5"/>
          <w:numId w:val="1"/>
        </w:numPr>
        <w:rPr/>
      </w:pPr>
      <w:bookmarkStart w:id="561" w:name="__RefHeading___Toc1440648_372815092"/>
      <w:bookmarkStart w:id="562" w:name="_Toc210"/>
      <w:bookmarkEnd w:id="561"/>
      <w:r>
        <w:rPr>
          <w:rtl w:val="true"/>
        </w:rPr>
        <w:t>معافیت از پرداخت جزیه</w:t>
      </w:r>
      <w:r>
        <w:rPr>
          <w:rtl w:val="true"/>
        </w:rPr>
        <w:t>:</w:t>
      </w:r>
      <w:bookmarkEnd w:id="562"/>
    </w:p>
    <w:p>
      <w:pPr>
        <w:pStyle w:val="BookText"/>
        <w:rPr/>
      </w:pPr>
      <w:r>
        <w:rPr>
          <w:rFonts w:ascii="IRNazanin" w:hAnsi="IRNazanin" w:eastAsia="IRNazanin"/>
          <w:color w:val="111111"/>
          <w:sz w:val="28"/>
          <w:sz w:val="28"/>
          <w:szCs w:val="28"/>
          <w:rtl w:val="true"/>
          <w:lang w:bidi="fa-IR"/>
        </w:rPr>
        <w:t>همچنان که قبلا نیز اشاره شد، جزيه فقط از مردان جوان توانمند عضو اقلیتهای مذهبی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گروههای زیر از پرداخت جزیه معاف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و افراد نابالغ</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و فقرا؛ بنا به نظر عده ای از فقها از جمله شیخ مفید و ابن جنید به خلاف جمع دیگری از فقها از جمله شیخ طوسی</w:t>
      </w:r>
    </w:p>
    <w:p>
      <w:pPr>
        <w:pStyle w:val="BookText"/>
        <w:rPr/>
      </w:pPr>
      <w:r>
        <w:rPr>
          <w:rFonts w:ascii="IRNazanin" w:hAnsi="IRNazanin" w:eastAsia="IRNazanin"/>
          <w:color w:val="111111"/>
          <w:sz w:val="28"/>
          <w:sz w:val="28"/>
          <w:szCs w:val="28"/>
          <w:rtl w:val="true"/>
          <w:lang w:bidi="fa-IR"/>
        </w:rPr>
        <w:t>نظر اول به دو دلیل تأیید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بیانی که در تفسیر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گذشت می توان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يعطوا الجزية عن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برداشت کرد که مسؤولیت تعهد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تمکن پرداخت می باشد، زیرا چنان که گفتیم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استطاعت است که اعطا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امکان پذیر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تصریح شده است که جزیه بر اساس میزان ثروت افراد و طاقت و تمكن آنان مقرر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اشخاصی که فاقد هرگونه تمکن مالی هستند، موظف به پرداخت جزیه</w:t>
      </w:r>
    </w:p>
    <w:p>
      <w:pPr>
        <w:pStyle w:val="BookText"/>
        <w:rPr/>
      </w:pPr>
      <w:r>
        <w:rPr>
          <w:rFonts w:ascii="IRNazanin" w:hAnsi="IRNazanin" w:eastAsia="IRNazanin"/>
          <w:color w:val="111111"/>
          <w:sz w:val="28"/>
          <w:sz w:val="28"/>
          <w:szCs w:val="28"/>
          <w:rtl w:val="true"/>
          <w:lang w:bidi="fa-IR"/>
        </w:rPr>
        <w:t>نخواهند بود؛ زیرا الزام آنان به پرداخت مقدار ناچیزی نیز وظیفه ای فوق قدرت و</w:t>
      </w:r>
    </w:p>
    <w:p>
      <w:pPr>
        <w:pStyle w:val="BookText"/>
        <w:rPr/>
      </w:pPr>
      <w:r>
        <w:rPr>
          <w:rFonts w:ascii="IRNazanin" w:hAnsi="IRNazanin" w:eastAsia="IRNazanin"/>
          <w:color w:val="111111"/>
          <w:sz w:val="28"/>
          <w:sz w:val="28"/>
          <w:szCs w:val="28"/>
          <w:rtl w:val="true"/>
          <w:lang w:bidi="fa-IR"/>
        </w:rPr>
        <w:t>استطاعت مالی آنان 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و افراد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میان فقها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چنانچه این گونه افراد وضع مالی مساعدی داشته باشند، اشکالی</w:t>
      </w:r>
    </w:p>
    <w:p>
      <w:pPr>
        <w:pStyle w:val="BookText"/>
        <w:rPr/>
      </w:pPr>
      <w:r>
        <w:rPr>
          <w:rFonts w:ascii="IRNazanin" w:hAnsi="IRNazanin" w:eastAsia="IRNazanin"/>
          <w:color w:val="111111"/>
          <w:sz w:val="28"/>
          <w:sz w:val="28"/>
          <w:szCs w:val="28"/>
          <w:rtl w:val="true"/>
          <w:lang w:bidi="fa-IR"/>
        </w:rPr>
        <w:t>در دریافت جزیه از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و سایر روحانیان و دیر نشینان و افرادی که به کار عبادت</w:t>
      </w:r>
    </w:p>
    <w:p>
      <w:pPr>
        <w:pStyle w:val="BookText"/>
        <w:rPr/>
      </w:pPr>
      <w:r>
        <w:rPr>
          <w:rFonts w:ascii="IRNazanin" w:hAnsi="IRNazanin" w:eastAsia="IRNazanin"/>
          <w:color w:val="111111"/>
          <w:sz w:val="28"/>
          <w:sz w:val="28"/>
          <w:szCs w:val="28"/>
          <w:rtl w:val="true"/>
          <w:lang w:bidi="fa-IR"/>
        </w:rPr>
        <w:t>پرداخته اند می توانند بدون هیچ گونه تعهد مالی در قرارداد ذمه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جمعی از فقها در این مورد ابراز تردید کرده اند و در صورت تمکن و قدرت مالی اشخاص نامبرده، آنان را به پرداخت جزیه موظف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مصونیت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صورتی که در قرارداد ذمه نیز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غیرقابل تردیدی که در این مورد در عهدنامه رسول اکرم با مسیحیان سرزمین سینا وارد شده می توان اطمینان یافت که گروه مزبور از تعهد مالی معاف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که در پیمان مردم سینا در این باره آمده چنین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قضات و رهبانان از خراج معاف اند و همچنین آنان که به عبادت اشتغال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دیوانگان و کسانی که مشاعر خود را از دست داده باشند یا بر اثر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ادراک و تشخیص جزء ابلهان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از امام صادق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اسلام بر این است که جزیه از دیوانگان و کسانی که عقل و قدرت درک خود را از دست داده اند، گرفته نمی شود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به جز گروههای مذکور در چند مورد دیگر نیز تعهدات مالی قرارداد ذمه منتفی و</w:t>
      </w:r>
    </w:p>
    <w:p>
      <w:pPr>
        <w:pStyle w:val="BookText"/>
        <w:rPr/>
      </w:pPr>
      <w:r>
        <w:rPr>
          <w:rFonts w:ascii="IRNazanin" w:hAnsi="IRNazanin" w:eastAsia="IRNazanin"/>
          <w:color w:val="111111"/>
          <w:sz w:val="28"/>
          <w:sz w:val="28"/>
          <w:szCs w:val="28"/>
          <w:rtl w:val="true"/>
          <w:lang w:bidi="fa-IR"/>
        </w:rPr>
        <w:t>اقلیتهای مذهبی از پرداخت جزیه معاف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شرایطی که مصالح اسلام و جامعه مسلمانان روابط حسنه و نزدیکی بیشتری</w:t>
      </w:r>
    </w:p>
    <w:p>
      <w:pPr>
        <w:pStyle w:val="BookText"/>
        <w:rPr/>
      </w:pPr>
      <w:r>
        <w:rPr>
          <w:rFonts w:ascii="IRNazanin" w:hAnsi="IRNazanin" w:eastAsia="IRNazanin"/>
          <w:color w:val="111111"/>
          <w:sz w:val="28"/>
          <w:sz w:val="28"/>
          <w:szCs w:val="28"/>
          <w:rtl w:val="true"/>
          <w:lang w:bidi="fa-IR"/>
        </w:rPr>
        <w:t>را با گروههای یهودی، مسیحی یا زردشتی ایجاب کند و الزام آنان به ادای جزیه باعث گرایش آنان به سوی دشمنان اسلام و جامعه مسلمین گردد و یا معاف کردن آنان از جزیه موجب ازدیاد علاقه آنان به اسلام شود؛ حکومت اسلامی در مواردی که ضرورت شرایط فوق را احساس کند، می تواند گروههای مزبور را از پرداخت جزیه معاف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این موارد را در تاریخ اسلام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w:t>
      </w:r>
    </w:p>
    <w:p>
      <w:pPr>
        <w:pStyle w:val="BookText"/>
        <w:rPr/>
      </w:pPr>
      <w:r>
        <w:rPr>
          <w:rFonts w:ascii="IRNazanin" w:hAnsi="IRNazanin" w:eastAsia="IRNazanin"/>
          <w:color w:val="111111"/>
          <w:sz w:val="28"/>
          <w:sz w:val="28"/>
          <w:szCs w:val="28"/>
          <w:rtl w:val="true"/>
          <w:lang w:bidi="fa-IR"/>
        </w:rPr>
        <w:t>اساس حدیثی از امام رضا علیه السلام خلیفه دوم قبیله بنی تغلب را برای این که به امپراتوری روم نپیوندند از پرداخت جزیه معاف دانست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قبلا گذشت، هرگاه مسلمانان قادر به انجام مسؤولیتهای قرارداد ذمه</w:t>
      </w:r>
    </w:p>
    <w:p>
      <w:pPr>
        <w:pStyle w:val="BookText"/>
        <w:rPr/>
      </w:pPr>
      <w:r>
        <w:rPr>
          <w:rFonts w:ascii="IRNazanin" w:hAnsi="IRNazanin" w:eastAsia="IRNazanin"/>
          <w:color w:val="111111"/>
          <w:sz w:val="28"/>
          <w:sz w:val="28"/>
          <w:szCs w:val="28"/>
          <w:rtl w:val="true"/>
          <w:lang w:bidi="fa-IR"/>
        </w:rPr>
        <w:t>نشوند، در مقابل، اهل ذمه نیز در قبال پرداخت جزیه مسؤول نخواهند بود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مواقعی که مسلمانان به کمک نظامی ذمیان نیازمند باشند، ممکن است آنان</w:t>
      </w:r>
    </w:p>
    <w:p>
      <w:pPr>
        <w:pStyle w:val="BookText"/>
        <w:rPr/>
      </w:pPr>
      <w:r>
        <w:rPr>
          <w:rFonts w:ascii="IRNazanin" w:hAnsi="IRNazanin" w:eastAsia="IRNazanin"/>
          <w:color w:val="111111"/>
          <w:sz w:val="28"/>
          <w:sz w:val="28"/>
          <w:szCs w:val="28"/>
          <w:rtl w:val="true"/>
          <w:lang w:bidi="fa-IR"/>
        </w:rPr>
        <w:t xml:space="preserve">طی یک پیمان مشترک دفاعی از پرداخت جزیه معاف شوند </w:t>
      </w:r>
      <w:r>
        <w:rPr>
          <w:rStyle w:val="FootnoteAnchor"/>
          <w:rtl w:val="true"/>
        </w:rPr>
        <w:footnoteReference w:id="537"/>
      </w:r>
      <w:r>
        <w:rPr>
          <w:rFonts w:ascii="IRNazanin" w:hAnsi="IRNazanin" w:eastAsia="IRNazanin"/>
          <w:color w:val="111111"/>
          <w:sz w:val="28"/>
          <w:sz w:val="28"/>
          <w:szCs w:val="28"/>
          <w:rtl w:val="true"/>
          <w:lang w:bidi="fa-IR"/>
        </w:rPr>
        <w:t>و در همین راستا بود که عمر به عاملان مرزها نوشت که کسانی از چابک سواران پارسی را که به کارشان حاجت است به کمک بگیرند و جزیه را از آنها بردارند و چنان کردند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با توجه به مطالب فوق، چنین نتیجه می گیریم که دریافت جزیه و الزام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آن، از دیدگاه اسلام یک دستور مطلق و همیشگی نیست بلکه در خیلی موارد و در مورد افراد زیادی ۔ چنانکه ملاحظه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گرفته نمی شود</w:t>
      </w:r>
      <w:r>
        <w:rPr>
          <w:rFonts w:eastAsia="IRNazanin" w:cs="IRNazanin"/>
          <w:color w:val="111111"/>
          <w:sz w:val="28"/>
          <w:szCs w:val="28"/>
          <w:rtl w:val="true"/>
          <w:lang w:bidi="fa-IR"/>
        </w:rPr>
        <w:t xml:space="preserve">. </w:t>
      </w:r>
      <w:bookmarkStart w:id="563" w:name="pg6894_74696"/>
    </w:p>
    <w:p>
      <w:pPr>
        <w:pStyle w:val="BookText"/>
        <w:rPr/>
      </w:pPr>
      <w:bookmarkEnd w:id="563"/>
      <w:r>
        <w:rPr>
          <w:rFonts w:ascii="IRNazanin" w:hAnsi="IRNazanin" w:eastAsia="IRNazanin"/>
          <w:color w:val="111111"/>
          <w:sz w:val="28"/>
          <w:sz w:val="28"/>
          <w:szCs w:val="28"/>
          <w:rtl w:val="true"/>
          <w:lang w:bidi="fa-IR"/>
        </w:rPr>
        <w:t>در تاریخ اسلام، در نحوه برخورد با اقلیتهای مذهبی، ما به مسائلی فراتر از این هم</w:t>
      </w:r>
    </w:p>
    <w:p>
      <w:pPr>
        <w:pStyle w:val="BookText"/>
        <w:rPr/>
      </w:pPr>
      <w:r>
        <w:rPr>
          <w:rFonts w:ascii="IRNazanin" w:hAnsi="IRNazanin" w:eastAsia="IRNazanin"/>
          <w:color w:val="111111"/>
          <w:sz w:val="28"/>
          <w:sz w:val="28"/>
          <w:szCs w:val="28"/>
          <w:rtl w:val="true"/>
          <w:lang w:bidi="fa-IR"/>
        </w:rPr>
        <w:t>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استاد محمد حمیدالله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اوایل خلافت ابوبکر از سوی دولت برای اتباع غیر مسلمان و به خرج بیت المال</w:t>
      </w:r>
    </w:p>
    <w:p>
      <w:pPr>
        <w:pStyle w:val="BookText"/>
        <w:rPr/>
      </w:pPr>
      <w:r>
        <w:rPr>
          <w:rFonts w:ascii="IRNazanin" w:hAnsi="IRNazanin" w:eastAsia="IRNazanin"/>
          <w:color w:val="111111"/>
          <w:sz w:val="28"/>
          <w:sz w:val="28"/>
          <w:szCs w:val="28"/>
          <w:rtl w:val="true"/>
          <w:lang w:bidi="fa-IR"/>
        </w:rPr>
        <w:t>تأمین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گزارش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 خراج، صص</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تأليف أبويوسف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خالد بن ولید خلیفه را از فتح شهر حيره مطلع می سازد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ذکور شهر را برشمردم آنها هفت هزار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بیشتر، دریافتم که یک هزار نفر از آنها به بیماری مزمن مبتلا بوده و ناتوان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را از پرداخت جزیه معاف نمودم، و لذا افراد مشمول مالیات شش هزار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مقرر داشتم که هر پیرمردی که به علت ضعف قادر به تأمین معاش خود نباشد، یا به علت مصیبتی رنجور شده باشد و یا کسی که قبلا ثروتمند بوده اما حالا آن چنان مفلس شده که به صدقه همکیشان خود محتاج است نیز از پرداخت جزیه معاف بوده، او و خانواده اش مادامی که در سرزمین اسلامی زندگی میکنند از خزانه مسلمین تأمین شوند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حقایق تاریخی فوق نشان می دهد که تا چه اندازه اسلام به اقلیتهای دینی توجه داشته است و به رعایت حال آنان می اندیشیده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مبحث این نتیجه به دست می آید که با توجه به این که جزیه نوعی</w:t>
      </w:r>
    </w:p>
    <w:p>
      <w:pPr>
        <w:pStyle w:val="BookText"/>
        <w:rPr/>
      </w:pPr>
      <w:r>
        <w:rPr>
          <w:rFonts w:ascii="IRNazanin" w:hAnsi="IRNazanin" w:eastAsia="IRNazanin"/>
          <w:color w:val="111111"/>
          <w:sz w:val="28"/>
          <w:sz w:val="28"/>
          <w:szCs w:val="28"/>
          <w:rtl w:val="true"/>
          <w:lang w:bidi="fa-IR"/>
        </w:rPr>
        <w:t xml:space="preserve">مالیات است، در نظام فعلی جهانی هم اگر فرضا حکومت اسلامی از اتباع غیر مسلمان خود جزیه اخذ کند امری معقول و منطقی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شرطی که شهروندان غیر مسلمان، خدمت سربازی انجام ندهند و در دفاع کشور سهم نگیرند</w:t>
      </w:r>
      <w:r>
        <w:rPr>
          <w:rFonts w:eastAsia="IRNazanin" w:cs="IRNazanin"/>
          <w:color w:val="111111"/>
          <w:sz w:val="28"/>
          <w:szCs w:val="28"/>
          <w:rtl w:val="true"/>
          <w:lang w:bidi="fa-IR"/>
        </w:rPr>
        <w:t>).</w:t>
      </w:r>
    </w:p>
    <w:p>
      <w:pPr>
        <w:pStyle w:val="Heading6"/>
        <w:numPr>
          <w:ilvl w:val="5"/>
          <w:numId w:val="1"/>
        </w:numPr>
        <w:rPr/>
      </w:pPr>
      <w:bookmarkStart w:id="564" w:name="__RefHeading___Toc1440650_372815092"/>
      <w:bookmarkStart w:id="565" w:name="_Toc211"/>
      <w:bookmarkEnd w:id="564"/>
      <w:r>
        <w:rPr>
          <w:rtl w:val="true"/>
        </w:rPr>
        <w:t>دلایل اختصاص قرارداد ذمه به اهل کتاب</w:t>
      </w:r>
      <w:r>
        <w:rPr>
          <w:rtl w:val="true"/>
        </w:rPr>
        <w:t>:</w:t>
      </w:r>
      <w:bookmarkEnd w:id="56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نظریه اختصاص اهلیت قرارداد ذمه به اهل کتاب می توان به دلایل زیر تمسک نمود</w:t>
      </w:r>
      <w:r>
        <w:rPr>
          <w:rFonts w:eastAsia="IRNazanin" w:cs="IRNazanin"/>
          <w:color w:val="111111"/>
          <w:sz w:val="28"/>
          <w:szCs w:val="28"/>
          <w:rtl w:val="true"/>
          <w:lang w:bidi="fa-IR"/>
        </w:rPr>
        <w:t xml:space="preserve">: </w:t>
      </w:r>
      <w:bookmarkStart w:id="566" w:name="pg6894_74697"/>
    </w:p>
    <w:p>
      <w:pPr>
        <w:pStyle w:val="BookText"/>
        <w:rPr/>
      </w:pPr>
      <w:bookmarkEnd w:id="56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فقهای شیعه که متفق</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نظریه فوق را تأیید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که پایان پذیری حالت جنگ را با قرارداد ذمه، مخصوص اهل کتاب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تشریح قرارداد ذمه در مورد اهل کتاب خود مستلزم آن خواهد بود که در غیر مورد مزبور قرارداد ذمه ارزش حقوقی و قانونی پیدا نکند و با این بیان برای اثبات مدعی با آیه مزبور نیازی به تمسک به جهت دلالت مفهومی آیه نخواهیم داشت تا در مفهوم آیه مناقشه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الحاق آتش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کتاب در اهلیت قرارداد ذمه چنان که در پاره ای از روایات عامه </w:t>
      </w:r>
      <w:r>
        <w:rPr>
          <w:rStyle w:val="FootnoteAnchor"/>
          <w:rtl w:val="true"/>
        </w:rPr>
        <w:footnoteReference w:id="540"/>
      </w:r>
      <w:r>
        <w:rPr>
          <w:rFonts w:ascii="IRNazanin" w:hAnsi="IRNazanin" w:eastAsia="IRNazanin"/>
          <w:color w:val="111111"/>
          <w:sz w:val="28"/>
          <w:sz w:val="28"/>
          <w:szCs w:val="28"/>
          <w:rtl w:val="true"/>
          <w:lang w:bidi="fa-IR"/>
        </w:rPr>
        <w:t xml:space="preserve">و خاصه </w:t>
      </w:r>
      <w:r>
        <w:rPr>
          <w:rStyle w:val="FootnoteAnchor"/>
          <w:rtl w:val="true"/>
        </w:rPr>
        <w:footnoteReference w:id="541"/>
      </w:r>
      <w:r>
        <w:rPr>
          <w:rFonts w:ascii="IRNazanin" w:hAnsi="IRNazanin" w:eastAsia="IRNazanin"/>
          <w:color w:val="111111"/>
          <w:sz w:val="28"/>
          <w:sz w:val="28"/>
          <w:szCs w:val="28"/>
          <w:rtl w:val="true"/>
          <w:lang w:bidi="fa-IR"/>
        </w:rPr>
        <w:t>وارد شده خود دلیل آن است که ارزش حقوقی عقد ذمه تنها در مورد اهل کتاب مشروع می باشد و الا نیازی به الحاق مجوس به اهل کتاب در میان نمی بود</w:t>
      </w:r>
      <w:r>
        <w:rPr>
          <w:rFonts w:eastAsia="IRNazanin" w:cs="IRNazanin"/>
          <w:color w:val="111111"/>
          <w:sz w:val="28"/>
          <w:szCs w:val="28"/>
          <w:rtl w:val="true"/>
          <w:lang w:bidi="fa-IR"/>
        </w:rPr>
        <w:t xml:space="preserve">. </w:t>
      </w:r>
      <w:r>
        <w:rPr>
          <w:rStyle w:val="FootnoteAnchor"/>
          <w:rtl w:val="true"/>
        </w:rPr>
        <w:footnoteReference w:id="542"/>
      </w:r>
    </w:p>
    <w:p>
      <w:pPr>
        <w:pStyle w:val="Heading6"/>
        <w:numPr>
          <w:ilvl w:val="5"/>
          <w:numId w:val="1"/>
        </w:numPr>
        <w:rPr/>
      </w:pPr>
      <w:bookmarkStart w:id="567" w:name="__RefHeading___Toc1440652_372815092"/>
      <w:bookmarkStart w:id="568" w:name="_Toc212"/>
      <w:bookmarkEnd w:id="567"/>
      <w:r>
        <w:rPr>
          <w:rtl w:val="true"/>
        </w:rPr>
        <w:t xml:space="preserve">حقوق اقلیتهای مذهبی </w:t>
      </w:r>
      <w:r>
        <w:rPr>
          <w:rtl w:val="true"/>
        </w:rPr>
        <w:t>(</w:t>
      </w:r>
      <w:r>
        <w:rPr>
          <w:rtl w:val="true"/>
        </w:rPr>
        <w:t>اهل کتاب</w:t>
      </w:r>
      <w:r>
        <w:rPr>
          <w:rtl w:val="true"/>
        </w:rPr>
        <w:t xml:space="preserve">) </w:t>
      </w:r>
      <w:r>
        <w:rPr>
          <w:rtl w:val="true"/>
        </w:rPr>
        <w:t xml:space="preserve">در چارچوب قرارداد ذمه </w:t>
      </w:r>
      <w:r>
        <w:rPr>
          <w:rtl w:val="true"/>
        </w:rPr>
        <w:t>:</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اقلیتهای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قرارداد ذمه </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بعد از این که با قرارداد ذمه آشنا شدیم، وقت آن رسیده است که به حقوق اقلیتهای</w:t>
      </w:r>
    </w:p>
    <w:p>
      <w:pPr>
        <w:pStyle w:val="BookText"/>
        <w:rPr/>
      </w:pPr>
      <w:r>
        <w:rPr>
          <w:rFonts w:ascii="IRNazanin" w:hAnsi="IRNazanin" w:eastAsia="IRNazanin"/>
          <w:color w:val="111111"/>
          <w:sz w:val="28"/>
          <w:sz w:val="28"/>
          <w:szCs w:val="28"/>
          <w:rtl w:val="true"/>
          <w:lang w:bidi="fa-IR"/>
        </w:rPr>
        <w:t>مذهبی ناشی از قرارداد مذکور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موظف است، حقوق ذیل را به اهل ذمه اعطا کند و خود را در</w:t>
      </w:r>
    </w:p>
    <w:p>
      <w:pPr>
        <w:pStyle w:val="BookText"/>
        <w:rPr/>
      </w:pPr>
      <w:r>
        <w:rPr>
          <w:rFonts w:ascii="IRNazanin" w:hAnsi="IRNazanin" w:eastAsia="IRNazanin"/>
          <w:color w:val="111111"/>
          <w:sz w:val="28"/>
          <w:sz w:val="28"/>
          <w:szCs w:val="28"/>
          <w:rtl w:val="true"/>
          <w:lang w:bidi="fa-IR"/>
        </w:rPr>
        <w:t>رعایت آن ملزم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مصونیت مطلق و همه جانبه است و شامل جان، مال و</w:t>
      </w:r>
    </w:p>
    <w:p>
      <w:pPr>
        <w:pStyle w:val="BookText"/>
        <w:rPr/>
      </w:pPr>
      <w:r>
        <w:rPr>
          <w:rFonts w:ascii="IRNazanin" w:hAnsi="IRNazanin" w:eastAsia="IRNazanin"/>
          <w:color w:val="111111"/>
          <w:sz w:val="28"/>
          <w:sz w:val="28"/>
          <w:szCs w:val="28"/>
          <w:rtl w:val="true"/>
          <w:lang w:bidi="fa-IR"/>
        </w:rPr>
        <w:t>ناموس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ناحیه داخلی و خارجی است به این معنی که نباید از سوی نیروهای داخلی به آنها حمله شود و همچنین اگر از خارج به آنها حمله شود، حکومت اسلامی مکلف است در مقابل حمله خارجی از ذمیان دفاع کند، چون حمله خارجی به مثابه تجاوز به قلمرو جامعه اسلامی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 بزرگان اسلام در مورد اقلیتها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بهترین دلیل بر مصونیت همه جانبه این گروه از اقلیتهاست و نیازی به ذكر مجدد آنها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گذشته نیز اشاره شد، اسلام ادیان الهی را به</w:t>
      </w:r>
    </w:p>
    <w:p>
      <w:pPr>
        <w:pStyle w:val="BookText"/>
        <w:rPr/>
      </w:pPr>
      <w:r>
        <w:rPr>
          <w:rFonts w:ascii="IRNazanin" w:hAnsi="IRNazanin" w:eastAsia="IRNazanin"/>
          <w:color w:val="111111"/>
          <w:sz w:val="28"/>
          <w:sz w:val="28"/>
          <w:szCs w:val="28"/>
          <w:rtl w:val="true"/>
          <w:lang w:bidi="fa-IR"/>
        </w:rPr>
        <w:t>رسمیت شناخته است و عمل پیروان آنها را بر طبق آیین و مذهبشان حق مسلم آنها</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زیر ایمان به انبیای سابق را ملازم و همردیف ایمان به پیامبر اسلام اعلام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الَىَّ ابراهیم وَ اسماعیل وَ اسحاق وَ یعقوب وَ الاسباط وَ ما أُوتِيَ موسی وَ عیسی وَ مَا أُوتِىَ النَّبِيُّونَ مِنْ رَبِّهِمْ لا نُفَرِّقُ بَيْنَ أَحَدٍ مِنْهُمْ وَ نَحْنُ لَهُ مُسْلِمُونَ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اليه مِنْ رَبِّهِ وَ الْمُؤْمِنُونَ كُلُّ آمَنَ بِاللَّهِ وَ مَلائِكَتِهِ وَ كُتُبِهِ وَ رُسُلِهِ لا نُفَرِّقُ بَيْنَ أَحَدٍ مِنْ رُسُلِهِ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کلانقص عَلَيْكَ مِنْ أَنْباءِ الرُّسُلِ ما نُثَبِّتُ بِهِ فُؤادَكَ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يكتبوك فَقَدْ كُذِّبَ رُسُلُ مِنْ قَبْلِكَ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وَ أَنْزَلَ التَّوْراةَ وَ الانجيل مِنْ قِبَلِ هدی للناس وَ أَنْزَلَ الْفُرْقانَ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أَوْحَيْنا اليك مِنَ الْكِتابِ هُوَ الْحَقُّ مُصَدِّقاً لِما بَيْنَ يَدَيْهِ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پایان باید گفت که آزادی مذهبی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عقیده اقلیتهای اهل کتاب، حق اعمال عقاید مذهبی خویش و آزادی در</w:t>
      </w:r>
    </w:p>
    <w:p>
      <w:pPr>
        <w:pStyle w:val="BookText"/>
        <w:rPr/>
      </w:pPr>
      <w:r>
        <w:rPr>
          <w:rFonts w:ascii="IRNazanin" w:hAnsi="IRNazanin" w:eastAsia="IRNazanin"/>
          <w:color w:val="111111"/>
          <w:sz w:val="28"/>
          <w:sz w:val="28"/>
          <w:szCs w:val="28"/>
          <w:rtl w:val="true"/>
          <w:lang w:bidi="fa-IR"/>
        </w:rPr>
        <w:t>برگزاری مراسم و شعایر مذهبی و امنیت معابد و اماکن مقدسه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انتخاب مسکن و اقامتگاه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 دینی می توانند آزادانه، در هر نقطه از</w:t>
      </w:r>
    </w:p>
    <w:p>
      <w:pPr>
        <w:pStyle w:val="BookText"/>
        <w:rPr/>
      </w:pPr>
      <w:r>
        <w:rPr>
          <w:rFonts w:ascii="IRNazanin" w:hAnsi="IRNazanin" w:eastAsia="IRNazanin"/>
          <w:color w:val="111111"/>
          <w:sz w:val="28"/>
          <w:sz w:val="28"/>
          <w:szCs w:val="28"/>
          <w:rtl w:val="true"/>
          <w:lang w:bidi="fa-IR"/>
        </w:rPr>
        <w:t>نقاط کشور اسلامی که میل داشته باشند اقامت و همچنین به هر نقطه ای که می خواهند رفت و 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محل اقامت و نوع آن طبق اراده و اختیار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اصل در مواردی تحدید می شود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ذمیان در صورتی که بخش جداگانه ای را برای سکونت </w:t>
      </w:r>
    </w:p>
    <w:p>
      <w:pPr>
        <w:pStyle w:val="BookText"/>
        <w:rPr/>
      </w:pPr>
      <w:r>
        <w:rPr>
          <w:rFonts w:ascii="IRNazanin" w:hAnsi="IRNazanin" w:eastAsia="IRNazanin"/>
          <w:color w:val="111111"/>
          <w:sz w:val="28"/>
          <w:sz w:val="28"/>
          <w:szCs w:val="28"/>
          <w:rtl w:val="true"/>
          <w:lang w:bidi="fa-IR"/>
        </w:rPr>
        <w:t>خویش انتخاب کنند می توانند در ساختن بنای منازل و خانه های مسکونی خود از هر نوع نقشه و طرحی استفاده کنند ولی هرگاه بخواهند در محلات و بخشهای مسکونی مسلمانان اقامت گزینند باید از ساخت آپارتمانهای بلند که از نظر بلندی اشراف و امتیاز چشمگیری بر خانه های مسلمانان دارد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 آن است که در عین حال که اسلام به رعایت حقوق دیگران احترام می گذارد ولی مخالف هرگونه تفوق طلبی و تظاهر به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اصل فقها در محکوم کردن این گونه برتریجویی و تظاهر،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يعلو ولايعلى عليه</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شخص ذمی به خرید چنین آپارتمان بلندی که از طرف مسلمانی ساخته</w:t>
      </w:r>
    </w:p>
    <w:p>
      <w:pPr>
        <w:pStyle w:val="BookText"/>
        <w:rPr/>
      </w:pPr>
      <w:r>
        <w:rPr>
          <w:rFonts w:ascii="IRNazanin" w:hAnsi="IRNazanin" w:eastAsia="IRNazanin"/>
          <w:color w:val="111111"/>
          <w:sz w:val="28"/>
          <w:sz w:val="28"/>
          <w:szCs w:val="28"/>
          <w:rtl w:val="true"/>
          <w:lang w:bidi="fa-IR"/>
        </w:rPr>
        <w:t>شده، اقدام نماید می تواند برای اقامت خویش از آن استفاده کند زیرا در این صورت</w:t>
      </w:r>
    </w:p>
    <w:p>
      <w:pPr>
        <w:pStyle w:val="BookText"/>
        <w:rPr/>
      </w:pPr>
      <w:r>
        <w:rPr>
          <w:rFonts w:ascii="IRNazanin" w:hAnsi="IRNazanin" w:eastAsia="IRNazanin"/>
          <w:color w:val="111111"/>
          <w:sz w:val="28"/>
          <w:sz w:val="28"/>
          <w:szCs w:val="28"/>
          <w:rtl w:val="true"/>
          <w:lang w:bidi="fa-IR"/>
        </w:rPr>
        <w:t>ساختمان مزبور به همان وضع، ملک وی شده و استفاده از ثروت مشروع،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ویران شدن منزل، اگر ذمی درصدد تجدید ساختمان آن برآید مانند</w:t>
      </w:r>
    </w:p>
    <w:p>
      <w:pPr>
        <w:pStyle w:val="BookText"/>
        <w:rPr/>
      </w:pPr>
      <w:r>
        <w:rPr>
          <w:rFonts w:ascii="IRNazanin" w:hAnsi="IRNazanin" w:eastAsia="IRNazanin"/>
          <w:color w:val="111111"/>
          <w:sz w:val="28"/>
          <w:sz w:val="28"/>
          <w:szCs w:val="28"/>
          <w:rtl w:val="true"/>
          <w:lang w:bidi="fa-IR"/>
        </w:rPr>
        <w:t>فرض اول باید از بالا بردن ساختمان مزبور به طوری که بر خانه های مسلمانان همسایه وی برتری و اشراف بارزی داشته باشد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باید به این نکته توجه داشت که اسلام با این نوع تظاهرات و اشرافیت و</w:t>
      </w:r>
    </w:p>
    <w:p>
      <w:pPr>
        <w:pStyle w:val="BookText"/>
        <w:rPr/>
      </w:pPr>
      <w:r>
        <w:rPr>
          <w:rFonts w:ascii="IRNazanin" w:hAnsi="IRNazanin" w:eastAsia="IRNazanin"/>
          <w:color w:val="111111"/>
          <w:sz w:val="28"/>
          <w:sz w:val="28"/>
          <w:szCs w:val="28"/>
          <w:rtl w:val="true"/>
          <w:lang w:bidi="fa-IR"/>
        </w:rPr>
        <w:t xml:space="preserve">تفوق طلبی ها که مظهر اختلاف طبقانی است، در جامعه اسلامی مخالف است و از این رو به مسلمانان نیز توصیه می کند که از بالا بردن سطح ساختمانها از مقدار متعارف اجتناب ورزند؛ </w:t>
      </w:r>
      <w:r>
        <w:rPr>
          <w:rStyle w:val="FootnoteAnchor"/>
          <w:rtl w:val="true"/>
        </w:rPr>
        <w:footnoteReference w:id="552"/>
      </w:r>
      <w:r>
        <w:rPr>
          <w:rFonts w:ascii="IRNazanin" w:hAnsi="IRNazanin" w:eastAsia="IRNazanin"/>
          <w:color w:val="111111"/>
          <w:sz w:val="28"/>
          <w:sz w:val="28"/>
          <w:szCs w:val="28"/>
          <w:rtl w:val="true"/>
          <w:lang w:bidi="fa-IR"/>
        </w:rPr>
        <w:t>زیرا اصولا اشراف بر خانه های دیگران، نوعی مزاحمت به نوامیس مردم و باعث سلب آسایش دیگران است و کار پسندیده ای نیست و شاید یک جنبه از ممنوعیت ذمیان از داشتن ساختمانهای مرتفع تر از مسلمانان، همین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مذکور در مورد ارتفاع مسکن ذمی فقط نسبت به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منازل همسایگانشان است ولی در صورتی که ساختمان مسکونی آنان با همسایگان برابر باشد بلندی آن نسبت به سایر خانه های محلات دیگر اشکالی نخواهد داشت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معتقدند، با توجه به حدیثی از حضرت پیامبر صلی الله علیه واله، کفار در این منطقه حق سکونت ندارند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این باره باید گفت که او باید روایت مزبور از نظر صحت سند و دلالت دقيقا</w:t>
      </w:r>
    </w:p>
    <w:p>
      <w:pPr>
        <w:pStyle w:val="BookText"/>
        <w:rPr/>
      </w:pPr>
      <w:r>
        <w:rPr>
          <w:rFonts w:ascii="IRNazanin" w:hAnsi="IRNazanin" w:eastAsia="IRNazanin"/>
          <w:color w:val="111111"/>
          <w:sz w:val="28"/>
          <w:sz w:val="28"/>
          <w:szCs w:val="28"/>
          <w:rtl w:val="true"/>
          <w:lang w:bidi="fa-IR"/>
        </w:rPr>
        <w:t>مورد ارزیابی قرار گیرد که در این نوشتار، مجال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روایت از نظر صحت سند و دلالت تمام باشد، جایی این</w:t>
      </w:r>
    </w:p>
    <w:p>
      <w:pPr>
        <w:pStyle w:val="BookText"/>
        <w:rPr/>
      </w:pPr>
      <w:r>
        <w:rPr>
          <w:rFonts w:ascii="IRNazanin" w:hAnsi="IRNazanin" w:eastAsia="IRNazanin"/>
          <w:color w:val="111111"/>
          <w:sz w:val="28"/>
          <w:sz w:val="28"/>
          <w:szCs w:val="28"/>
          <w:rtl w:val="true"/>
          <w:lang w:bidi="fa-IR"/>
        </w:rPr>
        <w:t>احتمال هست که بگوییم این فرموده پیامبر صلی الله علیه واله با توجه به شرایط زمان صدر اسلام و وضعیت استراتژیک حجاز در آن زمان به عنوان مرکز قدرت و پایگاه اصلی مسلمانان، بوده است و جنبه امنیتی و حفاظتی داشته است؛ یعنی پیامبر صلی الله علیه واله می خواسته است با این کار مرکزیت اسلام از هر خطر احتمالی ایمن باشد، لذا مختص شرایط صدر اسلام است و وضعیت فعلی را شامل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حکم آیه قرآنی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أَيُّهَا الَّذِينَ آمَنُوا إِنَّمَا الْمُشْرِكُونَ نَجَسُ فلايقربوا الْمَسْجِدَ الْحَرامَ بَعْدَ عامِهِمْ هذا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همانا مشركان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پس نباید، بعد از</w:t>
      </w:r>
    </w:p>
    <w:p>
      <w:pPr>
        <w:pStyle w:val="BookText"/>
        <w:rPr/>
      </w:pPr>
      <w:r>
        <w:rPr>
          <w:rFonts w:ascii="IRNazanin" w:hAnsi="IRNazanin" w:eastAsia="IRNazanin"/>
          <w:color w:val="111111"/>
          <w:sz w:val="28"/>
          <w:sz w:val="28"/>
          <w:szCs w:val="28"/>
          <w:rtl w:val="true"/>
          <w:lang w:bidi="fa-IR"/>
        </w:rPr>
        <w:t>امسال، نزدیک مسجدالحرام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مسلمان در این مطلب اتفاق نظر دارندکه</w:t>
      </w:r>
    </w:p>
    <w:p>
      <w:pPr>
        <w:pStyle w:val="BookText"/>
        <w:rPr/>
      </w:pPr>
      <w:r>
        <w:rPr>
          <w:rFonts w:ascii="IRNazanin" w:hAnsi="IRNazanin" w:eastAsia="IRNazanin"/>
          <w:color w:val="111111"/>
          <w:sz w:val="28"/>
          <w:sz w:val="28"/>
          <w:szCs w:val="28"/>
          <w:rtl w:val="true"/>
          <w:lang w:bidi="fa-IR"/>
        </w:rPr>
        <w:t>ورود کفار به مسجدالحرام یا محدوده حرم الهی،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مساجد دیگر، اگر چه بعضى قائلند کفار حق ورود به آنها را نیز ندارند</w:t>
      </w:r>
    </w:p>
    <w:p>
      <w:pPr>
        <w:pStyle w:val="BookText"/>
        <w:rPr/>
      </w:pPr>
      <w:r>
        <w:rPr>
          <w:rFonts w:ascii="IRNazanin" w:hAnsi="IRNazanin" w:eastAsia="IRNazanin"/>
          <w:color w:val="111111"/>
          <w:sz w:val="28"/>
          <w:sz w:val="28"/>
          <w:szCs w:val="28"/>
          <w:rtl w:val="true"/>
          <w:lang w:bidi="fa-IR"/>
        </w:rPr>
        <w:t>ولی در مقابل بعضی دیگر، دخول کفار به مساجد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در مورد ادعای خویش چنین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دلیل ورود کفار به مساجد جایز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مقتضای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آیه شریفه قرآنی ورود مشرکان به مسجدالحرام، بلکه محدوده حرم نارواست؛ چه ما مشرک را نجس جسمی بدانیم و چه نجس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بقیه کفار مانند اهل کتاب و غیره نیز از باب احتیاط باید گفت که ورود آنها نیز به مسجدالحرام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درباره ورود کفار به سایر مساجد، آیه مذکور و اجماع دو دلیلی هستند که ممکن</w:t>
      </w:r>
    </w:p>
    <w:p>
      <w:pPr>
        <w:pStyle w:val="BookText"/>
        <w:rPr/>
      </w:pPr>
      <w:r>
        <w:rPr>
          <w:rFonts w:ascii="IRNazanin" w:hAnsi="IRNazanin" w:eastAsia="IRNazanin"/>
          <w:color w:val="111111"/>
          <w:sz w:val="28"/>
          <w:sz w:val="28"/>
          <w:szCs w:val="28"/>
          <w:rtl w:val="true"/>
          <w:lang w:bidi="fa-IR"/>
        </w:rPr>
        <w:t>است به آنها استناد شود و دلالت هر دو برای اثبات این موضوع ناکافی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وقتی می توان از آیه برای تأیید استفاده کرد که معنی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مشركون، مطلق کفار را اراده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اعم از نجس جسمی و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بدانیم، در حالی که این تعميمها، هر دو نارواست زیرا شکی نیست که با توجه به شأن نزول آیه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مکه اند و مراد از نجس، پلید فکری است نه نجس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اجماع مذکور هم حجیت ندارد زیرا این اجماع ممکن است مدرکی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فقدان دلیل بر حرمت ورود کفار به مساجد، دلیل بر جواز خواهد بود، زیرا مقتضای اصل اولیه جواز ورود به مساجد است برای همگان، همانند دیگر جاها، بویژه آنکه هدف ورود عقلایی و شرع پسند باشد مانند جستجوی حق و آشنایی با معارف اسلامی یا تحقیق و بررسی در آثار و بناهای اسلامی</w:t>
      </w:r>
    </w:p>
    <w:p>
      <w:pPr>
        <w:pStyle w:val="BookText"/>
        <w:rPr/>
      </w:pPr>
      <w:r>
        <w:rPr>
          <w:rFonts w:ascii="IRNazanin" w:hAnsi="IRNazanin" w:eastAsia="IRNazanin"/>
          <w:color w:val="111111"/>
          <w:sz w:val="28"/>
          <w:sz w:val="28"/>
          <w:szCs w:val="28"/>
          <w:rtl w:val="true"/>
          <w:lang w:bidi="fa-IR"/>
        </w:rPr>
        <w:t>دلیل دوم،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تاریخی صدر اسلام، نشان دهنده نمونه های زیادی از ورود کفار به داخل مسجد می باشد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بنابراین، بر طبق نظر دوم، ممنوعیت ورود كفار فقط منحصر می ماند به مسجد الحرام و محدوده حرم الهی، و به نظر می رسد که این ممنوعیت منافات با حقوق</w:t>
      </w:r>
    </w:p>
    <w:p>
      <w:pPr>
        <w:pStyle w:val="BookText"/>
        <w:rPr/>
      </w:pPr>
      <w:r>
        <w:rPr>
          <w:rFonts w:ascii="IRNazanin" w:hAnsi="IRNazanin" w:eastAsia="IRNazanin"/>
          <w:color w:val="111111"/>
          <w:sz w:val="28"/>
          <w:sz w:val="28"/>
          <w:szCs w:val="28"/>
          <w:rtl w:val="true"/>
          <w:lang w:bidi="fa-IR"/>
        </w:rPr>
        <w:t xml:space="preserve">بین الملل امروزه هم نداشته باشد زیرا باید به بیش از یک میلیارد مسلمان جهان که فقط یک مکان مقدس منحصر به فرد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حق را داد که با چنان نظام ارزشی به آن بنگرند و فرضا هم اگر اقلیتهای مذهبی در محدوده این مکان زندگی کنند از عدم ورود به آن هیچ گونه ضرری متوجه آنان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استقلال قضایی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آیه قرآنی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جَاءُوكَ فَاحْكُمْ بَيْنَهُمْ أَوْ أَعْرِضْ عَنْهُمْ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نزد تو آمدند، در میان آنان داوری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واگذار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اقلیتها در دعاوی شان از نظر انتخاب محاكم آزادند؛ می توانند به محکمه دولت </w:t>
      </w:r>
      <w:bookmarkStart w:id="569" w:name="pg6894_74702"/>
    </w:p>
    <w:p>
      <w:pPr>
        <w:pStyle w:val="BookText"/>
        <w:rPr/>
      </w:pPr>
      <w:bookmarkEnd w:id="569"/>
      <w:r>
        <w:rPr>
          <w:rFonts w:ascii="IRNazanin" w:hAnsi="IRNazanin" w:eastAsia="IRNazanin"/>
          <w:color w:val="111111"/>
          <w:sz w:val="28"/>
          <w:sz w:val="28"/>
          <w:szCs w:val="28"/>
          <w:rtl w:val="true"/>
          <w:lang w:bidi="fa-IR"/>
        </w:rPr>
        <w:t>اسلامی مراجعه کرده، دعوای خویش را حل و فصل کنند و یا خودشان از میانشان قاضی و حکم انتخاب و به آنها مراجعه کنند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قدر کافی توجه شود، در شرایط امروز که حاکمیت سرزمینی دولتها یکی از</w:t>
      </w:r>
    </w:p>
    <w:p>
      <w:pPr>
        <w:pStyle w:val="BookText"/>
        <w:rPr/>
      </w:pPr>
      <w:r>
        <w:rPr>
          <w:rFonts w:ascii="IRNazanin" w:hAnsi="IRNazanin" w:eastAsia="IRNazanin"/>
          <w:color w:val="111111"/>
          <w:sz w:val="28"/>
          <w:sz w:val="28"/>
          <w:szCs w:val="28"/>
          <w:rtl w:val="true"/>
          <w:lang w:bidi="fa-IR"/>
        </w:rPr>
        <w:t>اصول معروف پذیرفته شده از سوی حقوق بین الملل است، دادن چنین آزادی و</w:t>
      </w:r>
    </w:p>
    <w:p>
      <w:pPr>
        <w:pStyle w:val="BookText"/>
        <w:rPr/>
      </w:pPr>
      <w:r>
        <w:rPr>
          <w:rFonts w:ascii="IRNazanin" w:hAnsi="IRNazanin" w:eastAsia="IRNazanin"/>
          <w:color w:val="111111"/>
          <w:sz w:val="28"/>
          <w:sz w:val="28"/>
          <w:szCs w:val="28"/>
          <w:rtl w:val="true"/>
          <w:lang w:bidi="fa-IR"/>
        </w:rPr>
        <w:t>استقلالی به اقلیتها از سوی اسلام چیزی فراتر از حق است و نوعی امتیاز محسوب</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فعالیتهای اقتصادی و روابط بازرگانی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حقوق مدنی بر طبق مذهب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اقلیتهای دینی این حق را داده است که در حقوق مدنی، بویژه در احوال شخصی، طبق مذهب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مسائلی مانند ازدواج، طلاق، ارث، وصیت و نظایر آن حق دارند بر اساس اعتقادات خود عمل کنند، و در صورتی که در این موارد از سوی آنها دعاوی به دادگاههای حکومت اسلامی ارجاع شود، دادگاهها مکلفند طبق احکام مذهب آنها حکم دهند</w:t>
      </w:r>
      <w:r>
        <w:rPr>
          <w:rFonts w:eastAsia="IRNazanin" w:cs="IRNazanin"/>
          <w:color w:val="111111"/>
          <w:sz w:val="28"/>
          <w:szCs w:val="28"/>
          <w:rtl w:val="true"/>
          <w:lang w:bidi="fa-IR"/>
        </w:rPr>
        <w:t>.</w:t>
      </w:r>
    </w:p>
    <w:p>
      <w:pPr>
        <w:pStyle w:val="Heading6"/>
        <w:numPr>
          <w:ilvl w:val="5"/>
          <w:numId w:val="1"/>
        </w:numPr>
        <w:rPr/>
      </w:pPr>
      <w:bookmarkStart w:id="570" w:name="__RefHeading___Toc1440654_372815092"/>
      <w:bookmarkStart w:id="571" w:name="_Toc213"/>
      <w:bookmarkEnd w:id="570"/>
      <w:r>
        <w:rPr>
          <w:rtl w:val="true"/>
        </w:rPr>
        <w:t>اقلیتهای مذهبی غیر اهل کتاب</w:t>
      </w:r>
      <w:bookmarkEnd w:id="571"/>
    </w:p>
    <w:p>
      <w:pPr>
        <w:pStyle w:val="Heading6"/>
        <w:numPr>
          <w:ilvl w:val="5"/>
          <w:numId w:val="1"/>
        </w:numPr>
        <w:rPr/>
      </w:pPr>
      <w:bookmarkStart w:id="572" w:name="__RefHeading___Toc1440656_372815092"/>
      <w:bookmarkStart w:id="573" w:name="_Toc214"/>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بدیهی است که به جز اهل کتاب، پیروان ادیان دیگری هم در جهان، به تعداد زیادی وجود دارند مانند بودائیسم، برهمائیسم و غیره و امروزه در تعدادی از کشورهای اسلامی پیروان ادیان مذکور به صورت یک اقلیت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جای این پرسش است که دیدگاه اسلام و موضع حکومت اسلامی در قبال ادیان</w:t>
      </w:r>
    </w:p>
    <w:p>
      <w:pPr>
        <w:pStyle w:val="BookText"/>
        <w:rPr/>
      </w:pPr>
      <w:r>
        <w:rPr>
          <w:rFonts w:ascii="IRNazanin" w:hAnsi="IRNazanin" w:eastAsia="IRNazanin"/>
          <w:color w:val="111111"/>
          <w:sz w:val="28"/>
          <w:sz w:val="28"/>
          <w:szCs w:val="28"/>
          <w:rtl w:val="true"/>
          <w:lang w:bidi="fa-IR"/>
        </w:rPr>
        <w:t>فوق و پیروان آنها چیست؟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عملی حضرت پیامبر صلی الله علیه واله ، ائمه معصومین و سایر زمامداران مسلمان و روایاتی که در این زمینه رسیده است، بر می آید که کفار از دیدگاه آن بزرگواران بر سه دسته بوده 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كفاری هستند که سرزمین یا کشورشان در حال جنگ و </w:t>
      </w:r>
    </w:p>
    <w:p>
      <w:pPr>
        <w:pStyle w:val="BookText"/>
        <w:rPr/>
      </w:pPr>
      <w:r>
        <w:rPr>
          <w:rFonts w:ascii="IRNazanin" w:hAnsi="IRNazanin" w:eastAsia="IRNazanin"/>
          <w:color w:val="111111"/>
          <w:sz w:val="28"/>
          <w:sz w:val="28"/>
          <w:szCs w:val="28"/>
          <w:rtl w:val="true"/>
          <w:lang w:bidi="fa-IR"/>
        </w:rPr>
        <w:t xml:space="preserve">درگیری با مسلمانان است، به این گونه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و چون با مسلمانان در حال جنگ هستند، اگر به سرزمین اسلامی بیایند از هیچ حقی برخوردار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دارالذمه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یهودی و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w:t>
      </w:r>
    </w:p>
    <w:p>
      <w:pPr>
        <w:pStyle w:val="BookText"/>
        <w:rPr/>
      </w:pPr>
      <w:r>
        <w:rPr>
          <w:rFonts w:ascii="IRNazanin" w:hAnsi="IRNazanin" w:eastAsia="IRNazanin"/>
          <w:color w:val="111111"/>
          <w:sz w:val="28"/>
          <w:sz w:val="28"/>
          <w:szCs w:val="28"/>
          <w:rtl w:val="true"/>
          <w:lang w:bidi="fa-IR"/>
        </w:rPr>
        <w:t>مسلمانان قرارداد ذمه منعقد می کنند و بر اساس آن از حقوقشان برخوردار می شوند، که بحث آن مفصلا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دارالصلح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هستند که نه مانند اهل کتاب قرارداد ذمه با مسلمانان</w:t>
      </w:r>
    </w:p>
    <w:p>
      <w:pPr>
        <w:pStyle w:val="BookText"/>
        <w:rPr/>
      </w:pPr>
      <w:r>
        <w:rPr>
          <w:rFonts w:ascii="IRNazanin" w:hAnsi="IRNazanin" w:eastAsia="IRNazanin"/>
          <w:color w:val="111111"/>
          <w:sz w:val="28"/>
          <w:sz w:val="28"/>
          <w:szCs w:val="28"/>
          <w:rtl w:val="true"/>
          <w:lang w:bidi="fa-IR"/>
        </w:rPr>
        <w:t>بسته اند و نه مانند کفار حربی جنگ و دشمنی با مسلمانان دارند، بلکه یا با مسلمانان</w:t>
      </w:r>
    </w:p>
    <w:p>
      <w:pPr>
        <w:pStyle w:val="BookText"/>
        <w:rPr/>
      </w:pPr>
      <w:r>
        <w:rPr>
          <w:rFonts w:ascii="IRNazanin" w:hAnsi="IRNazanin" w:eastAsia="IRNazanin"/>
          <w:color w:val="111111"/>
          <w:sz w:val="28"/>
          <w:sz w:val="28"/>
          <w:szCs w:val="28"/>
          <w:rtl w:val="true"/>
          <w:lang w:bidi="fa-IR"/>
        </w:rPr>
        <w:t xml:space="preserve">قرارداد صلح منعقد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قرارداد مذکور به نحو دائم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نحو موقت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هدنه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در جنگ میان دارالاسلام و دارالحرب خود را بی طرف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دارالحياء یا دارالاعتزال</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با توجه به مطالب فوق، در مورد اقلیتهای مذهبی غیر اهل کتاب، طبق نظریه آن</w:t>
      </w:r>
    </w:p>
    <w:p>
      <w:pPr>
        <w:pStyle w:val="BookText"/>
        <w:rPr/>
      </w:pPr>
      <w:r>
        <w:rPr>
          <w:rFonts w:ascii="IRNazanin" w:hAnsi="IRNazanin" w:eastAsia="IRNazanin"/>
          <w:color w:val="111111"/>
          <w:sz w:val="28"/>
          <w:sz w:val="28"/>
          <w:szCs w:val="28"/>
          <w:rtl w:val="true"/>
          <w:lang w:bidi="fa-IR"/>
        </w:rPr>
        <w:t xml:space="preserve">دسته از مذاهب اسلامی </w:t>
      </w:r>
      <w:r>
        <w:rPr>
          <w:rStyle w:val="FootnoteAnchor"/>
          <w:rtl w:val="true"/>
        </w:rPr>
        <w:footnoteReference w:id="559"/>
      </w:r>
      <w:r>
        <w:rPr>
          <w:rFonts w:ascii="IRNazanin" w:hAnsi="IRNazanin" w:eastAsia="IRNazanin"/>
          <w:color w:val="111111"/>
          <w:sz w:val="28"/>
          <w:sz w:val="28"/>
          <w:szCs w:val="28"/>
          <w:rtl w:val="true"/>
          <w:lang w:bidi="fa-IR"/>
        </w:rPr>
        <w:t>که قرارداد ذمه را شامل همه ادیان دیگر می دانند، با کفار غیر اهل کتاب نیز مانند کفار اهل کتاب باید عمل شود و با آنها قرارداد ذمه منعقد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دیدگاه آن دسته از مذاهب اسلامی </w:t>
      </w:r>
      <w:r>
        <w:rPr>
          <w:rStyle w:val="FootnoteAnchor"/>
          <w:rtl w:val="true"/>
        </w:rPr>
        <w:footnoteReference w:id="560"/>
      </w:r>
      <w:r>
        <w:rPr>
          <w:rFonts w:ascii="IRNazanin" w:hAnsi="IRNazanin" w:eastAsia="IRNazanin"/>
          <w:color w:val="111111"/>
          <w:sz w:val="28"/>
          <w:sz w:val="28"/>
          <w:szCs w:val="28"/>
          <w:rtl w:val="true"/>
          <w:lang w:bidi="fa-IR"/>
        </w:rPr>
        <w:t>که قرارداد ذمه را مخصوص اهل کتاب می دانند مانند مذهب شیعه، می توان گفت که اختصاص قرارداد ذمه به اهل کتاب به معنای جنگ و جدال و عدم سازش با ادیان دیگر نیست، بلکه در اسلام قراردادهای صلح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ذکر شد، قرارداد ذمه یکی از قراردادهای صلح است که با اهل کتاب منعقد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خارج بودن کفار غیر اهل کتاب از دایره قرارداد ذمه به این معنی نیست که با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لزوما جنگ و درگیری و خصومت باشد بلکه چه بسا ممکن است آنها در چارچوب اهالی دارالهدنه، دارالحياد و غیره قرار گیرند و قراردادهای صلح متناسب با وضعیت هر کدام منعقد شود؛ بعلاوه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قرآنی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w:t>
      </w:r>
    </w:p>
    <w:p>
      <w:pPr>
        <w:pStyle w:val="BookText"/>
        <w:rPr/>
      </w:pPr>
      <w:r>
        <w:rPr>
          <w:rFonts w:ascii="Amiri" w:hAnsi="Amiri" w:eastAsia="Amiri" w:cs="Amiri"/>
          <w:color w:val="111111"/>
          <w:sz w:val="28"/>
          <w:sz w:val="28"/>
          <w:szCs w:val="28"/>
          <w:rtl w:val="true"/>
          <w:lang w:bidi="ar-SA"/>
        </w:rPr>
        <w:t xml:space="preserve">قسطوا إِلَيْهِمْ اللَّهِ اللَّهَ يُحِبُّ الْمُقْسِطِينَ </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خدا شما را از نیکی کردن و رعایت عدالت نسبت به کسانی که در امر دین با شما پیکار نکردند و از خانه و دیارتان بیرون نراندند نهی نمی کند، چرا که خداوند عدالت پیشگان را دوست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تَوَكَّلْ عَلَى اللَّهِ إِنَّهُ 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صلح نشان دهند، تو نیز از در صلح درآی، و بر خدا توکل کن، که او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الَّذِينَ كَفَرُوا بِعَذابِ الْيَمِّ إِلاَّ الَّذِينَ عاهَدْتُمْ مِنَ الْمُشْرِكِينَ ثُمَّ لَمْ يَنْقُصُوكُمْ شَيْئاً و</w:t>
      </w:r>
    </w:p>
    <w:p>
      <w:pPr>
        <w:pStyle w:val="BookText"/>
        <w:rPr/>
      </w:pPr>
      <w:r>
        <w:rPr>
          <w:rFonts w:ascii="Amiri" w:hAnsi="Amiri" w:eastAsia="Amiri" w:cs="Amiri"/>
          <w:color w:val="111111"/>
          <w:sz w:val="28"/>
          <w:sz w:val="28"/>
          <w:szCs w:val="28"/>
          <w:rtl w:val="true"/>
          <w:lang w:bidi="ar-SA"/>
        </w:rPr>
        <w:t xml:space="preserve">لم یظاهروا عَلَيْكُمْ أَحَداً فَأَتِمُّوا إِلَيْهِمْ عَهْدَهُمْ إِلى مُدَّتِهِمْ وَ اللَّهُ يُحِبُّ المتقین </w:t>
      </w:r>
      <w:r>
        <w:rPr>
          <w:rFonts w:eastAsia="Amiri" w:cs="Amiri" w:ascii="Amiri" w:hAnsi="Amiri"/>
          <w:color w:val="111111"/>
          <w:sz w:val="28"/>
          <w:szCs w:val="28"/>
          <w:rtl w:val="true"/>
          <w:lang w:bidi="ar-SA"/>
        </w:rPr>
        <w:t xml:space="preserve">» </w:t>
      </w:r>
      <w:r>
        <w:rPr>
          <w:rStyle w:val="FootnoteAnchor"/>
          <w:rtl w:val="true"/>
        </w:rPr>
        <w:footnoteReference w:id="563"/>
      </w:r>
      <w:r>
        <w:rPr>
          <w:rFonts w:ascii="IRNazanin" w:hAnsi="IRNazanin" w:eastAsia="IRNazanin"/>
          <w:color w:val="111111"/>
          <w:sz w:val="28"/>
          <w:sz w:val="28"/>
          <w:szCs w:val="28"/>
          <w:rtl w:val="true"/>
          <w:lang w:bidi="fa-IR"/>
        </w:rPr>
        <w:t>و کافران را به مجازات دردناک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از مشرکان که با آنها عهد بستید، و چیزی از آن را در حق شما فروگذار نکردند، و آحدی را بر ضد شما تقویت نکردند، پیمان آنها را تا پایان مدتشان محترم بشمرید، زیرا خداوند پرهیزگاران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حضرت علی علیه السلام به مالک اشتر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اشعر قلبك الرحمة للرعية و المحبة لهم و اللطف بهم و لاتكونن عليهم سبعا ضاريا تغتنم اكلهم فانهم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الخ لك في الدين أو نظير لك في الخلق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با مردم لطف و محبت و مهربانی و رحمت داشته باش، بر آنها چون حیوان درنده</w:t>
      </w:r>
    </w:p>
    <w:p>
      <w:pPr>
        <w:pStyle w:val="BookText"/>
        <w:rPr/>
      </w:pPr>
      <w:r>
        <w:rPr>
          <w:rFonts w:ascii="IRNazanin" w:hAnsi="IRNazanin" w:eastAsia="IRNazanin"/>
          <w:color w:val="111111"/>
          <w:sz w:val="28"/>
          <w:sz w:val="28"/>
          <w:szCs w:val="28"/>
          <w:rtl w:val="true"/>
          <w:lang w:bidi="fa-IR"/>
        </w:rPr>
        <w:t>مضری که دریدن آنها را غنیمت می شمارد نباش، مردم دو دسته هستند یا برادر دینی تواند و یا در انسانیت با تو برابرند؛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فتوای بعضی از مراجع تقلید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مبنی بر برخورد احترام آمیز با اقلیتهای دینی غیر اهل کتاب و مقیم در سرزمینهای اسلامی؛ می توان گفت که این دسته از اقلیتها نیز می توانند با امنیت و آسایش در جامعه اسلامی زندگی کنند و حقوق آنها از سوی</w:t>
      </w:r>
      <w:bookmarkStart w:id="574" w:name="pg6894_74705"/>
    </w:p>
    <w:p>
      <w:pPr>
        <w:pStyle w:val="BookText"/>
        <w:rPr/>
      </w:pPr>
      <w:bookmarkEnd w:id="574"/>
      <w:r>
        <w:rPr>
          <w:rFonts w:ascii="IRNazanin" w:hAnsi="IRNazanin" w:eastAsia="IRNazanin"/>
          <w:color w:val="111111"/>
          <w:sz w:val="28"/>
          <w:sz w:val="28"/>
          <w:szCs w:val="28"/>
          <w:rtl w:val="true"/>
          <w:lang w:bidi="fa-IR"/>
        </w:rPr>
        <w:t>حکومت اسلامی محترم شمرده خواهد شد</w:t>
      </w:r>
      <w:r>
        <w:rPr>
          <w:rFonts w:eastAsia="IRNazanin" w:cs="IRNazanin"/>
          <w:color w:val="111111"/>
          <w:sz w:val="28"/>
          <w:szCs w:val="28"/>
          <w:rtl w:val="true"/>
          <w:lang w:bidi="fa-IR"/>
        </w:rPr>
        <w:t xml:space="preserve">. </w:t>
      </w:r>
      <w:r>
        <w:rPr>
          <w:rStyle w:val="FootnoteAnchor"/>
          <w:rtl w:val="true"/>
        </w:rPr>
        <w:footnoteReference w:id="565"/>
      </w:r>
    </w:p>
    <w:p>
      <w:pPr>
        <w:pStyle w:val="Heading6"/>
        <w:numPr>
          <w:ilvl w:val="5"/>
          <w:numId w:val="1"/>
        </w:numPr>
        <w:rPr/>
      </w:pPr>
      <w:bookmarkStart w:id="575" w:name="__RefHeading___Toc1440658_372815092"/>
      <w:bookmarkStart w:id="576" w:name="_Toc215"/>
      <w:bookmarkEnd w:id="575"/>
      <w:r>
        <w:rPr>
          <w:rtl w:val="true"/>
        </w:rPr>
        <w:t>طهارت كفار</w:t>
      </w:r>
      <w:r>
        <w:rPr>
          <w:rtl w:val="true"/>
        </w:rPr>
        <w:t>:</w:t>
      </w:r>
      <w:bookmarkEnd w:id="576"/>
    </w:p>
    <w:p>
      <w:pPr>
        <w:pStyle w:val="BookText"/>
        <w:rPr/>
      </w:pPr>
      <w:r>
        <w:rPr>
          <w:rFonts w:ascii="IRNazanin" w:hAnsi="IRNazanin" w:eastAsia="IRNazanin"/>
          <w:color w:val="111111"/>
          <w:sz w:val="28"/>
          <w:sz w:val="28"/>
          <w:szCs w:val="28"/>
          <w:rtl w:val="true"/>
          <w:lang w:bidi="fa-IR"/>
        </w:rPr>
        <w:t>ممکن است کسی اشکال کند که از دیدگاه اسلام شخص کافر نجس است و نجس</w:t>
      </w:r>
    </w:p>
    <w:p>
      <w:pPr>
        <w:pStyle w:val="BookText"/>
        <w:rPr/>
      </w:pPr>
      <w:r>
        <w:rPr>
          <w:rFonts w:ascii="IRNazanin" w:hAnsi="IRNazanin" w:eastAsia="IRNazanin"/>
          <w:color w:val="111111"/>
          <w:sz w:val="28"/>
          <w:sz w:val="28"/>
          <w:szCs w:val="28"/>
          <w:rtl w:val="true"/>
          <w:lang w:bidi="fa-IR"/>
        </w:rPr>
        <w:t>دانستن کفار تبعیض آشکاری نسبت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شمردن کفار نظر تمامی علمای مسلمان نیست بلکه فقط اعتقاد عده ای از آنهاست، آن هم به دلیل تعمیم دادن حیطه 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چنان 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دیگری از علما، خصوصا جمعی از فقهای معاصر، معتقد به طهارت كفار هستند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از جمله آقای عابدینی 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این آیه و روایات فقط نجاست عرضی و پلیدی ناشی از اعتقاد به کفریت کافر را اثبات می کند نه نجاست ذاتی و یا به عبارت دیگر نجاست فقهی کافر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ائمه به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المشركون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نجاست کفار استشهاد نکرده اند، پس معلوم می شود این آیه دلالت بر مدعا ندارد و اجماع هم قابل استدلال نیست چون مدرکی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شواهدی هم بر پا کی ذاتی انسان وجود دارد</w:t>
      </w:r>
      <w:r>
        <w:rPr>
          <w:rFonts w:eastAsia="IRNazanin" w:cs="IRNazanin"/>
          <w:color w:val="111111"/>
          <w:sz w:val="28"/>
          <w:szCs w:val="28"/>
          <w:rtl w:val="true"/>
          <w:lang w:bidi="fa-IR"/>
        </w:rPr>
        <w:t xml:space="preserve">: </w:t>
      </w:r>
      <w:bookmarkStart w:id="577" w:name="pg6894_74706"/>
    </w:p>
    <w:p>
      <w:pPr>
        <w:pStyle w:val="BookText"/>
        <w:rPr/>
      </w:pPr>
      <w:bookmarkEnd w:id="57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فقیهان و روایات معصومان در باب غسل میت؛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فقیهان و روایات معصومان در باب هم غذا شدن با کفار؛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فقیهان و روایات معصومان در باب ازدواج با اهل کتاب؛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فقیهان و روایات معصومان در باب رضاع؛</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فقیهان و روایات معصومان در باب هم غذا شدن با اهل کتاب</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جای دیگر، همین نویسنده چنین نتیجه می گیرد</w:t>
      </w:r>
    </w:p>
    <w:p>
      <w:pPr>
        <w:pStyle w:val="BookText"/>
        <w:rPr/>
      </w:pPr>
      <w:r>
        <w:rPr>
          <w:rFonts w:ascii="IRNazanin" w:hAnsi="IRNazanin" w:eastAsia="IRNazanin"/>
          <w:color w:val="111111"/>
          <w:sz w:val="28"/>
          <w:sz w:val="28"/>
          <w:szCs w:val="28"/>
          <w:rtl w:val="true"/>
          <w:lang w:bidi="fa-IR"/>
        </w:rPr>
        <w:t>ازدواج مرد مسلمان با زن غیر مسلمان مطلقا جایز است چه کتابی باشد و چه غیر اهل کتاب و دلایل مانعه بر موردی حمل می شود که زن معتقد به دین خود باشد و در آن تعصب و نسبت به اسلام عناد داشته باشد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سپس دلایلی هم بر مدعای خویش اقامه می کند</w:t>
      </w:r>
      <w:r>
        <w:rPr>
          <w:rFonts w:eastAsia="IRNazanin" w:cs="IRNazanin"/>
          <w:color w:val="111111"/>
          <w:sz w:val="28"/>
          <w:szCs w:val="28"/>
          <w:rtl w:val="true"/>
          <w:lang w:bidi="fa-IR"/>
        </w:rPr>
        <w:t>.</w:t>
      </w:r>
    </w:p>
    <w:p>
      <w:pPr>
        <w:pStyle w:val="Heading6"/>
        <w:numPr>
          <w:ilvl w:val="5"/>
          <w:numId w:val="1"/>
        </w:numPr>
        <w:rPr/>
      </w:pPr>
      <w:bookmarkStart w:id="578" w:name="__RefHeading___Toc1440660_372815092"/>
      <w:bookmarkStart w:id="579" w:name="_Toc216"/>
      <w:bookmarkEnd w:id="578"/>
      <w:r>
        <w:rPr>
          <w:rtl w:val="true"/>
        </w:rPr>
        <w:t>دیه کفار</w:t>
      </w:r>
      <w:r>
        <w:rPr>
          <w:rtl w:val="true"/>
        </w:rPr>
        <w:t>:</w:t>
      </w:r>
      <w:bookmarkEnd w:id="579"/>
    </w:p>
    <w:p>
      <w:pPr>
        <w:pStyle w:val="BookText"/>
        <w:rPr/>
      </w:pPr>
      <w:r>
        <w:rPr>
          <w:rFonts w:ascii="IRNazanin" w:hAnsi="IRNazanin" w:eastAsia="IRNazanin"/>
          <w:color w:val="111111"/>
          <w:sz w:val="28"/>
          <w:sz w:val="28"/>
          <w:szCs w:val="28"/>
          <w:rtl w:val="true"/>
          <w:lang w:bidi="fa-IR"/>
        </w:rPr>
        <w:t xml:space="preserve">یکی از بحثهای مهم در بررسی حقوق اقلیتهای مذهبی از دیدگاه اسلام،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اقلیتهاست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علمای عامه، در این باره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اهل کتاب ثلث دیه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اهل کتاب نصف دیه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اهل کتاب برابر با دیه مسلمانان است</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مشهور علمای شیعه این است که دیه اهل کتاب هشتصد درهم است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در مقابل، عده ای نظر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آية الله معرفت چنین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قدمای فقهای امامیه، ابوعلی محمد ابن احمد معروف به ابن جنید 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که تحت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اسلام قرار دارند، و از شرایط ذمه تخلف نورزیده اند، دیه هر مرد چهارصد دینار یا چهار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اسلام با قهر و غلبه بر آنان مستولی گشته هشتصد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روایت ابوبصیر از امام صادق علیه السلام استناد جسته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دية اليهودي و النصرانی اربعة آلاف درهم، و ډية المجوسي ثمانمأة درهم</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که قسمت اول روایت را بر اهل ذمه حمل کرده است و قسمت اخیر را بر کسانی که سلطه اسلام قهرا بر آنان چیره گشته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روایات در این باره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دية اليهودي و النصرانی و المجوس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ثمانمأة</w:t>
      </w:r>
    </w:p>
    <w:p>
      <w:pPr>
        <w:pStyle w:val="BookText"/>
        <w:rPr/>
      </w:pP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موثقه ابی بصیر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دية اليهودي و النصرانی اربعة آلاف و دية المجوسی ثمانمأة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مرسله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دية اليهودي و النصراني و المجوسی، اربعة آلاف درهم لانهم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الكتاب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صحيحة أبان بن تغلب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اليهودي و النصرانی و المجوسي دية المسلم</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صدوق رحمة الله اختلاف روایات را بر اختلاف حالات اهل کتاب به در رابطه با تعهد آنان نسبت به دولت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نموده است و بدین سان میان روایات جمع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میان آنان و دولت اسلامی معاهدهای بسته شده و شرایطی با آنان مقرر گشته، تا بر عهد خود استوارند و به شرایط عمل میکنند، دیه آنان چهارهزار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زیر پوشش اسلام و در حمایت اسلام قرار گرفته اند، دیه آنان همانند دیه یک مسلمان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جمع، صحيحه زراره از امام صادق علیه السلام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اعطاه رسول الله صلی الله علیه واله ذمة فدية كاملة، قال زرارة هؤلاء ما؟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اعطاهم ذمة</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الحمایه دولت اسلامی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او دیه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زراره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پناه اسلام زندگی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مانند اسلام خود، تحت الحمایه اسلام قرار دارند، و حکم آنان بر اینان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جمعی را که مرحوم صدوق پیموده، از نظر فن درست تر می نماید، زیرا شاهد جمع را از خود روایات به دست آورده است که صحیحه زراره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جمع دیگری نیز وجود دارد و آن، موثقه سماعة بن مهران از امام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واله خالد بن ولید را به بحرین گسیل داشت و بر دست او خونهایی ریخته شد که می بایست دیه آنان را بپردازد، آنگاه به پیامبر نوشت که خونبهای یهود و نصاری را هریک هشتصد درهم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خونبهای مجوسی را ندانستم چه اندازه بپردازم، زیرا از شما دستوری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مجوسی مانند دیگر اهل کتاب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بحرین در آن عهد، طرف مصالحه قرار گرفته بود، و همچنان تحت سیطره دست نشانده دولت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و قبایل عربی و برخی ایرانیها اسلام آوردند ولی یهود و نصاری و بقیه مجوس،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مصالحه به دست علاء بن خضر می نماینده پیامبر در سال هشتم هجری انجام</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از این رو، اهل کتاب که در موثقه سماعه مطرح شده اند، هنوز همگون با دیگر شهروندان مسلمان، در یک کشور تحت سیطره کامل اسلامی قرار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 به دست آورد روایاتی که دیه دمی را هشتصد درهم دانسته، ناظر به اهل جزیه که طرف مصالحه قرار گرفته اند می باشد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را که مرحوم صدوق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دیه شهروندان اهل کتاب با مسلمین علاوه بر صحت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صحيحة زراره و موثقه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تاریخی </w:t>
      </w:r>
      <w:bookmarkStart w:id="580" w:name="pg6894_74709"/>
    </w:p>
    <w:p>
      <w:pPr>
        <w:pStyle w:val="BookText"/>
        <w:rPr/>
      </w:pPr>
      <w:bookmarkEnd w:id="580"/>
      <w:r>
        <w:rPr>
          <w:rFonts w:ascii="IRNazanin" w:hAnsi="IRNazanin" w:eastAsia="IRNazanin"/>
          <w:color w:val="111111"/>
          <w:sz w:val="28"/>
          <w:sz w:val="28"/>
          <w:szCs w:val="28"/>
          <w:rtl w:val="true"/>
          <w:lang w:bidi="fa-IR"/>
        </w:rPr>
        <w:t>معتبر نیز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هشتصد درهم اطلاق دارد و قابل تقیید است و دو روایت فوق، صلاحیت تقیید آن را دارند؛ زیرا تفصیل در این دو روایت می تواند اجمال دیگر روایات را بردارد، و این خود از قبیل جمع دلالی است که بر هرگونه توجیه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حمل بر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جای خود روشن ساخته ایم که امامان معصوم علیهم السلام به ویژه دو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امام 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مخصوصا فقهای عصر خویش بیمی نداشتند، زیرا همگی نسبت به این بزرگواران خاضع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چنین احکامی که صرفا جنبه فقاهتی دارد و به سیاست حاکم ربطی نداشته باشد و مخصوصا ابوحنیفه در آن دوران، موقعیت چندان با اهمیتی نداشت که مانند امام صادق علیه السلام از او تقیه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جهاتی که موجب وهن روایات هشتصد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ردیف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کتاب </w:t>
      </w:r>
      <w:r>
        <w:rPr>
          <w:rStyle w:val="FootnoteAnchor"/>
          <w:rtl w:val="true"/>
        </w:rPr>
        <w:footnoteReference w:id="578"/>
      </w:r>
      <w:r>
        <w:rPr>
          <w:rFonts w:ascii="IRNazanin" w:hAnsi="IRNazanin" w:eastAsia="IRNazanin"/>
          <w:color w:val="111111"/>
          <w:sz w:val="28"/>
          <w:sz w:val="28"/>
          <w:szCs w:val="28"/>
          <w:rtl w:val="true"/>
          <w:lang w:bidi="fa-IR"/>
        </w:rPr>
        <w:t xml:space="preserve">است که جملگی فقهای امامیه آن را نپذیرفته اند </w:t>
      </w:r>
      <w:r>
        <w:rPr>
          <w:rStyle w:val="FootnoteAnchor"/>
          <w:rtl w:val="true"/>
        </w:rPr>
        <w:footnoteReference w:id="579"/>
      </w:r>
      <w:r>
        <w:rPr>
          <w:rFonts w:ascii="IRNazanin" w:hAnsi="IRNazanin" w:eastAsia="IRNazanin"/>
          <w:color w:val="111111"/>
          <w:sz w:val="28"/>
          <w:sz w:val="28"/>
          <w:szCs w:val="28"/>
          <w:rtl w:val="true"/>
          <w:lang w:bidi="fa-IR"/>
        </w:rPr>
        <w:t xml:space="preserve">و دیه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محسن اسلام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مسلمانان مساوی دانسته اند، و شدید تفرقه در این باره را مورد انکار قرار داده اند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لذا روایات هشتصد درهم باید ناظر به مواردی باشد که مقتول از زمره مسلمین بیرون بوده و نیز زیر پوشش حکومت عدل اسلامی قرار نگرفته و در حریم اسلام پذیرفته نشده بوده است </w:t>
      </w:r>
      <w:r>
        <w:rPr>
          <w:rFonts w:eastAsia="IRNazanin" w:cs="IRNazanin"/>
          <w:color w:val="111111"/>
          <w:sz w:val="28"/>
          <w:szCs w:val="28"/>
          <w:rtl w:val="true"/>
          <w:lang w:bidi="fa-IR"/>
        </w:rPr>
        <w:t>...</w:t>
      </w:r>
      <w:r>
        <w:rPr>
          <w:rStyle w:val="FootnoteAnchor"/>
          <w:rtl w:val="true"/>
        </w:rPr>
        <w:footnoteReference w:id="581"/>
      </w:r>
    </w:p>
    <w:p>
      <w:pPr>
        <w:pStyle w:val="Heading6"/>
        <w:numPr>
          <w:ilvl w:val="5"/>
          <w:numId w:val="1"/>
        </w:numPr>
        <w:rPr/>
      </w:pPr>
      <w:bookmarkStart w:id="581" w:name="__RefHeading___Toc1440662_372815092"/>
      <w:bookmarkStart w:id="582" w:name="_Toc217"/>
      <w:bookmarkEnd w:id="581"/>
      <w:r>
        <w:rPr>
          <w:rtl w:val="true"/>
        </w:rPr>
        <w:t>نتیجه گیری</w:t>
      </w:r>
      <w:bookmarkEnd w:id="58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مقاله به این نتیجه می رسیم که دین اسلام و اعلامیه های حقوق بشر در اصل آزادی تفکر و اندیشه یا مذهب، با هم اشتراک نظر دارند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رسمیت شناخته و به انسان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اعطا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نهایت، تفاوت در این است که در اعلامیه های حقوق بشر از مذهب یا عقیده به</w:t>
      </w:r>
    </w:p>
    <w:p>
      <w:pPr>
        <w:pStyle w:val="BookText"/>
        <w:rPr/>
      </w:pPr>
      <w:r>
        <w:rPr>
          <w:rFonts w:ascii="IRNazanin" w:hAnsi="IRNazanin" w:eastAsia="IRNazanin"/>
          <w:color w:val="111111"/>
          <w:sz w:val="28"/>
          <w:sz w:val="28"/>
          <w:szCs w:val="28"/>
          <w:rtl w:val="true"/>
          <w:lang w:bidi="fa-IR"/>
        </w:rPr>
        <w:t>طور عام یاد شده است، ولی اسلام با عمق و دقت بیشتری به مذهب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دین، عقایدی که جنبه آسمانی و الهی دارند مذهب شمرده می شوند و دارای احترامند اما عقاید سیاسی که در پوشش مذهب، از سوی کشورهای استعمارگر ساخته و پرداخته شده اند مردودند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محدودیتهایی که احیانا در زمینه اعمال حق مذهبی اقلیتهای دینی، در فقه اسلامی</w:t>
      </w:r>
    </w:p>
    <w:p>
      <w:pPr>
        <w:pStyle w:val="BookText"/>
        <w:rPr/>
      </w:pPr>
      <w:r>
        <w:rPr>
          <w:rFonts w:ascii="IRNazanin" w:hAnsi="IRNazanin" w:eastAsia="IRNazanin"/>
          <w:color w:val="111111"/>
          <w:sz w:val="28"/>
          <w:sz w:val="28"/>
          <w:szCs w:val="28"/>
          <w:rtl w:val="true"/>
          <w:lang w:bidi="fa-IR"/>
        </w:rPr>
        <w:t>وجود دارد و دولت اسلامی ناچار می شود آنها را در قوانین خویش بگنجاند، هیچ</w:t>
      </w:r>
    </w:p>
    <w:p>
      <w:pPr>
        <w:pStyle w:val="BookText"/>
        <w:rPr/>
      </w:pPr>
      <w:r>
        <w:rPr>
          <w:rFonts w:ascii="IRNazanin" w:hAnsi="IRNazanin" w:eastAsia="IRNazanin"/>
          <w:color w:val="111111"/>
          <w:sz w:val="28"/>
          <w:sz w:val="28"/>
          <w:szCs w:val="28"/>
          <w:rtl w:val="true"/>
          <w:lang w:bidi="fa-IR"/>
        </w:rPr>
        <w:t>منافاتی با مفاد اعلامیه های حقوق بشر ندارد بلکه از سوی خود این اعلامیه ها نیز چنین حقی داده شده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به عنوان نمونه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 المللی حقوق سیاسی و مدنی بشر چنین</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ابراز دین یا عقیده را نمی توان تابع محدودیتهایی قرار داد، مگر آنچه به موجب قانون پیش بینی شده است و برای حفظ امنیت، نظم و سلامت عمومی یا اخلاق حسنه یا حقوق و آزادیهای اساسی دیگران ضرورت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مربوط به حقوق اشخاص متعلق به اقلیتهای ملی یا قومی؛ دینی یا</w:t>
      </w:r>
    </w:p>
    <w:p>
      <w:pPr>
        <w:pStyle w:val="BookText"/>
        <w:rPr/>
      </w:pP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دولتها این حق را داده است که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 مصالح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قوانین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محدودیتهایی را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مزبور چنین اعلام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مفاد اعلامیه حاضر نباید طوری تفسیر شود که هرگونه فعالیت مغایر با</w:t>
      </w:r>
    </w:p>
    <w:p>
      <w:pPr>
        <w:pStyle w:val="BookText"/>
        <w:rPr/>
      </w:pPr>
      <w:r>
        <w:rPr>
          <w:rFonts w:ascii="IRNazanin" w:hAnsi="IRNazanin" w:eastAsia="IRNazanin"/>
          <w:color w:val="111111"/>
          <w:sz w:val="28"/>
          <w:sz w:val="28"/>
          <w:szCs w:val="28"/>
          <w:rtl w:val="true"/>
          <w:lang w:bidi="fa-IR"/>
        </w:rPr>
        <w:t xml:space="preserve">اهداف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 از جمله حاکمیت برابر، تمامیت ارضی و استقلال سیاسی دولتها مجاز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اعمال بخصوصی که از نظر قوانین ملی خلاف محسوب می شود، یا مغایر ضوابط</w:t>
      </w:r>
    </w:p>
    <w:p>
      <w:pPr>
        <w:pStyle w:val="BookText"/>
        <w:rPr/>
      </w:pPr>
      <w:r>
        <w:rPr>
          <w:rFonts w:ascii="IRNazanin" w:hAnsi="IRNazanin" w:eastAsia="IRNazanin"/>
          <w:color w:val="111111"/>
          <w:sz w:val="28"/>
          <w:sz w:val="28"/>
          <w:szCs w:val="28"/>
          <w:rtl w:val="true"/>
          <w:lang w:bidi="fa-IR"/>
        </w:rPr>
        <w:t>بین المللی بوده از حمایت این ماده مستثنی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قواعد و مقررات اسلامی مربوط به حقوق اقلیتها دو مزیت نسبت به</w:t>
      </w:r>
    </w:p>
    <w:p>
      <w:pPr>
        <w:pStyle w:val="BookText"/>
        <w:rPr/>
      </w:pPr>
      <w:r>
        <w:rPr>
          <w:rFonts w:ascii="IRNazanin" w:hAnsi="IRNazanin" w:eastAsia="IRNazanin"/>
          <w:color w:val="111111"/>
          <w:sz w:val="28"/>
          <w:sz w:val="28"/>
          <w:szCs w:val="28"/>
          <w:rtl w:val="true"/>
          <w:lang w:bidi="fa-IR"/>
        </w:rPr>
        <w:t>مفاد اعلامیه های حقوق بشر در این زمینه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نه تنها بر رعایت انصاف و عدالت در مورد اقلیتها و برخورداری آنها از</w:t>
      </w:r>
    </w:p>
    <w:p>
      <w:pPr>
        <w:pStyle w:val="BookText"/>
        <w:rPr/>
      </w:pPr>
      <w:r>
        <w:rPr>
          <w:rFonts w:ascii="IRNazanin" w:hAnsi="IRNazanin" w:eastAsia="IRNazanin"/>
          <w:color w:val="111111"/>
          <w:sz w:val="28"/>
          <w:sz w:val="28"/>
          <w:szCs w:val="28"/>
          <w:rtl w:val="true"/>
          <w:lang w:bidi="fa-IR"/>
        </w:rPr>
        <w:t>حقوقشان تأکید کرده است، بلکه حتی به آنها امتیازاتی بیشتر از مسلمانان نیز اعطا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مسلمان 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حقوق اسلامی در رفتار با اتباع مسلمان و غیر مسلمان تفاوتهایی قائل شده، در بسیاری از موارد وضع غیر مسلمانان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پرداخت مالیات مازاد اموال زکات که همه مسلمانان باید پرداخت کنند، معافند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همچنین از خدمت لشکری معافند، حال آنکه همه اتباع مسلمان مشمول خدمت</w:t>
      </w:r>
    </w:p>
    <w:p>
      <w:pPr>
        <w:pStyle w:val="BookText"/>
        <w:rPr/>
      </w:pPr>
      <w:r>
        <w:rPr>
          <w:rFonts w:ascii="IRNazanin" w:hAnsi="IRNazanin" w:eastAsia="IRNazanin"/>
          <w:color w:val="111111"/>
          <w:sz w:val="28"/>
          <w:sz w:val="28"/>
          <w:szCs w:val="28"/>
          <w:rtl w:val="true"/>
          <w:lang w:bidi="fa-IR"/>
        </w:rPr>
        <w:t>نظام اجباری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از نوعی خودمختاری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شان توسط همکیشانشان و بر طبق احوال شخصیه خود آنها حل و فصل می گردد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نقض اعلامیه های حقوق بشر، عدم ضمانت اجرایی آنهاست، بر خلاف قوانین اسلامی که زمامداران و مردم مسلمان ملزم به رعایت آن هستند و متخلفین از این مقررات مستحق مجازاتند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های مزبور بیشتر جنبه توصیه ای دارند و در آنها کمتر اشاره ای به برخورد عملی با ناقضان حقوق اقلیتها شده است، و در مواردی هم که برخوردهای قهرآمیز برای مقابله با عاملان جنایات علیه اقلیتها در نظر گرفته شده است اجرای آنها همواره دستخوش سیاستها و منافع قدرتهای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نقص بزرگ است که از تاریخ صدور این اعلامیه ها تا کنون، در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 گوشه جهان، بارها شاهد ظلم و جنایت در حق اقلیتها بوده ایم ولی کمتر اقدام مؤثر بین المللی در جهت رفع آن و یا مجازات عاملان آن صورت گرفته است؛ به عنوان نمونه </w:t>
      </w:r>
    </w:p>
    <w:p>
      <w:pPr>
        <w:pStyle w:val="BookText"/>
        <w:rPr/>
      </w:pPr>
      <w:r>
        <w:rPr>
          <w:rFonts w:ascii="IRNazanin" w:hAnsi="IRNazanin" w:eastAsia="IRNazanin"/>
          <w:color w:val="111111"/>
          <w:sz w:val="28"/>
          <w:sz w:val="28"/>
          <w:szCs w:val="28"/>
          <w:rtl w:val="true"/>
          <w:lang w:bidi="fa-IR"/>
        </w:rPr>
        <w:t>آشکاری از این موارد، می توان از حادثه اخیر یعنی کشتار هزاره ها توسط گروه طالبان در افغانستان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هزاران نفر از این اقلیت اعم از زنان و پیرمردان و کودکان در جریان اشغال مزارشریف به دست طالبان به طرز فجیعی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جاست که این قوم خصوصیات هر دو نوع اقلیت را با خود دارند، از یکسو به جهت هزاره بودن اقلیتی نژادی هستند و از سوی دیگر به خاطر شیعه بودن اقلیت مذهبی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نهادهای بین المللی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عفو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کارنامه خوبی از</w:t>
      </w:r>
    </w:p>
    <w:p>
      <w:pPr>
        <w:pStyle w:val="BookText"/>
        <w:rPr/>
      </w:pPr>
      <w:r>
        <w:rPr>
          <w:rFonts w:ascii="IRNazanin" w:hAnsi="IRNazanin" w:eastAsia="IRNazanin"/>
          <w:color w:val="111111"/>
          <w:sz w:val="28"/>
          <w:sz w:val="28"/>
          <w:szCs w:val="28"/>
          <w:rtl w:val="true"/>
          <w:lang w:bidi="fa-IR"/>
        </w:rPr>
        <w:t>خود نشان داد و با ارائه گزارشی گوشه هایی از این فاجعه را منعکس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شورای امنیت به عنوان مؤثرترین نهاد بین المللی که وظیفه اصلی حفظ صلح و امنیت بین المللی بر دوش آن است با صدور اعلامیه ای دال بر محکومیت، بسادگی از کنار قضیه گذشت، در حالی که می توانست اقدام مؤثرتری در این زمینه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ملل متحد، طبق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بین المللی منع کشتار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منع قتل و کشتار اعضای گروه نژادی یا مذهبی و مفاد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که به</w:t>
      </w:r>
    </w:p>
    <w:p>
      <w:pPr>
        <w:pStyle w:val="BookText"/>
        <w:rPr/>
      </w:pPr>
      <w:r>
        <w:rPr>
          <w:rFonts w:ascii="IRNazanin" w:hAnsi="IRNazanin" w:eastAsia="IRNazanin"/>
          <w:color w:val="111111"/>
          <w:sz w:val="28"/>
          <w:sz w:val="28"/>
          <w:szCs w:val="28"/>
          <w:rtl w:val="true"/>
          <w:lang w:bidi="fa-IR"/>
        </w:rPr>
        <w:t>مجازات عاملان چنین جنایاتی تصریح دارد، در چنین مواردی موظف به تشکیل دادگاه کیفری بین المللی برای مجازات عاملان این کشتارهاست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 مذکور به این وظیفه قانونی خویش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آمریکا یکی از مهمترین اعضای شورای امنیت که دارای حق وتوست، نیز با</w:t>
      </w:r>
    </w:p>
    <w:p>
      <w:pPr>
        <w:pStyle w:val="BookText"/>
        <w:rPr/>
      </w:pPr>
      <w:r>
        <w:rPr>
          <w:rFonts w:ascii="IRNazanin" w:hAnsi="IRNazanin" w:eastAsia="IRNazanin"/>
          <w:color w:val="111111"/>
          <w:sz w:val="28"/>
          <w:sz w:val="28"/>
          <w:szCs w:val="28"/>
          <w:rtl w:val="true"/>
          <w:lang w:bidi="fa-IR"/>
        </w:rPr>
        <w:t xml:space="preserve">صدور اعلامیه ای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گزارشات قتل عام هزاره ها در مزارشریف افغانستان تا کنون از طرف منبع مستقل و بی طرفی تأیید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نیست که علی رغم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عفو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کشتار جمعی،</w:t>
      </w:r>
    </w:p>
    <w:p>
      <w:pPr>
        <w:pStyle w:val="BookText"/>
        <w:rPr/>
      </w:pPr>
      <w:r>
        <w:rPr>
          <w:rFonts w:ascii="IRNazanin" w:hAnsi="IRNazanin" w:eastAsia="IRNazanin"/>
          <w:color w:val="111111"/>
          <w:sz w:val="28"/>
          <w:sz w:val="28"/>
          <w:szCs w:val="28"/>
          <w:rtl w:val="true"/>
          <w:lang w:bidi="fa-IR"/>
        </w:rPr>
        <w:t>مقامات کاخ سفید با چه توجیهی آن را گزارش تأیید ناشده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ضمانت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مفاد اعلامیه های حقوق بشر است که آن</w:t>
      </w:r>
    </w:p>
    <w:p>
      <w:pPr>
        <w:pStyle w:val="BookText"/>
        <w:rPr/>
      </w:pPr>
      <w:r>
        <w:rPr>
          <w:rFonts w:ascii="IRNazanin" w:hAnsi="IRNazanin" w:eastAsia="IRNazanin"/>
          <w:color w:val="111111"/>
          <w:sz w:val="28"/>
          <w:sz w:val="28"/>
          <w:szCs w:val="28"/>
          <w:rtl w:val="true"/>
          <w:lang w:bidi="fa-IR"/>
        </w:rPr>
        <w:t xml:space="preserve">را بازیچه سیاستها و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داران شورای امنیت ساخته است؛ هرجا که خود</w:t>
      </w:r>
    </w:p>
    <w:p>
      <w:pPr>
        <w:pStyle w:val="BookText"/>
        <w:rPr/>
      </w:pPr>
      <w:r>
        <w:rPr>
          <w:rFonts w:ascii="IRNazanin" w:hAnsi="IRNazanin" w:eastAsia="IRNazanin"/>
          <w:color w:val="111111"/>
          <w:sz w:val="28"/>
          <w:sz w:val="28"/>
          <w:szCs w:val="28"/>
          <w:rtl w:val="true"/>
          <w:lang w:bidi="fa-IR"/>
        </w:rPr>
        <w:t>بخواهند عمل می کنند و آنجا که در راستای منافعشان نباشد به تماشای نابودی و قتل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انسانها می نشینند</w:t>
      </w:r>
      <w:r>
        <w:rPr>
          <w:rFonts w:eastAsia="IRNazanin" w:cs="IRNazanin"/>
          <w:color w:val="111111"/>
          <w:sz w:val="28"/>
          <w:szCs w:val="28"/>
          <w:rtl w:val="true"/>
          <w:lang w:bidi="fa-IR"/>
        </w:rPr>
        <w:t xml:space="preserve">. </w:t>
      </w:r>
      <w:bookmarkStart w:id="583" w:name="pg6894_74713"/>
    </w:p>
    <w:p>
      <w:pPr>
        <w:pStyle w:val="Heading6"/>
        <w:numPr>
          <w:ilvl w:val="5"/>
          <w:numId w:val="1"/>
        </w:numPr>
        <w:rPr/>
      </w:pPr>
      <w:bookmarkStart w:id="584" w:name="__RefHeading___Toc1440664_372815092"/>
      <w:bookmarkStart w:id="585" w:name="_Toc218"/>
      <w:bookmarkEnd w:id="583"/>
      <w:bookmarkEnd w:id="584"/>
      <w:r>
        <w:rPr>
          <w:rtl w:val="true"/>
        </w:rPr>
        <w:t>استفتاء از حضرت آية الله العظمی مکارم شیرازی دامت افاضاته</w:t>
      </w:r>
      <w:bookmarkEnd w:id="585"/>
    </w:p>
    <w:p>
      <w:pPr>
        <w:pStyle w:val="BookText"/>
        <w:rPr/>
      </w:pPr>
      <w:r>
        <w:rPr>
          <w:rFonts w:ascii="IRNazanin" w:hAnsi="IRNazanin" w:eastAsia="IRNazanin"/>
          <w:color w:val="111111"/>
          <w:sz w:val="28"/>
          <w:sz w:val="28"/>
          <w:szCs w:val="28"/>
          <w:rtl w:val="true"/>
          <w:lang w:bidi="fa-IR"/>
        </w:rPr>
        <w:t>ضمن عرض سلام و تحیات فراوان خدمت حضرتعالی، لطف نموده حکم فقهی مسائل</w:t>
      </w:r>
    </w:p>
    <w:p>
      <w:pPr>
        <w:pStyle w:val="BookText"/>
        <w:rPr/>
      </w:pPr>
      <w:r>
        <w:rPr>
          <w:rFonts w:ascii="IRNazanin" w:hAnsi="IRNazanin" w:eastAsia="IRNazanin"/>
          <w:color w:val="111111"/>
          <w:sz w:val="28"/>
          <w:sz w:val="28"/>
          <w:szCs w:val="28"/>
          <w:rtl w:val="true"/>
          <w:lang w:bidi="fa-IR"/>
        </w:rPr>
        <w:t>ذیل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اقلیتهای غیر مسلمان و اهل کتاب موجود در سرزمین اسلامی ایران آیا</w:t>
      </w:r>
    </w:p>
    <w:p>
      <w:pPr>
        <w:pStyle w:val="BookText"/>
        <w:rPr/>
      </w:pPr>
      <w:r>
        <w:rPr>
          <w:rFonts w:ascii="IRNazanin" w:hAnsi="IRNazanin" w:eastAsia="IRNazanin"/>
          <w:color w:val="111111"/>
          <w:sz w:val="28"/>
          <w:sz w:val="28"/>
          <w:szCs w:val="28"/>
          <w:rtl w:val="true"/>
          <w:lang w:bidi="fa-IR"/>
        </w:rPr>
        <w:t>اخذ جزیه از آنها لازم است یا نه؟ در صورت منفی بودن پاسخ دلیل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اقلیتهای غیر مسلمانی که اهل کتاب نیستند و در داخل ایران زندگی می کنند،</w:t>
      </w:r>
    </w:p>
    <w:p>
      <w:pPr>
        <w:pStyle w:val="BookText"/>
        <w:rPr/>
      </w:pPr>
      <w:r>
        <w:rPr>
          <w:rFonts w:ascii="IRNazanin" w:hAnsi="IRNazanin" w:eastAsia="IRNazanin"/>
          <w:color w:val="111111"/>
          <w:sz w:val="28"/>
          <w:sz w:val="28"/>
          <w:szCs w:val="28"/>
          <w:rtl w:val="true"/>
          <w:lang w:bidi="fa-IR"/>
        </w:rPr>
        <w:t>تکلیف دولت اسلامی در نحوه برخورد با آنها چیست؟ و همچنین نسبت به کشورهای</w:t>
      </w:r>
    </w:p>
    <w:p>
      <w:pPr>
        <w:pStyle w:val="BookText"/>
        <w:rPr/>
      </w:pPr>
      <w:r>
        <w:rPr>
          <w:rFonts w:ascii="IRNazanin" w:hAnsi="IRNazanin" w:eastAsia="IRNazanin"/>
          <w:color w:val="111111"/>
          <w:sz w:val="28"/>
          <w:sz w:val="28"/>
          <w:szCs w:val="28"/>
          <w:rtl w:val="true"/>
          <w:lang w:bidi="fa-IR"/>
        </w:rPr>
        <w:t>خارجی که مردمشان غیر مسلمان و غیر اهل کتاب می باشند؟</w:t>
      </w:r>
    </w:p>
    <w:p>
      <w:pPr>
        <w:pStyle w:val="BookText"/>
        <w:rPr/>
      </w:pPr>
      <w:r>
        <w:rPr>
          <w:rFonts w:ascii="IRNazanin" w:hAnsi="IRNazanin" w:eastAsia="IRNazanin"/>
          <w:color w:val="111111"/>
          <w:sz w:val="28"/>
          <w:sz w:val="28"/>
          <w:szCs w:val="28"/>
          <w:rtl w:val="true"/>
          <w:lang w:bidi="fa-IR"/>
        </w:rPr>
        <w:t xml:space="preserve">با تشکر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جزیه، یکی از شرایط عقد ذمه است، ولی حاکم شرع می تواند بنا بر مصالحی، از گرفتن جزیه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حکومت اسلامی ضدیت و تبلیغات منفی نداشته باشند، محترم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77/2/19</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مکارم شیرازی </w:t>
      </w:r>
      <w:bookmarkStart w:id="586" w:name="pg6894_74714"/>
    </w:p>
    <w:p>
      <w:pPr>
        <w:pStyle w:val="Heading6"/>
        <w:numPr>
          <w:ilvl w:val="5"/>
          <w:numId w:val="1"/>
        </w:numPr>
        <w:rPr/>
      </w:pPr>
      <w:bookmarkStart w:id="587" w:name="__RefHeading___Toc1440666_372815092"/>
      <w:bookmarkStart w:id="588" w:name="_Toc219"/>
      <w:bookmarkEnd w:id="586"/>
      <w:bookmarkEnd w:id="587"/>
      <w:r>
        <w:rPr>
          <w:rtl w:val="true"/>
        </w:rPr>
        <w:t>کتابنامه</w:t>
      </w:r>
      <w:bookmarkEnd w:id="588"/>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آلبر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قرن نوزدهم، نشر کمیسیون معارف، شهریور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حسن،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اسلام، ترجمه ابوالقاسم پاینده، انتشارات جاویدان،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حقوق بین الملل عمومی، ترجمه حسین سیدی، نشر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اطلاعات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سازمان ملل متحد، ترجمد منصور فراسیون، نشر وزارت علوم و آموزش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نشر وزارت ارشاد اسلامی، بهمن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اسلام، ترجمه ابراهیم قمی،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جهانی بشر، دفتر خدمات حقوقی بین المللی جمهوری اسلامی ایران، چاپ اول، پاییز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روابط بین الملل در اسلام، ترجمه مصطفی محقق داماد، مرکز نشر علوم اسلامی، آذر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خدوری،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صلح در اسلام، ترجمه غلامرضا سعیدی، نشر اقبال،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ډنت، دانیل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سرانه و تأثیر آن در گرایش به اسلام، ترجمه محمدعلی موحد، انتشارات خوارزمی، چاپ سوم،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ضیائی بیگدلی،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حقوق بین الملل شرکت سهامی انتشار، بهار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ضیائی بیگدلی،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 الملل عمومی، نشر گنج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ترجمه فقیهی، علی اصغر، انتشارات صبا،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همزیستی مسالمت آمیز، دار الكتب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اقلیتها بر اساس قرارداد ذمه، انتشارات کتابخانه صدر،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سیاسی، انتشارات امیرکبیر،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حقوق بشر، نشر کتابخانه صدر،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متین دفتری،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و حمایت بین المللی آن، چاپخانه بهمن،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طباطبایی،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فقه اسلامی، دفتر نشر فرهنگ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دار الكتب الاسلامیه، تهران، چاپ هفدهم، سال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ناصرزاده، 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های حقوق بشر، نشر ماجد، تهران، چاپ اول،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نشر اقبال،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اساسی جمهوری اسلامی ایران، نشر يلدا، تهران، چاپ اول، پاییز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و رویدادها،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کمیسیون حقوق بشر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تحقیقات حقوقی،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دانشگاه شهید بهشتی،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شماره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فرهنگی،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سال یازدهم، آذر و دی ماه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و بررسیها،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دانشکده الهیات و معارف اسلامی،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الخراج،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اندلسی،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الاحکام، چاپ سنگی، مؤسسه طوس،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الفقهاء،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المنار، چاپ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انتشارات البلاغه، محرم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سیوری،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کنزالعرفان، مكتبة المرتضوية،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الدمشقیه،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انتشارات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مجمع البيان، بیروت، چاپ اول،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في تفسير القرآن، دفتر تبلیغات اسلامی،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مكتبة المرتضوية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فاضل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الى آیات الاحکام، انتشارات مرتضوی، چاپ دوم،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السلطانية، دار الكتب العلمية،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الحاوي الكبير، انتشارات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محلی و سیوطی، جلال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جلالین،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مروارید،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الينابيع الفقهيه،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چاپ بیروت </w:t>
      </w:r>
      <w:bookmarkStart w:id="589" w:name="pg6894_74716"/>
    </w:p>
    <w:p>
      <w:pPr>
        <w:pStyle w:val="Heading3"/>
        <w:numPr>
          <w:ilvl w:val="2"/>
          <w:numId w:val="1"/>
        </w:numPr>
        <w:rPr/>
      </w:pPr>
      <w:bookmarkStart w:id="590" w:name="__RefHeading___Toc1440668_372815092"/>
      <w:bookmarkStart w:id="591" w:name="_Toc220"/>
      <w:bookmarkEnd w:id="589"/>
      <w:bookmarkEnd w:id="590"/>
      <w:r>
        <w:rPr>
          <w:rtl w:val="true"/>
        </w:rPr>
        <w:t>حمایت از اموال فرهنگی به هنگام نزاع مسلحانه</w:t>
      </w:r>
      <w:bookmarkEnd w:id="591"/>
    </w:p>
    <w:p>
      <w:pPr>
        <w:pStyle w:val="Heading4"/>
        <w:numPr>
          <w:ilvl w:val="3"/>
          <w:numId w:val="1"/>
        </w:numPr>
        <w:rPr/>
      </w:pPr>
      <w:bookmarkStart w:id="592" w:name="__RefHeading___Toc1440670_372815092"/>
      <w:bookmarkStart w:id="593" w:name="_Toc221"/>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آثار و مکانهای منحصر به فرد فرهنگی که جزء میراث مشترک بشریت به شمار می رود، هنگام جنگ مسلحانه، در معرض نابودی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تلخ جنگهای ویرانگر، جامعه جهانی را واداشت که به فکر محافظت از این اموال در خلال جنگها بیفتد و در این راستا به وضع قوانینی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کنوانسیون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اموال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نزاع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لاهه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ترجمه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PROTECTION OF CULTURAL PROPERTY IN TIME OF ARMED CONFLICT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ماهاسرشیچ، استادیار دانشکده حقوق دانشگاه زاگرب است که در سالنامه</w:t>
      </w:r>
    </w:p>
    <w:p>
      <w:pPr>
        <w:pStyle w:val="BookText"/>
        <w:rPr/>
      </w:pPr>
      <w:r>
        <w:rPr>
          <w:rFonts w:eastAsia="Times New Roman" w:cs="Times New Roman" w:ascii="Times New Roman" w:hAnsi="Times New Roman"/>
          <w:color w:val="111111"/>
          <w:sz w:val="28"/>
          <w:szCs w:val="28"/>
          <w:lang w:val="en-US" w:bidi="en-US"/>
        </w:rPr>
        <w:t>NETHERLANDS YEARBOOK OF INTERNATIONAL LAW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در آن به بررسی این کنوانسیون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در دفتر پژوهش دانشگاه علوم اسلامی رضوی و با همت مترجمان زیر</w:t>
      </w:r>
    </w:p>
    <w:p>
      <w:pPr>
        <w:pStyle w:val="BookText"/>
        <w:rPr/>
      </w:pPr>
      <w:r>
        <w:rPr>
          <w:rFonts w:ascii="IRNazanin" w:hAnsi="IRNazanin" w:eastAsia="IRNazanin"/>
          <w:color w:val="111111"/>
          <w:sz w:val="28"/>
          <w:sz w:val="28"/>
          <w:szCs w:val="28"/>
          <w:rtl w:val="true"/>
          <w:lang w:bidi="fa-IR"/>
        </w:rPr>
        <w:t>به ترتیب بخشهای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خاوری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صادقی </w:t>
      </w:r>
      <w:bookmarkStart w:id="594" w:name="pg6894_74717"/>
    </w:p>
    <w:p>
      <w:pPr>
        <w:pStyle w:val="BookText"/>
        <w:rPr/>
      </w:pPr>
      <w:bookmarkEnd w:id="5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هیبت الله نژندی منش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 باقری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بادامچی</w:t>
      </w:r>
    </w:p>
    <w:p>
      <w:pPr>
        <w:pStyle w:val="BookText"/>
        <w:rPr/>
      </w:pPr>
      <w:r>
        <w:rPr>
          <w:rFonts w:ascii="IRNazanin" w:hAnsi="IRNazanin" w:eastAsia="IRNazanin"/>
          <w:color w:val="111111"/>
          <w:sz w:val="28"/>
          <w:sz w:val="28"/>
          <w:szCs w:val="28"/>
          <w:rtl w:val="true"/>
          <w:lang w:bidi="fa-IR"/>
        </w:rPr>
        <w:t>۔ غلامحیدر علامه</w:t>
      </w:r>
    </w:p>
    <w:p>
      <w:pPr>
        <w:pStyle w:val="Heading4"/>
        <w:numPr>
          <w:ilvl w:val="3"/>
          <w:numId w:val="1"/>
        </w:numPr>
        <w:rPr/>
      </w:pPr>
      <w:bookmarkStart w:id="595" w:name="__RefHeading___Toc1440672_372815092"/>
      <w:bookmarkStart w:id="596" w:name="_Toc222"/>
      <w:bookmarkEnd w:id="595"/>
      <w:r>
        <w:rPr>
          <w:rtl w:val="true"/>
        </w:rPr>
        <w:t>مقدمه</w:t>
      </w:r>
      <w:bookmarkEnd w:id="596"/>
    </w:p>
    <w:p>
      <w:pPr>
        <w:pStyle w:val="BookText"/>
        <w:rPr/>
      </w:pPr>
      <w:r>
        <w:rPr>
          <w:rFonts w:ascii="IRNazanin" w:hAnsi="IRNazanin" w:eastAsia="IRNazanin"/>
          <w:color w:val="111111"/>
          <w:sz w:val="28"/>
          <w:sz w:val="28"/>
          <w:szCs w:val="28"/>
          <w:rtl w:val="true"/>
          <w:lang w:bidi="fa-IR"/>
        </w:rPr>
        <w:t>گستردگی تخریب و سرقت اموال فرهنگی در مخاصمات مسلحانه اخیر، بویژه آنچه در کرواسی و بوسنی و هرزگوین اتفاق افتاد، کفایت قواعد بین المللی را که هدف آنها حفظ اموال فرهنگی در زمان جنگ است،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صدد است این مشکل را با تجزیه و تحلیل مقررات اساسی بین المللی که مختص به حفظ اموال فرهنگی در زمان جنگ است،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نگاهی گذرا به سیر تاریخی قواعد حقوقی بین المللی که هدف آنها حفظ اموال فرهنگی در زمان مخاصمات مسلحانه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مقررات معاهده اصلی در این زمینه یعنی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لاهه در مورد حفظ اموال فرهنگی در زمان جنگ و پروتکل مربوط به آن مورد تجزیه و تحلیل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بحث شرط ضرورت نظامی و مناسبت درج آن در معاهده حفظ اموال فرهنگی</w:t>
      </w:r>
    </w:p>
    <w:p>
      <w:pPr>
        <w:pStyle w:val="BookText"/>
        <w:rPr/>
      </w:pPr>
      <w:r>
        <w:rPr>
          <w:rFonts w:ascii="IRNazanin" w:hAnsi="IRNazanin" w:eastAsia="IRNazanin"/>
          <w:color w:val="111111"/>
          <w:sz w:val="28"/>
          <w:sz w:val="28"/>
          <w:szCs w:val="28"/>
          <w:rtl w:val="true"/>
          <w:lang w:bidi="fa-IR"/>
        </w:rPr>
        <w:t xml:space="preserve">توجه ویژه ای خواهد شد، گرچه کارشناسان سالها درباره تأثیر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کرده و نظر داده اند و کارشناسان طراز اول در این زمینه به شرط ضرورت نظامی و نارساییهای دیگر قرار داد اشاره کرده اند، اما همه اینها تا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طول نکشید؛ یعنی زمانی که یک بازنگری واقعی و موثر در کنوانسیون و پروتکل آن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 بازنگری کنوانسیون در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طور خلاصه مرور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روند بازنگری عمدتا در نتیجه برانگیخته شدن علاقه رسانه ها و افکار عمومی به وسیله درگیریهای مسلحانه اخیر بوده است بویژه آنچه در کویت، کرواسی و بوسنی و هرزگوین اتفاق افتاد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تجزیه و تحلیل مقررات پروتکل اول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کنوانسیونهای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 </w:t>
      </w:r>
      <w:bookmarkStart w:id="597" w:name="pg6894_74718"/>
    </w:p>
    <w:p>
      <w:pPr>
        <w:pStyle w:val="BookText"/>
        <w:rPr/>
      </w:pPr>
      <w:bookmarkEnd w:id="597"/>
      <w:r>
        <w:rPr>
          <w:rFonts w:ascii="IRNazanin" w:hAnsi="IRNazanin" w:eastAsia="IRNazanin"/>
          <w:color w:val="111111"/>
          <w:sz w:val="28"/>
          <w:sz w:val="28"/>
          <w:szCs w:val="28"/>
          <w:rtl w:val="true"/>
          <w:lang w:bidi="fa-IR"/>
        </w:rPr>
        <w:t xml:space="preserve">درباره حمایت از قربانیان جنگ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قسمت اول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بر قلمرو حمایت متمرکز شده است، حمایتی که منطبق بر حمایت از اشیای فرهنگی و عبادتگاهها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همچنین به اهداف نظامی و طرقی که این اهداف سبب پیشرفت حفاظت از اموال فرهنگی در زمان درگیری مسلحانه، بر اساس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می شود عنایت خاصی مبذول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از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مقررات پروتکل دوم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حفاظت اموال</w:t>
      </w:r>
    </w:p>
    <w:p>
      <w:pPr>
        <w:pStyle w:val="BookText"/>
        <w:rPr/>
      </w:pPr>
      <w:r>
        <w:rPr>
          <w:rFonts w:ascii="IRNazanin" w:hAnsi="IRNazanin" w:eastAsia="IRNazanin"/>
          <w:color w:val="111111"/>
          <w:sz w:val="28"/>
          <w:sz w:val="28"/>
          <w:szCs w:val="28"/>
          <w:rtl w:val="true"/>
          <w:lang w:bidi="fa-IR"/>
        </w:rPr>
        <w:t>فرهنگی در جنگهای غیر بین المللی اختصاص یافته است،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معاهداتی بحث می کند که هرچند اختصاص به حفاظت از اموال</w:t>
      </w:r>
    </w:p>
    <w:p>
      <w:pPr>
        <w:pStyle w:val="BookText"/>
        <w:rPr/>
      </w:pPr>
      <w:r>
        <w:rPr>
          <w:rFonts w:ascii="IRNazanin" w:hAnsi="IRNazanin" w:eastAsia="IRNazanin"/>
          <w:color w:val="111111"/>
          <w:sz w:val="28"/>
          <w:sz w:val="28"/>
          <w:szCs w:val="28"/>
          <w:rtl w:val="true"/>
          <w:lang w:bidi="fa-IR"/>
        </w:rPr>
        <w:t>فرهنگی در زمان جنگ ندارند اما مقرراتی متناسب با این موضوع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بحثی پرداخته است که با موضوع مورد بحث ما مرتبط است و</w:t>
      </w:r>
    </w:p>
    <w:p>
      <w:pPr>
        <w:pStyle w:val="BookText"/>
        <w:rPr/>
      </w:pPr>
      <w:r>
        <w:rPr>
          <w:rFonts w:ascii="IRNazanin" w:hAnsi="IRNazanin" w:eastAsia="IRNazanin"/>
          <w:color w:val="111111"/>
          <w:sz w:val="28"/>
          <w:sz w:val="28"/>
          <w:szCs w:val="28"/>
          <w:rtl w:val="true"/>
          <w:lang w:bidi="fa-IR"/>
        </w:rPr>
        <w:t>آن صلاحیت دادگاه کیفری بین المللی یوگسلاوی سابق در تحت تعقیب قراردادن افرادی است که مسؤول تخریب و سرقت اشیای فرهنگی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بحثها به طور خلاصه بیان شده است</w:t>
      </w:r>
      <w:r>
        <w:rPr>
          <w:rFonts w:eastAsia="IRNazanin" w:cs="IRNazanin"/>
          <w:color w:val="111111"/>
          <w:sz w:val="28"/>
          <w:szCs w:val="28"/>
          <w:rtl w:val="true"/>
          <w:lang w:bidi="fa-IR"/>
        </w:rPr>
        <w:t>.</w:t>
      </w:r>
    </w:p>
    <w:p>
      <w:pPr>
        <w:pStyle w:val="Heading4"/>
        <w:numPr>
          <w:ilvl w:val="3"/>
          <w:numId w:val="1"/>
        </w:numPr>
        <w:rPr/>
      </w:pPr>
      <w:bookmarkStart w:id="598" w:name="__RefHeading___Toc1440674_372815092"/>
      <w:bookmarkStart w:id="599" w:name="_Toc223"/>
      <w:bookmarkEnd w:id="598"/>
      <w:r>
        <w:rPr>
          <w:rtl w:val="true"/>
        </w:rPr>
        <w:t>سیر تکامل تاریخی قواعد قانونی</w:t>
      </w:r>
      <w:bookmarkEnd w:id="599"/>
    </w:p>
    <w:p>
      <w:pPr>
        <w:pStyle w:val="BookText"/>
        <w:rPr/>
      </w:pPr>
      <w:r>
        <w:rPr>
          <w:rFonts w:ascii="IRNazanin" w:hAnsi="IRNazanin" w:eastAsia="IRNazanin"/>
          <w:color w:val="111111"/>
          <w:sz w:val="28"/>
          <w:sz w:val="28"/>
          <w:szCs w:val="28"/>
          <w:rtl w:val="true"/>
          <w:lang w:bidi="fa-IR"/>
        </w:rPr>
        <w:t>قواعد بین المللی در زمینه حفظ اموال فرهنگی در زمان جنگ در خلال قرن اخیر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یافته است هرچند رد پای تقاضای محافظت اموال فرهنگی از ورود خسارت به آنها یا دستبرد شورشگران، به یونان باستان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تلاش در زمینه تدوین قواعد حاکم بر رفتار نیروهایی که به سرزمین دشمن پا می گذارند که شامل حفظ اموال فرهنگی می شود به زمان جنگهای داخلی آمریکا در قرن نوزدهم باز می گردد؛ یعنی زمانی که فرماندهی عالی نیروهای متحد </w:t>
      </w:r>
      <w:r>
        <w:rPr>
          <w:rStyle w:val="FootnoteAnchor"/>
          <w:rtl w:val="true"/>
        </w:rPr>
        <w:footnoteReference w:id="584"/>
      </w:r>
      <w:r>
        <w:rPr>
          <w:rFonts w:ascii="IRNazanin" w:hAnsi="IRNazanin" w:eastAsia="IRNazanin"/>
          <w:color w:val="111111"/>
          <w:sz w:val="28"/>
          <w:sz w:val="28"/>
          <w:szCs w:val="28"/>
          <w:rtl w:val="true"/>
          <w:lang w:bidi="fa-IR"/>
        </w:rPr>
        <w:t xml:space="preserve">دستورالعمل ارتش ایالات متحده در میدان </w:t>
      </w:r>
    </w:p>
    <w:p>
      <w:pPr>
        <w:pStyle w:val="BookText"/>
        <w:rPr/>
      </w:pPr>
      <w:r>
        <w:rPr>
          <w:rFonts w:ascii="IRNazanin" w:hAnsi="IRNazanin" w:eastAsia="IRNazanin"/>
          <w:color w:val="111111"/>
          <w:sz w:val="28"/>
          <w:sz w:val="28"/>
          <w:szCs w:val="28"/>
          <w:rtl w:val="true"/>
          <w:lang w:bidi="fa-IR"/>
        </w:rPr>
        <w:t xml:space="preserve">جنگ را در سال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به قانون لایبر </w:t>
      </w:r>
      <w:r>
        <w:rPr>
          <w:rStyle w:val="FootnoteAnchor"/>
          <w:rtl w:val="true"/>
        </w:rPr>
        <w:footnoteReference w:id="585"/>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دستورالعمل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نیروهای ایالات متحده الزام آور بود، اما</w:t>
      </w:r>
    </w:p>
    <w:p>
      <w:pPr>
        <w:pStyle w:val="BookText"/>
        <w:rPr/>
      </w:pPr>
      <w:r>
        <w:rPr>
          <w:rFonts w:ascii="IRNazanin" w:hAnsi="IRNazanin" w:eastAsia="IRNazanin"/>
          <w:color w:val="111111"/>
          <w:sz w:val="28"/>
          <w:sz w:val="28"/>
          <w:szCs w:val="28"/>
          <w:rtl w:val="true"/>
          <w:lang w:bidi="fa-IR"/>
        </w:rPr>
        <w:t>تلاشهایی را که به هدف تدوین حقوق جنگ در سطح بین المللی روی داده بود، تحت</w:t>
      </w:r>
    </w:p>
    <w:p>
      <w:pPr>
        <w:pStyle w:val="BookText"/>
        <w:rPr/>
      </w:pPr>
      <w:r>
        <w:rPr>
          <w:rFonts w:ascii="IRNazanin" w:hAnsi="IRNazanin" w:eastAsia="IRNazanin"/>
          <w:color w:val="111111"/>
          <w:sz w:val="28"/>
          <w:sz w:val="28"/>
          <w:szCs w:val="28"/>
          <w:rtl w:val="true"/>
          <w:lang w:bidi="fa-IR"/>
        </w:rPr>
        <w:t>تأثیر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اعلامیه بین المللی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بروکسل مربوط به حقوق و آداب جنگ بیان می کند</w:t>
      </w:r>
    </w:p>
    <w:p>
      <w:pPr>
        <w:pStyle w:val="BookText"/>
        <w:rPr/>
      </w:pPr>
      <w:r>
        <w:rPr>
          <w:rFonts w:ascii="IRNazanin" w:hAnsi="IRNazanin" w:eastAsia="IRNazanin"/>
          <w:color w:val="111111"/>
          <w:sz w:val="28"/>
          <w:sz w:val="28"/>
          <w:szCs w:val="28"/>
          <w:rtl w:val="true"/>
          <w:lang w:bidi="fa-IR"/>
        </w:rPr>
        <w:t>که اموال متعلق به مؤسسات خاص هنری و علمی، تربیتی و مذهبی حتی اگر دولتی هم باشند، باید همانند اموال خصوصی با آنها رفتار کرد و مصادره و تخریب و خسارت عمدی آنها را مورد تعقیب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مورد، مقرره ای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آداب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گنجانده شد و به وسیله مؤسسه حقوق بین الملل آکسفورد در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اعلامیه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بروکسل و کتاب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آکسفورد، هر دو، اساس کنوانسیون لاهه</w:t>
      </w:r>
    </w:p>
    <w:p>
      <w:pPr>
        <w:pStyle w:val="BookText"/>
        <w:rPr/>
      </w:pPr>
      <w:r>
        <w:rPr>
          <w:rFonts w:ascii="IRNazanin" w:hAnsi="IRNazanin" w:eastAsia="IRNazanin"/>
          <w:color w:val="111111"/>
          <w:sz w:val="28"/>
          <w:sz w:val="28"/>
          <w:szCs w:val="28"/>
          <w:rtl w:val="true"/>
          <w:lang w:bidi="fa-IR"/>
        </w:rPr>
        <w:t xml:space="preserve">درباره قوانین و آداب جنگ و پروتکل آن را که در سالهای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w:t>
      </w:r>
    </w:p>
    <w:p>
      <w:pPr>
        <w:pStyle w:val="BookText"/>
        <w:rPr/>
      </w:pPr>
      <w:r>
        <w:rPr>
          <w:rFonts w:ascii="IRNazanin" w:hAnsi="IRNazanin" w:eastAsia="IRNazanin"/>
          <w:color w:val="111111"/>
          <w:sz w:val="28"/>
          <w:sz w:val="28"/>
          <w:szCs w:val="28"/>
          <w:rtl w:val="true"/>
          <w:lang w:bidi="fa-IR"/>
        </w:rPr>
        <w:t>شده اند، شکل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اعضای خود را متعهد می کند اقداماتی به عمل آورند تا از ساختمانهای خاص هنری، علمی و مذهبی به شرط آن که این مکانها همزمان برای اهداف نظامی به کار نروند، محافظت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و مصادره اموال دشمن که شامل اموال فرهنگی نیز می شود در صورت اقتضای ضرورت جنگ استثنائا مجاز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اشغال نظامی، آثار منقول هنری و علمی و اموال شهرداریها و مؤسسات</w:t>
      </w:r>
    </w:p>
    <w:p>
      <w:pPr>
        <w:pStyle w:val="BookText"/>
        <w:rPr/>
      </w:pPr>
      <w:r>
        <w:rPr>
          <w:rFonts w:ascii="IRNazanin" w:hAnsi="IRNazanin" w:eastAsia="IRNazanin"/>
          <w:color w:val="111111"/>
          <w:sz w:val="28"/>
          <w:sz w:val="28"/>
          <w:szCs w:val="28"/>
          <w:rtl w:val="true"/>
          <w:lang w:bidi="fa-IR"/>
        </w:rPr>
        <w:t>مذهبی، آموزشی هنری و علمی، حتى اموال دولتی، باید اموال خصوصی تلقی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مصادره و تخریب یا خسارت عمدی به اشیای منقول هنری و علمی و مؤسسات دارای ویژگیهای فوق و بناهای تاریخی ممنوع است و باید مورد تعقیب قانونی قرار گیرند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کنوانسیون دیگری که در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لاهه تصویب شد، یعنی کنوانسیون مربوط به بمباران نیروی دریایی در زمان جنگ نیز مقرراتی را درباره حفظ اموال فرهنگی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کنوانسیون مقرر می دارد برای محافظت از بناهای تاریخی و عمارتهای </w:t>
      </w:r>
    </w:p>
    <w:p>
      <w:pPr>
        <w:pStyle w:val="BookText"/>
        <w:rPr/>
      </w:pPr>
      <w:r>
        <w:rPr>
          <w:rFonts w:ascii="IRNazanin" w:hAnsi="IRNazanin" w:eastAsia="IRNazanin"/>
          <w:color w:val="111111"/>
          <w:sz w:val="28"/>
          <w:sz w:val="28"/>
          <w:szCs w:val="28"/>
          <w:rtl w:val="true"/>
          <w:lang w:bidi="fa-IR"/>
        </w:rPr>
        <w:t>مذهبی، هنری و علمی باید حتی الامکان تمام اقدامات لازم به عمل آید، به شرط آنکه</w:t>
      </w:r>
    </w:p>
    <w:p>
      <w:pPr>
        <w:pStyle w:val="BookText"/>
        <w:rPr/>
      </w:pPr>
      <w:r>
        <w:rPr>
          <w:rFonts w:ascii="IRNazanin" w:hAnsi="IRNazanin" w:eastAsia="IRNazanin"/>
          <w:color w:val="111111"/>
          <w:sz w:val="28"/>
          <w:sz w:val="28"/>
          <w:szCs w:val="28"/>
          <w:rtl w:val="true"/>
          <w:lang w:bidi="fa-IR"/>
        </w:rPr>
        <w:t>این مکانها برای اهداف نظامی به کار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حفاظت از اموال فرهنگی به موجب کنوانسیونهای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محدود به</w:t>
      </w:r>
    </w:p>
    <w:p>
      <w:pPr>
        <w:pStyle w:val="BookText"/>
        <w:rPr/>
      </w:pPr>
      <w:r>
        <w:rPr>
          <w:rFonts w:ascii="IRNazanin" w:hAnsi="IRNazanin" w:eastAsia="IRNazanin"/>
          <w:color w:val="111111"/>
          <w:sz w:val="28"/>
          <w:sz w:val="28"/>
          <w:szCs w:val="28"/>
          <w:rtl w:val="true"/>
          <w:lang w:bidi="fa-IR"/>
        </w:rPr>
        <w:t>میدان و زمان جنگ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استفاده درازمدت از استراتژی بمباران</w:t>
      </w:r>
    </w:p>
    <w:p>
      <w:pPr>
        <w:pStyle w:val="BookText"/>
        <w:rPr/>
      </w:pPr>
      <w:r>
        <w:rPr>
          <w:rFonts w:ascii="IRNazanin" w:hAnsi="IRNazanin" w:eastAsia="IRNazanin"/>
          <w:color w:val="111111"/>
          <w:sz w:val="28"/>
          <w:sz w:val="28"/>
          <w:szCs w:val="28"/>
          <w:rtl w:val="true"/>
          <w:lang w:bidi="fa-IR"/>
        </w:rPr>
        <w:t>توپخانه ای در طول جنگ جهانی اول ثابت کرد که به وضع قواعد حفاظتی با دامنه</w:t>
      </w:r>
    </w:p>
    <w:p>
      <w:pPr>
        <w:pStyle w:val="BookText"/>
        <w:rPr/>
      </w:pPr>
      <w:r>
        <w:rPr>
          <w:rFonts w:ascii="IRNazanin" w:hAnsi="IRNazanin" w:eastAsia="IRNazanin"/>
          <w:color w:val="111111"/>
          <w:sz w:val="28"/>
          <w:sz w:val="28"/>
          <w:szCs w:val="28"/>
          <w:rtl w:val="true"/>
          <w:lang w:bidi="fa-IR"/>
        </w:rPr>
        <w:t>گسترده تر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همین توسعه نیازها بود که اعضای اتحادیه پانامریکن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سازمان</w:t>
      </w:r>
    </w:p>
    <w:p>
      <w:pPr>
        <w:pStyle w:val="BookText"/>
        <w:rPr/>
      </w:pPr>
      <w:r>
        <w:rPr>
          <w:rFonts w:ascii="IRNazanin" w:hAnsi="IRNazanin" w:eastAsia="IRNazanin"/>
          <w:color w:val="111111"/>
          <w:sz w:val="28"/>
          <w:sz w:val="28"/>
          <w:szCs w:val="28"/>
          <w:rtl w:val="true"/>
          <w:lang w:bidi="fa-IR"/>
        </w:rPr>
        <w:t>کشورهای آمریکایی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واشنگتن پیمانی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Roerich Pact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منظور حفاظت از بناهای تاریخی، موزه ها و مؤسسات هنری در زمان جنگ و صلح منعقد کردند؛ اولین پیمانی که تمام به حفاظت از اموال فرهنگی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معاهده که در تمام سرزمین طرفین قابل اعمال است مقرر می دارد که کشورهای متخاصم باید اموال فرهنگی را اموال بی طرف در نظر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این اموال در اهداف نظامی به کار برده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عمدتا نسبت به اموال فرهنگی غیر منقول، یعنی بناهای تاریخی، موزه ها و مؤسسات هنری، علمی و فرهنگی قابل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فرهنگی منقول فقط در</w:t>
      </w:r>
    </w:p>
    <w:p>
      <w:pPr>
        <w:pStyle w:val="BookText"/>
        <w:rPr/>
      </w:pPr>
      <w:r>
        <w:rPr>
          <w:rFonts w:ascii="IRNazanin" w:hAnsi="IRNazanin" w:eastAsia="IRNazanin"/>
          <w:color w:val="111111"/>
          <w:sz w:val="28"/>
          <w:sz w:val="28"/>
          <w:szCs w:val="28"/>
          <w:rtl w:val="true"/>
          <w:lang w:bidi="fa-IR"/>
        </w:rPr>
        <w:t xml:space="preserve">صورتي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پیمان قابل حفاظت هستند که در داخل ساختمانهای تحت حفاظت</w:t>
      </w:r>
    </w:p>
    <w:p>
      <w:pPr>
        <w:pStyle w:val="BookText"/>
        <w:rPr/>
      </w:pPr>
      <w:r>
        <w:rPr>
          <w:rFonts w:ascii="IRNazanin" w:hAnsi="IRNazanin" w:eastAsia="IRNazanin"/>
          <w:color w:val="111111"/>
          <w:sz w:val="28"/>
          <w:sz w:val="28"/>
          <w:szCs w:val="28"/>
          <w:rtl w:val="true"/>
          <w:lang w:bidi="fa-IR"/>
        </w:rPr>
        <w:t>قرار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تلاشهایی که در فاصله دو جنگ جهانی به منظور انعقاد یک کنوانسیون جهانی ویژه حفاظت از اموال فرهنگی در زمان جنگ صورت گرفته بود، تحت الشعاع حوادث جنگ جهانی دوم و تغییرات به وجود آمده در فن آوری، روشها و راهکارهای جنگ 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مفهوم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تمام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تلاشها پس از جنگ جهانی دوم و با ابتکار هلند توسط سازمان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تربیتی، علمی و فرهنگی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یک کنفرانس دیپلماتیک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کنفرانس که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لاهه برگزار شد، کنوانسیون حمایت از اموال فرهنگی در زمان جنگ و پروتکل مربوط به آن تصویب شد</w:t>
      </w:r>
      <w:r>
        <w:rPr>
          <w:rFonts w:eastAsia="IRNazanin" w:cs="IRNazanin"/>
          <w:color w:val="111111"/>
          <w:sz w:val="28"/>
          <w:szCs w:val="28"/>
          <w:rtl w:val="true"/>
          <w:lang w:bidi="fa-IR"/>
        </w:rPr>
        <w:t xml:space="preserve">. </w:t>
      </w:r>
      <w:bookmarkStart w:id="600" w:name="pg6894_74721"/>
    </w:p>
    <w:p>
      <w:pPr>
        <w:pStyle w:val="BookText"/>
        <w:rPr/>
      </w:pPr>
      <w:bookmarkEnd w:id="600"/>
      <w:r>
        <w:rPr>
          <w:rFonts w:ascii="IRNazanin" w:hAnsi="IRNazanin" w:eastAsia="IRNazanin"/>
          <w:color w:val="111111"/>
          <w:sz w:val="28"/>
          <w:sz w:val="28"/>
          <w:szCs w:val="28"/>
          <w:rtl w:val="true"/>
          <w:lang w:bidi="fa-IR"/>
        </w:rPr>
        <w:t xml:space="preserve">پیش از تجزیه و تحلیل مقررات اساسی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و پروتکل الحاقی آن</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مقررات کنوانسیونهای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و آیین نامه های الحاقی به آن که می بایست به حقوق بین الملل عرفی تبدیل گردند، کماکان نسبت به طرفهای کنوانسیون</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و پروتکل آن، در مورد آن دسته از اموال فرهنگی که تحت مقررات</w:t>
      </w:r>
    </w:p>
    <w:p>
      <w:pPr>
        <w:pStyle w:val="BookText"/>
        <w:rPr/>
      </w:pPr>
      <w:r>
        <w:rPr>
          <w:rFonts w:ascii="IRNazanin" w:hAnsi="IRNazanin" w:eastAsia="IRNazanin"/>
          <w:color w:val="111111"/>
          <w:sz w:val="28"/>
          <w:sz w:val="28"/>
          <w:szCs w:val="28"/>
          <w:rtl w:val="true"/>
          <w:lang w:bidi="fa-IR"/>
        </w:rPr>
        <w:t>کنوانسیونهای فوق قرار نمی گیرند، قابل اعمال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مثال اموالی که از قبیل میراث فرهنگی ملتها و دارای اهمیت ویژه ای هستند، مشمول مقررات کنوانسیون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خواهند بود</w:t>
      </w:r>
      <w:r>
        <w:rPr>
          <w:rFonts w:eastAsia="IRNazanin" w:cs="IRNazanin"/>
          <w:color w:val="111111"/>
          <w:sz w:val="28"/>
          <w:szCs w:val="28"/>
          <w:rtl w:val="true"/>
          <w:lang w:bidi="fa-IR"/>
        </w:rPr>
        <w:t>).</w:t>
      </w:r>
    </w:p>
    <w:p>
      <w:pPr>
        <w:pStyle w:val="Heading4"/>
        <w:numPr>
          <w:ilvl w:val="3"/>
          <w:numId w:val="1"/>
        </w:numPr>
        <w:rPr/>
      </w:pPr>
      <w:bookmarkStart w:id="601" w:name="__RefHeading___Toc1440676_372815092"/>
      <w:bookmarkStart w:id="602" w:name="_Toc224"/>
      <w:bookmarkEnd w:id="601"/>
      <w:r>
        <w:rPr>
          <w:rtl w:val="true"/>
        </w:rPr>
        <w:t xml:space="preserve">روش کنوانسیون </w:t>
      </w:r>
      <w:r>
        <w:rPr/>
        <w:t>1954</w:t>
      </w:r>
      <w:r>
        <w:rPr>
          <w:rtl w:val="true"/>
        </w:rPr>
        <w:t xml:space="preserve"> </w:t>
      </w:r>
      <w:r>
        <w:rPr>
          <w:rtl w:val="true"/>
        </w:rPr>
        <w:t>و پروتکل آن</w:t>
      </w:r>
      <w:bookmarkEnd w:id="602"/>
    </w:p>
    <w:p>
      <w:pPr>
        <w:pStyle w:val="Heading5"/>
        <w:numPr>
          <w:ilvl w:val="4"/>
          <w:numId w:val="1"/>
        </w:numPr>
        <w:rPr/>
      </w:pPr>
      <w:bookmarkStart w:id="603" w:name="__RefHeading___Toc1440678_372815092"/>
      <w:bookmarkStart w:id="604" w:name="_Toc225"/>
      <w:bookmarkEnd w:id="603"/>
      <w:r>
        <w:rPr>
          <w:rtl w:val="true"/>
        </w:rPr>
        <w:t xml:space="preserve">کنوانسیون </w:t>
      </w:r>
      <w:r>
        <w:rPr/>
        <w:t>1954</w:t>
      </w:r>
      <w:r>
        <w:rPr>
          <w:rtl w:val="true"/>
        </w:rPr>
        <w:t xml:space="preserve"> </w:t>
      </w:r>
      <w:r>
        <w:rPr>
          <w:rtl w:val="true"/>
        </w:rPr>
        <w:t>لاهه درباره حفظ اموال فرهنگی در زمان جنگ</w:t>
      </w:r>
      <w:bookmarkEnd w:id="604"/>
    </w:p>
    <w:p>
      <w:pPr>
        <w:pStyle w:val="Heading6"/>
        <w:numPr>
          <w:ilvl w:val="5"/>
          <w:numId w:val="1"/>
        </w:numPr>
        <w:rPr/>
      </w:pPr>
      <w:bookmarkStart w:id="605" w:name="__RefHeading___Toc1440680_372815092"/>
      <w:bookmarkStart w:id="606" w:name="_Toc226"/>
      <w:bookmarkEnd w:id="605"/>
      <w:r>
        <w:rPr>
          <w:rtl w:val="true"/>
        </w:rPr>
        <w:t xml:space="preserve">تعریف </w:t>
      </w:r>
      <w:r>
        <w:rPr>
          <w:rtl w:val="true"/>
        </w:rPr>
        <w:t>«</w:t>
      </w:r>
      <w:r>
        <w:rPr>
          <w:rtl w:val="true"/>
        </w:rPr>
        <w:t>اموال فرهنگی</w:t>
      </w:r>
      <w:r>
        <w:rPr>
          <w:rtl w:val="true"/>
        </w:rPr>
        <w:t>»</w:t>
      </w:r>
      <w:bookmarkEnd w:id="606"/>
    </w:p>
    <w:p>
      <w:pPr>
        <w:pStyle w:val="BookText"/>
        <w:rPr/>
      </w:pPr>
      <w:r>
        <w:rPr>
          <w:rFonts w:ascii="IRNazanin" w:hAnsi="IRNazanin" w:eastAsia="IRNazanin"/>
          <w:color w:val="111111"/>
          <w:sz w:val="28"/>
          <w:sz w:val="28"/>
          <w:szCs w:val="28"/>
          <w:rtl w:val="true"/>
          <w:lang w:bidi="fa-IR"/>
        </w:rPr>
        <w:t xml:space="preserve">تعریف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لاهه آمده، سه دسته اموال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نخست اشاره دارد به اموال منقول و غیر منقولی که برای هر ملتی به لحاظ</w:t>
      </w:r>
    </w:p>
    <w:p>
      <w:pPr>
        <w:pStyle w:val="BookText"/>
        <w:rPr/>
      </w:pPr>
      <w:r>
        <w:rPr>
          <w:rFonts w:ascii="IRNazanin" w:hAnsi="IRNazanin" w:eastAsia="IRNazanin"/>
          <w:color w:val="111111"/>
          <w:sz w:val="28"/>
          <w:sz w:val="28"/>
          <w:szCs w:val="28"/>
          <w:rtl w:val="true"/>
          <w:lang w:bidi="fa-IR"/>
        </w:rPr>
        <w:t xml:space="preserve">میراث فرهنگی دارای اهمیت بالایی می باشد و آثار معماری، هنری یا تاریخی، مذهبی یا غیر مذهبی، مناظر باستانی، مجموعه ساختمانهایی که به طور کلی ارزش تاریخی یا هنری داشته باشند، آثار هنری از قبیل نسخه های خطی، کتابها، اشیای دیگری که ارزش هنری، تاریخی یا باستانی داشته باشند، همچنین مجموعه های علمی و مجموعه های مهم کتابها و اسناد یا نمونه های تقلیدی </w:t>
      </w:r>
      <w:r>
        <w:rPr>
          <w:rStyle w:val="FootnoteAnchor"/>
          <w:rtl w:val="true"/>
        </w:rPr>
        <w:footnoteReference w:id="586"/>
      </w:r>
      <w:r>
        <w:rPr>
          <w:rFonts w:ascii="IRNazanin" w:hAnsi="IRNazanin" w:eastAsia="IRNazanin"/>
          <w:color w:val="111111"/>
          <w:sz w:val="28"/>
          <w:sz w:val="28"/>
          <w:szCs w:val="28"/>
          <w:rtl w:val="true"/>
          <w:lang w:bidi="fa-IR"/>
        </w:rPr>
        <w:t>این اموال را شامل می گردند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قرارداد، به طور صریح بیان شده است که این اموال بدون در نظر گرفتن منشأ </w:t>
      </w:r>
      <w:bookmarkStart w:id="607" w:name="pg6894_74722"/>
    </w:p>
    <w:p>
      <w:pPr>
        <w:pStyle w:val="BookText"/>
        <w:rPr/>
      </w:pPr>
      <w:bookmarkEnd w:id="607"/>
      <w:r>
        <w:rPr>
          <w:rFonts w:ascii="IRNazanin" w:hAnsi="IRNazanin" w:eastAsia="IRNazanin"/>
          <w:color w:val="111111"/>
          <w:sz w:val="28"/>
          <w:sz w:val="28"/>
          <w:szCs w:val="28"/>
          <w:rtl w:val="true"/>
          <w:lang w:bidi="fa-IR"/>
        </w:rPr>
        <w:t>یا مالکیت آنها فرهنگی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به بناهایی که هدف اصلی و واقعی آنها نگهداری یا نمایش اموال منقول</w:t>
      </w:r>
    </w:p>
    <w:p>
      <w:pPr>
        <w:pStyle w:val="BookText"/>
        <w:rPr/>
      </w:pPr>
      <w:r>
        <w:rPr>
          <w:rFonts w:ascii="IRNazanin" w:hAnsi="IRNazanin" w:eastAsia="IRNazanin"/>
          <w:color w:val="111111"/>
          <w:sz w:val="28"/>
          <w:sz w:val="28"/>
          <w:szCs w:val="28"/>
          <w:rtl w:val="true"/>
          <w:lang w:bidi="fa-IR"/>
        </w:rPr>
        <w:t xml:space="preserve">فرهنگی مذکور در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موزه های کتابخانه ها، بایگانیها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مؤسسه هایی که در صدد نگهداری چنین اموالی در زمان جنگ هستند،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به مراکزی اشاره دارد که تعداد زیادی از این اموال فرهنگی را در خود</w:t>
      </w:r>
    </w:p>
    <w:p>
      <w:pPr>
        <w:pStyle w:val="BookText"/>
        <w:rPr/>
      </w:pPr>
      <w:r>
        <w:rPr>
          <w:rFonts w:ascii="IRNazanin" w:hAnsi="IRNazanin" w:eastAsia="IRNazanin"/>
          <w:color w:val="111111"/>
          <w:sz w:val="28"/>
          <w:sz w:val="28"/>
          <w:szCs w:val="28"/>
          <w:rtl w:val="true"/>
          <w:lang w:bidi="fa-IR"/>
        </w:rPr>
        <w:t>جای داده و به آنها مراکز دارای آثار تاریخی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اینجا مطرح می شود این است که چه اشیایی دارای ارزش فرهنگی</w:t>
      </w:r>
    </w:p>
    <w:p>
      <w:pPr>
        <w:pStyle w:val="BookText"/>
        <w:rPr/>
      </w:pPr>
      <w:r>
        <w:rPr>
          <w:rFonts w:ascii="IRNazanin" w:hAnsi="IRNazanin" w:eastAsia="IRNazanin"/>
          <w:color w:val="111111"/>
          <w:sz w:val="28"/>
          <w:sz w:val="28"/>
          <w:szCs w:val="28"/>
          <w:rtl w:val="true"/>
          <w:lang w:bidi="fa-IR"/>
        </w:rPr>
        <w:t xml:space="preserve">بالایی هستند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اهمیت زیاد برای میراث فرهنگی یک ملت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 در دسته نخست اموال فرهنگی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اصلی کنوانسیون که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فرهنگی را می شمارد هیچ معیاری برای</w:t>
      </w:r>
    </w:p>
    <w:p>
      <w:pPr>
        <w:pStyle w:val="BookText"/>
        <w:rPr/>
      </w:pPr>
      <w:r>
        <w:rPr>
          <w:rFonts w:ascii="IRNazanin" w:hAnsi="IRNazanin" w:eastAsia="IRNazanin"/>
          <w:color w:val="111111"/>
          <w:sz w:val="28"/>
          <w:sz w:val="28"/>
          <w:szCs w:val="28"/>
          <w:rtl w:val="true"/>
          <w:lang w:bidi="fa-IR"/>
        </w:rPr>
        <w:t>این توصیف به دست نداده است؛ نه در مقدمه که بیان می دارد خسارت به اموال</w:t>
      </w:r>
    </w:p>
    <w:p>
      <w:pPr>
        <w:pStyle w:val="BookText"/>
        <w:rPr/>
      </w:pPr>
      <w:r>
        <w:rPr>
          <w:rFonts w:ascii="IRNazanin" w:hAnsi="IRNazanin" w:eastAsia="IRNazanin"/>
          <w:color w:val="111111"/>
          <w:sz w:val="28"/>
          <w:sz w:val="28"/>
          <w:szCs w:val="28"/>
          <w:rtl w:val="true"/>
          <w:lang w:bidi="fa-IR"/>
        </w:rPr>
        <w:t>فرهنگی یک ملت هر قدر که باشد خسارت به آثار فرهنگی تمام بشر است، زیرا هر</w:t>
      </w:r>
    </w:p>
    <w:p>
      <w:pPr>
        <w:pStyle w:val="BookText"/>
        <w:rPr/>
      </w:pPr>
      <w:r>
        <w:rPr>
          <w:rFonts w:ascii="IRNazanin" w:hAnsi="IRNazanin" w:eastAsia="IRNazanin"/>
          <w:color w:val="111111"/>
          <w:sz w:val="28"/>
          <w:sz w:val="28"/>
          <w:szCs w:val="28"/>
          <w:rtl w:val="true"/>
          <w:lang w:bidi="fa-IR"/>
        </w:rPr>
        <w:t xml:space="preserve">فردی برای فرهنگ جهان به اندازه خود سهیم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پاراگراف دوم، مقدمه کنوانسیون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ادامه مقدمه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متعاهد می توانند اشیایی را که به اندازه کافی اهمیت دارند تا مورد حفاظت قرار گیرند و علامت مخصوص اموال فرهنگی بخورند،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تنها شرط الزام آور تعهدی است که در پاراگراف یک 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پیش بینی شده است و آن خودداری از استفاده اموال مزبور و احاطه فوری آنها به منظور جلوگیری از تخریب و خسارت دیدن آنها در زمان جنگ می باشد</w:t>
      </w:r>
      <w:r>
        <w:rPr>
          <w:rFonts w:eastAsia="IRNazanin" w:cs="IRNazanin"/>
          <w:color w:val="111111"/>
          <w:sz w:val="28"/>
          <w:szCs w:val="28"/>
          <w:rtl w:val="true"/>
          <w:lang w:bidi="fa-IR"/>
        </w:rPr>
        <w:t>.</w:t>
      </w:r>
    </w:p>
    <w:p>
      <w:pPr>
        <w:pStyle w:val="Heading6"/>
        <w:numPr>
          <w:ilvl w:val="5"/>
          <w:numId w:val="1"/>
        </w:numPr>
        <w:rPr/>
      </w:pPr>
      <w:bookmarkStart w:id="608" w:name="__RefHeading___Toc1440682_372815092"/>
      <w:bookmarkStart w:id="609" w:name="_Toc227"/>
      <w:bookmarkEnd w:id="608"/>
      <w:r>
        <w:rPr>
          <w:rtl w:val="true"/>
        </w:rPr>
        <w:t>دو نوع حمایت</w:t>
      </w:r>
      <w:bookmarkEnd w:id="609"/>
    </w:p>
    <w:p>
      <w:pPr>
        <w:pStyle w:val="BookText"/>
        <w:rPr/>
      </w:pPr>
      <w:r>
        <w:rPr>
          <w:rFonts w:ascii="IRNazanin" w:hAnsi="IRNazanin" w:eastAsia="IRNazanin"/>
          <w:color w:val="111111"/>
          <w:sz w:val="28"/>
          <w:sz w:val="28"/>
          <w:szCs w:val="28"/>
          <w:rtl w:val="true"/>
          <w:lang w:bidi="fa-IR"/>
        </w:rPr>
        <w:t>این کنوانسیون بین دو نوع حمایت تمایز قائل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عام که شامل تمام اشیایی می شود که در تعریف ماده یک می گنجند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خاص که فقط برای تعداد محدودی از اشیایی که دارای ارزش بالایی هستند در نظر گرفته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حمایت عام دارای دو جنبه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و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بعضی اعمال مضر در قبال اشیا و اموالی که مشمول ماده یک قرار</w:t>
      </w:r>
    </w:p>
    <w:p>
      <w:pPr>
        <w:pStyle w:val="BookText"/>
        <w:rPr/>
      </w:pPr>
      <w:r>
        <w:rPr>
          <w:rFonts w:ascii="IRNazanin" w:hAnsi="IRNazanin" w:eastAsia="IRNazanin"/>
          <w:color w:val="111111"/>
          <w:sz w:val="28"/>
          <w:sz w:val="28"/>
          <w:szCs w:val="28"/>
          <w:rtl w:val="true"/>
          <w:lang w:bidi="fa-IR"/>
        </w:rPr>
        <w:t xml:space="preserve">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حمایت از اموال، کنوانسیون طرفهای متعاهد را ملزم می کند تا در زمان</w:t>
      </w:r>
    </w:p>
    <w:p>
      <w:pPr>
        <w:pStyle w:val="BookText"/>
        <w:rPr/>
      </w:pPr>
      <w:r>
        <w:rPr>
          <w:rFonts w:ascii="IRNazanin" w:hAnsi="IRNazanin" w:eastAsia="IRNazanin"/>
          <w:color w:val="111111"/>
          <w:sz w:val="28"/>
          <w:sz w:val="28"/>
          <w:szCs w:val="28"/>
          <w:rtl w:val="true"/>
          <w:lang w:bidi="fa-IR"/>
        </w:rPr>
        <w:t>صلح آمادگیهای لازم و مکفی را برای حفاظت از اموال فرهنگی که در سرزمین آنها واقع شده در مقابل هرگونه آثار قابل پیش بینی درگیری مسلحانه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آمادگی می تواند با هر اقدامی که آنها صلاح بدانند صورت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اشغال، کشور اشغال کننده موظف است تا حتی الامکان مقامات ذی صلاحیت ملی کشور اشغال شده را در جهت حفاظت و نگهداری اموال فرهنگی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لازم باشد اقداماتی برای حفاظت اموال فرهنگی در سرزمین اشغال شده انجام گیرد و مقامات ملی آن کشور قادر به این کار نباشند، دولت متصرف در صورت امکان و در جهت همکاری نزدیک با آن مقامات باید اقدامات حفاظتی لازم را مبذول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مجموعه ای از اقدامات مثبت است که باید برای نگهداری این اشیا انجام گیرد،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یک سری تعهدات سلبی از ناحیه طرفین درگیر می شود؛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رفتارهای معینی در هنگام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اموال فرهنگی و محیطهای مجاور آنها نه تنها برای اغراض نظامی بلکه برای هر هدف دیگری که آن اموال را در معرض آسیب و تخریب قرار دهد نیز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کنوانسیون مقرر می دارد که طرفین متعاهد باید از هرگونه عمل خصمانه نسبت به</w:t>
      </w:r>
    </w:p>
    <w:p>
      <w:pPr>
        <w:pStyle w:val="BookText"/>
        <w:rPr/>
      </w:pPr>
      <w:r>
        <w:rPr>
          <w:rFonts w:ascii="IRNazanin" w:hAnsi="IRNazanin" w:eastAsia="IRNazanin"/>
          <w:color w:val="111111"/>
          <w:sz w:val="28"/>
          <w:sz w:val="28"/>
          <w:szCs w:val="28"/>
          <w:rtl w:val="true"/>
          <w:lang w:bidi="fa-IR"/>
        </w:rPr>
        <w:t xml:space="preserve">این اموال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ناشی از مخاصمه که توسط یک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دیگر انجام گیرد و دارای اثر زیان آور بر روی کالای فرهنگی باشد و یا بتواند چنین اثری داشته باشد، باید رفتار خصمانه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نه تنها اعمالی که سبب خسارت عمده کالای فرهنگی می شوند بلکه تمام اعمالی که به زیان کالای فرهنگی انجام می گیرد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نقض تعهد لزومی ندارد حتما خسارت واقعی و خارجی متحقق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تکالیف کشور اشغال کننده مفصلا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اشغال کننده باید هر نوع</w:t>
      </w:r>
    </w:p>
    <w:p>
      <w:pPr>
        <w:pStyle w:val="BookText"/>
        <w:rPr/>
      </w:pPr>
      <w:r>
        <w:rPr>
          <w:rFonts w:ascii="IRNazanin" w:hAnsi="IRNazanin" w:eastAsia="IRNazanin"/>
          <w:color w:val="111111"/>
          <w:sz w:val="28"/>
          <w:sz w:val="28"/>
          <w:szCs w:val="28"/>
          <w:rtl w:val="true"/>
          <w:lang w:bidi="fa-IR"/>
        </w:rPr>
        <w:t xml:space="preserve">سرقت، غارت، اختلاس و هر عمل ویران کننده آثار فرهنگی را ممنوع، جلوگیری و در صورت لزوم متوقف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و استرداد یک اثر فرهنگی از سرزمین تحت اشغال و یا سرزمین دیگر و</w:t>
      </w:r>
    </w:p>
    <w:p>
      <w:pPr>
        <w:pStyle w:val="BookText"/>
        <w:rPr/>
      </w:pPr>
      <w:r>
        <w:rPr>
          <w:rFonts w:ascii="IRNazanin" w:hAnsi="IRNazanin" w:eastAsia="IRNazanin"/>
          <w:color w:val="111111"/>
          <w:sz w:val="28"/>
          <w:sz w:val="28"/>
          <w:szCs w:val="28"/>
          <w:rtl w:val="true"/>
          <w:lang w:bidi="fa-IR"/>
        </w:rPr>
        <w:t xml:space="preserve">همچنین رفتارهای تلافی جویانه نسبت به اموال فرهنگی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طرف معاهده ای که دولتش توسط یک گروه جنبش مقاومت مشروع شناخته می شود، حتی الامکان باید توجه اعضای این جنبش را به این حقیقت جلب کند که</w:t>
      </w:r>
    </w:p>
    <w:p>
      <w:pPr>
        <w:pStyle w:val="BookText"/>
        <w:rPr/>
      </w:pPr>
      <w:r>
        <w:rPr>
          <w:rFonts w:ascii="IRNazanin" w:hAnsi="IRNazanin" w:eastAsia="IRNazanin"/>
          <w:color w:val="111111"/>
          <w:sz w:val="28"/>
          <w:sz w:val="28"/>
          <w:szCs w:val="28"/>
          <w:rtl w:val="true"/>
          <w:lang w:bidi="fa-IR"/>
        </w:rPr>
        <w:t>مقررات کنوانسیون درباره احترام به اموال فرهنگی را رعایت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خاص فقط برای تعداد محدودی از اماکن که به منظور جادادن اموال فرهنگی منقول پیش بینی شده اند و همچنین مراکز حاوی بناهای یادبود و اموال فرهنگی غیر منقول که دارای اهمیت بسیار زیادی هستند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برخورداری از حفاظت مخصوص این است که اموال فرهنگی در فاصله مناسبی از مراکز صنعتی بزرگ یا هدفهای مهم نظامی یعنی مکانهایی که بسیار آسیب پذیر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فرودگاه، ایستگاه فرستنده، تأسیسات دفاع ملی، بندرها، ایستگاههای راه آهن تقریبا مهم یا خطوط اصلی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باشند و همچنین این اموال فرهنگی نباید برای اهداف نظامی مورد استفاده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خاص به آن دسته از اموال فرهنگی که جزء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فرهنگی دارای</w:t>
      </w:r>
    </w:p>
    <w:p>
      <w:pPr>
        <w:pStyle w:val="BookText"/>
        <w:rPr/>
      </w:pPr>
      <w:r>
        <w:rPr>
          <w:rFonts w:ascii="IRNazanin" w:hAnsi="IRNazanin" w:eastAsia="IRNazanin"/>
          <w:color w:val="111111"/>
          <w:sz w:val="28"/>
          <w:sz w:val="28"/>
          <w:szCs w:val="28"/>
          <w:rtl w:val="true"/>
          <w:lang w:bidi="fa-IR"/>
        </w:rPr>
        <w:t>ثبت بین المللی و تحت حفاظت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باشند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w:t>
      </w:r>
    </w:p>
    <w:p>
      <w:pPr>
        <w:pStyle w:val="BookText"/>
        <w:rPr/>
      </w:pPr>
      <w:r>
        <w:rPr>
          <w:rFonts w:ascii="IRNazanin" w:hAnsi="IRNazanin" w:eastAsia="IRNazanin"/>
          <w:color w:val="111111"/>
          <w:sz w:val="28"/>
          <w:sz w:val="28"/>
          <w:szCs w:val="28"/>
          <w:rtl w:val="true"/>
          <w:lang w:bidi="fa-IR"/>
        </w:rPr>
        <w:t>توسط دبیر کل یونسکو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از زمانی که ثبت بین المللی می شوند باید از هر رفتار خصمانه ای که به منظور اقدام نظامی متوجه آنها می شود مصون باشند و این مصونیت ناشی از حمایت خاص باید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اموال فرهنگی ثبت بین المللی پیدا کنند، نباید برای اهداف نظامی مورد استفاده قرار گیرند حتی در زمان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قیدی که استفاده نظامی از اموال فرهنگی را حتی در زمان صلح ممنوع می کند نسبت به اموالی که تحت حمایت عام هستند وجود ندارد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خاص همچنین می تواند در زمان انتقال اشیای فرهنگی به مکانهای مطمئن </w:t>
      </w:r>
      <w:bookmarkStart w:id="610" w:name="pg6894_74725"/>
    </w:p>
    <w:p>
      <w:pPr>
        <w:pStyle w:val="BookText"/>
        <w:rPr/>
      </w:pPr>
      <w:bookmarkEnd w:id="610"/>
      <w:r>
        <w:rPr>
          <w:rFonts w:ascii="IRNazanin" w:hAnsi="IRNazanin" w:eastAsia="IRNazanin"/>
          <w:color w:val="111111"/>
          <w:sz w:val="28"/>
          <w:sz w:val="28"/>
          <w:szCs w:val="28"/>
          <w:rtl w:val="true"/>
          <w:lang w:bidi="fa-IR"/>
        </w:rPr>
        <w:t>نیز شامل اموال فرهنگی شود، این انتقال باید تحت نظارت بین المللی صورت پذیرد</w:t>
      </w:r>
      <w:r>
        <w:rPr>
          <w:rFonts w:eastAsia="IRNazanin" w:cs="IRNazanin"/>
          <w:color w:val="111111"/>
          <w:sz w:val="28"/>
          <w:szCs w:val="28"/>
          <w:rtl w:val="true"/>
          <w:lang w:bidi="fa-IR"/>
        </w:rPr>
        <w:t>.</w:t>
      </w:r>
    </w:p>
    <w:p>
      <w:pPr>
        <w:pStyle w:val="Heading6"/>
        <w:numPr>
          <w:ilvl w:val="5"/>
          <w:numId w:val="1"/>
        </w:numPr>
        <w:rPr/>
      </w:pPr>
      <w:bookmarkStart w:id="611" w:name="__RefHeading___Toc1440684_372815092"/>
      <w:bookmarkStart w:id="612" w:name="_Toc228"/>
      <w:bookmarkEnd w:id="611"/>
      <w:r>
        <w:rPr>
          <w:rtl w:val="true"/>
        </w:rPr>
        <w:t>لغو یا فقدان حمایت</w:t>
      </w:r>
      <w:bookmarkEnd w:id="612"/>
    </w:p>
    <w:p>
      <w:pPr>
        <w:pStyle w:val="BookText"/>
        <w:rPr/>
      </w:pPr>
      <w:r>
        <w:rPr>
          <w:rFonts w:ascii="IRNazanin" w:hAnsi="IRNazanin" w:eastAsia="IRNazanin"/>
          <w:color w:val="111111"/>
          <w:sz w:val="28"/>
          <w:sz w:val="28"/>
          <w:szCs w:val="28"/>
          <w:rtl w:val="true"/>
          <w:lang w:bidi="fa-IR"/>
        </w:rPr>
        <w:t xml:space="preserve">تعهد مبنی بر خودداری از انجام اعمال مضر نسبت به اموال فرهنگی به موجب حمایت عام ممکن است در مواردی که ضرورت نظامیگری اجبار آن را ایجاب می کند، لغو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اضطرار نظامی می تواند، ورود خسارت و یا تخریب اموال فرهنگی را توجیه کند؛ اموالی که اگر این ضرورت نظامی وجود نداشت به موجب کنوانسیون باید حفاظت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فرهنگی تحت حمایت خاص، مصونیت خود را در دو مورد از دست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سوءاستفاده از موقعیت حفاظت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ضرورت نظامی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یک دولت، بر خلاف تکلیف مقرر شده برای او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تحت</w:t>
      </w:r>
    </w:p>
    <w:p>
      <w:pPr>
        <w:pStyle w:val="BookText"/>
        <w:rPr/>
      </w:pPr>
      <w:r>
        <w:rPr>
          <w:rFonts w:ascii="IRNazanin" w:hAnsi="IRNazanin" w:eastAsia="IRNazanin"/>
          <w:color w:val="111111"/>
          <w:sz w:val="28"/>
          <w:sz w:val="28"/>
          <w:szCs w:val="28"/>
          <w:rtl w:val="true"/>
          <w:lang w:bidi="fa-IR"/>
        </w:rPr>
        <w:t>حمایت خاص یا محیط مجاور آن برای اهداف نظامی استفاده کند، طرف مقابل تا زمانی که این تخلف ادامه دارد، از تعهدی که نسبت به مصونیت اموال مزبور دارد، معاف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صورت امکان، قبل از ارتکاب هر عمل خصمانه نسبت به اموال حفاظت شده لازم است درخواست توقف نقض تعهد در مدت زمان معقول انجام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آن دسته از اموال فرهنگی که تحت حمایت عام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وضعیت مورد حمایت نمی تواند دلیلی بر فقدان مصونیت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غیر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استفاده از تمام اموالی که در ماده یک احصا شده و یا محیط اطراف آنها در جهت اهدافی که ممکن است ویژگی نظامی داشته باشند و سبب استناد خصم به فقدان مصونیت شوند، ممنوع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اموالی که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فرهنگی تحت حمایت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به لحاظ تعداد آنقدر زیاد نیستند و از همه مهمتر تعهد کشورهای متعاهد مبنی بر عدم استفاده آنها برای اغراض نظامی، با عبارات کاملا دقیق و </w:t>
      </w:r>
    </w:p>
    <w:p>
      <w:pPr>
        <w:pStyle w:val="BookText"/>
        <w:rPr/>
      </w:pPr>
      <w:r>
        <w:rPr>
          <w:rFonts w:ascii="IRNazanin" w:hAnsi="IRNazanin" w:eastAsia="IRNazanin"/>
          <w:color w:val="111111"/>
          <w:sz w:val="28"/>
          <w:sz w:val="28"/>
          <w:szCs w:val="28"/>
          <w:rtl w:val="true"/>
          <w:lang w:bidi="fa-IR"/>
        </w:rPr>
        <w:t>محدود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همانطور که قبلا ذکر شد وقتی کشوری تقاضای ثبت این اموال را می دهد در واقع متعهد می شود که از آن زمان به بعد حتی در زمان صلح از این اموال استفاده نظامی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این اموال در جهت اهداف نظامی، نوعی پیمان شکنی و نقض عهد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سوء استفاده از وضعیت اموالی که تحت حمایت عام قرار دارند، فقط زمینه توجیه حمله به این اموال را فراهم می آورد، البته اگر همزمان شرایط ضروری برای اعمال اصل استثناء ضرورت نظامی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دولت کنترل کننده اموال فرهنگی، از موقعیت حمایت شده سوء استفاده کند، اگرچه صراحتا در کنوانسیون نیامده است، اما کشور حمله کننده باید این اصل حقوق عرفی را در ذهن داشته باشد که بین خسارت و استفاده های نظامی قابل</w:t>
      </w:r>
    </w:p>
    <w:p>
      <w:pPr>
        <w:pStyle w:val="BookText"/>
        <w:rPr/>
      </w:pPr>
      <w:r>
        <w:rPr>
          <w:rFonts w:ascii="IRNazanin" w:hAnsi="IRNazanin" w:eastAsia="IRNazanin"/>
          <w:color w:val="111111"/>
          <w:sz w:val="28"/>
          <w:sz w:val="28"/>
          <w:szCs w:val="28"/>
          <w:rtl w:val="true"/>
          <w:lang w:bidi="fa-IR"/>
        </w:rPr>
        <w:t>پیش بینی تناسب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تخریب یا خسارتی که فراتر از حداقل لازم برای تضمین یک عملیات معین در یک مورد خاص باشد، غیر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مورد سوء استفاده از وضعیت حمایت شده، طبق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اموال فرهنگی که تحت حمایت خاص قرار دارند، در موارد کاملا استثنائی که ضرورت نظامی ایجاب می کند، این حمایت و مصونیت از بین می رود، اما این فقدان مصونیت تا زمانی است که ضرورت نظامی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ضرورتی تنها توسط فرماندهی که حداقل حدود یک لشکر تحت فرماندهی او باشند می تواند تعیین و تأیید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اوضاع و احوال اقتضا کند تصمیم لغو مصونیت باید در یک ظرف زمانی معقول به طرف مقابل اطلاع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که مصونیت را لغو می کند باید در اسرع وقت، دلایل این تصمیم را به صورت کتبی به نماینده کل اموال فرهنگی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عام از اموال فرهنگی در صورت وجود ضرورت نظامی می تواند تعلیق</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در حالی که شرایط استناد به این استثنای ضرورت نظامی نسبت به اموالی که تحت حمایت خاص و ویژه قرار دارند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موجب شرایط فوق ضرورت نظامی حمله به اموال فرهنگی را که تحت حمایت عام یا خاص هستند توجیه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تجزیه و تحلیل مفصل ضرورت نظامی، که یکی از مهمترین مفاهیم در حقوق است، خارج از قلمرو این مقاله است، اما ذکر برخی نظرات کلی درباره این موضوع بسیار جنجالی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حقوقدانان بین المللی که به مفهوم ضرورت نظامی انتقاد دارند، معتقدند که معنای این مفهوم در مقام عمل این است که اگر طرف متخاصم ضروری بداند که برای موفقیت عملیات نظامی اش یک قاعده حقوق بین الملل را نقض کند، نقض این قاعده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این نظریات که مطابق آنها بین دکترین کرای گرای سون و مفهوم جدیدتر از ضرورت نظامی گری تفاوت عملی اندکی وجود دارد، سایر حقوقدانان بین المللی به ما یادآور می شوند که قواعد جنگ یک توازن ضروری است بین ضرورت نظامی گری از یک سو و حقوق بشر و انسانیت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قواعد جنگ تصویب می شدند، مسأله ضرورت نظامی گری نیز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اعمال قواعد جنگ، در مواردی که امکان توسل به ضرورت نظامی گری توسط این قواعد پیش بینی شده باشد، استثنائا استناد به این ضرورت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متخاصم البته این اعتقاد را دارد اما فقط در حدود پارامترهای معینی می تواند به این ضرورت استناد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اقدامات انجام گرفته به موجب قواعد جنگ مجاز باشند، طرف متخاصم می تواند به ضرورت نظامی گری توسل جوید، بنابراین ضرورت نظامی گری نمی تواند فراتر از حقوق جنگ قرار گیرد بلکه خود باید تابع این قواعد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تخریب اموال دشمن، به خودی خود و به عنوان یک هدف، ممنوع است ولی ضرورت نظامی گری این تخریب را موجه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تخریب هم در صورتی مجاز است که ارتباطی منطقی بین آن و ضرورت جنگ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احوالی که در آن به ضرورت نظامی گری استناد می شود باید بوضوح نشان دهد که نیازی فوری که هیچ تأخیری را برنمی تابد وجود دارد و خطر یا نزدیک و یا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نظامی گری به معنای ضرورت انجام اقداماتی است که برای به دست آوردن اهداف جنگ لازم است و في نفسه این اقدامات بر اساس حقوق و عرف جنگ قانونی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قانونی و عرفی تناسب بین خسارت و منفعت قابل پیش بینی نظامی باید</w:t>
      </w:r>
    </w:p>
    <w:p>
      <w:pPr>
        <w:pStyle w:val="BookText"/>
        <w:rPr/>
      </w:pPr>
      <w:r>
        <w:rPr>
          <w:rFonts w:ascii="IRNazanin" w:hAnsi="IRNazanin" w:eastAsia="IRNazanin"/>
          <w:color w:val="111111"/>
          <w:sz w:val="28"/>
          <w:sz w:val="28"/>
          <w:szCs w:val="28"/>
          <w:rtl w:val="true"/>
          <w:lang w:bidi="fa-IR"/>
        </w:rPr>
        <w:t>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تخریبی که به منظور موفقیت در یک عملیات نظامی ویژه صورت گیرد و از حد ضرورت فراتر رود قابل توجیه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 را هم باید به یاد داشت که حق استناد به ضرورت نظامی گری در یک مورد معین ممکن است بعدها توسط مراجع ذیصلاح مورد مداقه قرار گیرد، همچنان که در محاکمات نورنبرگ که ضرورت نظامی گری یکی از دفاعیات متهمین به جنایات جنگی بود،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بپذیریم که ضرورت نظامی گری آنگونه که در بالا توضیح داده شد نمی تواند</w:t>
      </w:r>
    </w:p>
    <w:p>
      <w:pPr>
        <w:pStyle w:val="BookText"/>
        <w:rPr/>
      </w:pPr>
      <w:r>
        <w:rPr>
          <w:rFonts w:ascii="IRNazanin" w:hAnsi="IRNazanin" w:eastAsia="IRNazanin"/>
          <w:color w:val="111111"/>
          <w:sz w:val="28"/>
          <w:sz w:val="28"/>
          <w:szCs w:val="28"/>
          <w:rtl w:val="true"/>
          <w:lang w:bidi="fa-IR"/>
        </w:rPr>
        <w:t>براحتی مورد سوء استفاده قرار گیرد و در لباس مبدل برای اغراض و منافع نظامی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و علی رغم همه این محدودیتها، اگر هدف نظامی در هنگام درگیری یک شیء فرهنگی که دارای ارزش بالایی است و تخریب آن غیر قابل جبران است باشد، مشکل می توان پذیرفت که ملاحظات نظامی در این حالت غالب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باعنایت به اوضاع و احوالی که بر صحنه نبرد حکم فرماست،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قایل شدن بین ضرورت نظامی گری و بین منافع استراتژیک و راحت طلبی های نظامی کار آسانی نیست، حتی برای فرماندهی که دارای حسن نیت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تجربه زیاد در جنگ نیست و براحتی می توان نتیجه گرفت که واقع بینانه نیست در شرایط پرالتهاب صحنه نبرد از یک فرمانده نظامی انتظار داشته باشیم تا با یک تجزیه و تحلیل ظریف از مفهوم حقوقی ضرورت نظامی گری، سعی کند از یک بنای تاریخی یا هنری که سر راهش قرار گرفته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تخریبهای گسترده اموال فرهنگی در جنگ جهانی دوم و نیز در درگیریهای مسلحانه اخیر آن هم به استناد ضرورت نظامی گری، این نتیجه گیری بدبینانه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استناد به ضرورت نظامی گری تا حد زیادی به ارزیابیهای شخصی فرمانده صحنه نبرد و اوضاع و احوال غير ثابتی که این قاعده در آن قرار است اعمال شود،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فرمانده نظامی حتی اگر دارای حسن نیت هم باشد براحتی می تواند راحت طلبی نظامی را به ضرورت نظامی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امتیاز ضرورت نظامی گری که در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دیده شده است منجر به </w:t>
      </w:r>
    </w:p>
    <w:p>
      <w:pPr>
        <w:pStyle w:val="BookText"/>
        <w:rPr/>
      </w:pPr>
      <w:r>
        <w:rPr>
          <w:rFonts w:ascii="IRNazanin" w:hAnsi="IRNazanin" w:eastAsia="IRNazanin"/>
          <w:color w:val="111111"/>
          <w:sz w:val="28"/>
          <w:sz w:val="28"/>
          <w:szCs w:val="28"/>
          <w:rtl w:val="true"/>
          <w:lang w:bidi="fa-IR"/>
        </w:rPr>
        <w:t>وضعیتهایی خواهد شد که به گفته یکی از مفسران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 تمام بشریت به دست رحم و شفقت تعدادی از متخاصمين سپرده شده است که دارای منافع محدودی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یکی از چهره های برجسته نیز درباره همین موضوع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تمام شرایط لازم برای استناد به اصل ضرورت نظامی گری فراهم شود و توسل به این اصل هم مشروع باشد، باز این مضحک و نامعقول است که ارزشمندترین آثار هنری می توانند بر اثر اعمال کنوانسیونی که به حمایت از آثار فرهنگی اختصاص یافته و با همان اصطلاحات این کنوانسیون، نابود شده و از بین بروند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پذیرفت که استثنای ضرورت نظامی گری با روح و اصول اساسی این کنوانسیون که با هدف حفظ میراث فرهنگی بشریت تدوین یافته، موافق 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بدون تردید استناد به استثنای ضرورت نظامی گری مهمترین نقیصه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شرایطی را که کنوانسیون برای توسل به ضرورت نظامی گری در نظر گرفته به یاد آوریم این نقیصه ظهور و بروز بیشتری پیدا می کند، چرا که بررسیهای دقیقتر آشکار می کند که این شرایط کمترین ارزش عملی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ضرورت نظامی گری ایجاب کند، حمایت عام بدون وجود هیچ شرط دیگری به حال تعلیق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ملاک عینی برای به تعلیق درآمدن حمایت خاص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اوضاع و احوال اجازه دهد، باید به طرف مقابل اطلاع داده شود که ضرورت نظامی گری اتفاق افتاده است؛ به نماینده کل اموال فرهنگی هم باید اطلاع داده شود اما تأیید او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مصونیت در مواردی که ضرورت نظامی غیر قابل اجتناب است تا زمانی که این ضرورت ادامه دارد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نظر داشت که در جنگهای دوران کنونی در حقیقت هیچ تضمینی وجود ندارد زیرا یک لحظه کافی است تا ارزشمندترین اموال فرهنگی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شرطی که یک ملاک واقعی به دست داده است این است که وقوع ضرورت نظامی غیر قابل اجتناب باید توسط فرماندهی که در حد یک سرلشکر باشد تعیین و تأیید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دارای ارزش عملی است، هرچند که باز هم با هدف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w:t>
      </w:r>
      <w:bookmarkStart w:id="613" w:name="pg6894_74730"/>
    </w:p>
    <w:p>
      <w:pPr>
        <w:pStyle w:val="BookText"/>
        <w:rPr/>
      </w:pPr>
      <w:bookmarkEnd w:id="613"/>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6"/>
        <w:numPr>
          <w:ilvl w:val="5"/>
          <w:numId w:val="1"/>
        </w:numPr>
        <w:rPr/>
      </w:pPr>
      <w:bookmarkStart w:id="614" w:name="__RefHeading___Toc1440686_372815092"/>
      <w:bookmarkStart w:id="615" w:name="_Toc229"/>
      <w:bookmarkEnd w:id="614"/>
      <w:r>
        <w:rPr>
          <w:rtl w:val="true"/>
        </w:rPr>
        <w:t>قلمرو اعمال و اجرای کنوانسیون</w:t>
      </w:r>
      <w:bookmarkEnd w:id="615"/>
    </w:p>
    <w:p>
      <w:pPr>
        <w:pStyle w:val="BookText"/>
        <w:rPr/>
      </w:pPr>
      <w:r>
        <w:rPr>
          <w:rFonts w:ascii="IRNazanin" w:hAnsi="IRNazanin" w:eastAsia="IRNazanin"/>
          <w:color w:val="111111"/>
          <w:sz w:val="28"/>
          <w:sz w:val="28"/>
          <w:szCs w:val="28"/>
          <w:rtl w:val="true"/>
          <w:lang w:bidi="fa-IR"/>
        </w:rPr>
        <w:t xml:space="preserve">این کنوانسیون، نسبت به تمام انواع مناقشات مسلحانه بین المللی و غیر بین المللی و به علاوه در مورد انواع اشغال کلی یا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درگیری مسلحانه غیر بین المللی در داخل سرزمین یکی از کشورهای طرف قرارداد، هر یک از متعاهدين ملزم هستند که حداقل، مقررات این کنوانسیون را در زمینه حفظ اموال فرهنگی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مناقشه باید سعی کنند تا از طریق توافقات خاص تمام یا بخشی از دیگر مقررات این کنوانسیون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به اقدامات مرتبط با اجرای کنوانسیون مربوط می شود، این اقدامات به دو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با ویژگی داخلی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با ویژگی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داخلی، هر یک از متعاهدین باید تمام اقدامات لازم را برای تأمین اجرای</w:t>
      </w:r>
    </w:p>
    <w:p>
      <w:pPr>
        <w:pStyle w:val="BookText"/>
        <w:rPr/>
      </w:pPr>
      <w:r>
        <w:rPr>
          <w:rFonts w:ascii="IRNazanin" w:hAnsi="IRNazanin" w:eastAsia="IRNazanin"/>
          <w:color w:val="111111"/>
          <w:sz w:val="28"/>
          <w:sz w:val="28"/>
          <w:szCs w:val="28"/>
          <w:rtl w:val="true"/>
          <w:lang w:bidi="fa-IR"/>
        </w:rPr>
        <w:t>مؤثر کنوانسیون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مقررات کنوانسیون باید به تمام مردم، بویژه</w:t>
      </w:r>
    </w:p>
    <w:p>
      <w:pPr>
        <w:pStyle w:val="BookText"/>
        <w:rPr/>
      </w:pPr>
      <w:r>
        <w:rPr>
          <w:rFonts w:ascii="IRNazanin" w:hAnsi="IRNazanin" w:eastAsia="IRNazanin"/>
          <w:color w:val="111111"/>
          <w:sz w:val="28"/>
          <w:sz w:val="28"/>
          <w:szCs w:val="28"/>
          <w:rtl w:val="true"/>
          <w:lang w:bidi="fa-IR"/>
        </w:rPr>
        <w:t xml:space="preserve">نیروهای مسلح و افراد دست اندر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حمایت از اموال فرهنگی شناسانده</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کنوانسیون باید در کتابچه ها و دستورالعملهای نظامی درج شوند و به</w:t>
      </w:r>
    </w:p>
    <w:p>
      <w:pPr>
        <w:pStyle w:val="BookText"/>
        <w:rPr/>
      </w:pPr>
      <w:r>
        <w:rPr>
          <w:rFonts w:ascii="IRNazanin" w:hAnsi="IRNazanin" w:eastAsia="IRNazanin"/>
          <w:color w:val="111111"/>
          <w:sz w:val="28"/>
          <w:sz w:val="28"/>
          <w:szCs w:val="28"/>
          <w:rtl w:val="true"/>
          <w:lang w:bidi="fa-IR"/>
        </w:rPr>
        <w:t>منظور تأمین حفاظت از اموال فرهنگی و هماهنگی با مقامات غیرنظامی مسؤول،</w:t>
      </w:r>
    </w:p>
    <w:p>
      <w:pPr>
        <w:pStyle w:val="BookText"/>
        <w:rPr/>
      </w:pPr>
      <w:r>
        <w:rPr>
          <w:rFonts w:ascii="IRNazanin" w:hAnsi="IRNazanin" w:eastAsia="IRNazanin"/>
          <w:color w:val="111111"/>
          <w:sz w:val="28"/>
          <w:sz w:val="28"/>
          <w:szCs w:val="28"/>
          <w:rtl w:val="true"/>
          <w:lang w:bidi="fa-IR"/>
        </w:rPr>
        <w:t>خدماتی توسط افراد متخصص در نیروهای مسلح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منظور نظارت بین المللی، نقش اصلی به نماینده کل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General) (Commisioner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اموال فرهنگی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کل از میان چهره های</w:t>
      </w:r>
    </w:p>
    <w:p>
      <w:pPr>
        <w:pStyle w:val="BookText"/>
        <w:rPr/>
      </w:pPr>
      <w:r>
        <w:rPr>
          <w:rFonts w:ascii="IRNazanin" w:hAnsi="IRNazanin" w:eastAsia="IRNazanin"/>
          <w:color w:val="111111"/>
          <w:sz w:val="28"/>
          <w:sz w:val="28"/>
          <w:szCs w:val="28"/>
          <w:rtl w:val="true"/>
          <w:lang w:bidi="fa-IR"/>
        </w:rPr>
        <w:t>شناخته شده جهانی و از طریق توافق مشترک میان طرفین درگیر انتخاب می شود و مأمور ویژه طرفین خواهد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عدم دسترسی به توافق، موضوع به اطلاع رییس دیوان بین المللی دادگستری رسانده می شود و سپس دیوان نماینده کل را منصوب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کل </w:t>
      </w:r>
      <w:bookmarkStart w:id="616" w:name="pg6894_74731"/>
    </w:p>
    <w:p>
      <w:pPr>
        <w:pStyle w:val="BookText"/>
        <w:rPr/>
      </w:pPr>
      <w:bookmarkEnd w:id="616"/>
      <w:r>
        <w:rPr>
          <w:rFonts w:ascii="IRNazanin" w:hAnsi="IRNazanin" w:eastAsia="IRNazanin"/>
          <w:color w:val="111111"/>
          <w:sz w:val="28"/>
          <w:sz w:val="28"/>
          <w:szCs w:val="28"/>
          <w:rtl w:val="true"/>
          <w:lang w:bidi="fa-IR"/>
        </w:rPr>
        <w:t xml:space="preserve">که می تواند با همکاری بازرسان و کارشناسان کار خود را انجام دهد، همه موارد مربوط به اعمال کنوانسیون را بررسی می کند و نتیجه آن را به طرفین مربوطه و سازمان یونسکو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UNESCO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نماینده کل به عنوان یک واسطه بین طرفین درگیر عمل می کند، طرفی که</w:t>
      </w:r>
    </w:p>
    <w:p>
      <w:pPr>
        <w:pStyle w:val="BookText"/>
        <w:rPr/>
      </w:pPr>
      <w:r>
        <w:rPr>
          <w:rFonts w:ascii="IRNazanin" w:hAnsi="IRNazanin" w:eastAsia="IRNazanin"/>
          <w:color w:val="111111"/>
          <w:sz w:val="28"/>
          <w:sz w:val="28"/>
          <w:szCs w:val="28"/>
          <w:rtl w:val="true"/>
          <w:lang w:bidi="fa-IR"/>
        </w:rPr>
        <w:t>نماینده کلی را به رسمیت می شناسد باید 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کند و طرف متخاصم نیز</w:t>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Heading6"/>
        <w:numPr>
          <w:ilvl w:val="5"/>
          <w:numId w:val="1"/>
        </w:numPr>
        <w:rPr/>
      </w:pPr>
      <w:bookmarkStart w:id="617" w:name="__RefHeading___Toc1440688_372815092"/>
      <w:bookmarkStart w:id="618" w:name="_Toc230"/>
      <w:bookmarkEnd w:id="617"/>
      <w:r>
        <w:rPr>
          <w:rtl w:val="true"/>
        </w:rPr>
        <w:t>جلوگیری از نقض کنوانسیون</w:t>
      </w:r>
      <w:bookmarkEnd w:id="618"/>
    </w:p>
    <w:p>
      <w:pPr>
        <w:pStyle w:val="BookText"/>
        <w:rPr/>
      </w:pPr>
      <w:r>
        <w:rPr>
          <w:rFonts w:ascii="IRNazanin" w:hAnsi="IRNazanin" w:eastAsia="IRNazanin"/>
          <w:color w:val="111111"/>
          <w:sz w:val="28"/>
          <w:sz w:val="28"/>
          <w:szCs w:val="28"/>
          <w:rtl w:val="true"/>
          <w:lang w:bidi="fa-IR"/>
        </w:rPr>
        <w:t xml:space="preserve">گر چه در پیش نویس اصلی این کنوانسیون یک فصل کامل به ضمانت اجراهای کیفری ناشی از نقض مقررات این کنوانسیون اختصاص داده شده بود، اما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ماده را به آنهم در یک چارچوب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کنوانسیون در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مختصر مقرر می دارد که طرفین ملزم هستند در چارچوب صلاحیت کیفری معمولی خود اقدامات لازم را برای تعقیب مجرم انجام دهند و مجازات مالی یا انضباطی را در حق آنهایی که مرتکب نقض این کنوانسیون شده یا به ارتکاب نقض آن امر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ملیتی که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 مجازات مرتکبان را به صلاحیتهای کیفری داخلی طرفین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مقرره مختصر سوالات زیادی را که در مقام عمل به وجود می آیند، بدون پاسخ</w:t>
      </w:r>
    </w:p>
    <w:p>
      <w:pPr>
        <w:pStyle w:val="BookText"/>
        <w:rPr/>
      </w:pPr>
      <w:r>
        <w:rPr>
          <w:rFonts w:ascii="IRNazanin" w:hAnsi="IRNazanin" w:eastAsia="IRNazanin"/>
          <w:color w:val="111111"/>
          <w:sz w:val="28"/>
          <w:sz w:val="28"/>
          <w:szCs w:val="28"/>
          <w:rtl w:val="true"/>
          <w:lang w:bidi="fa-IR"/>
        </w:rPr>
        <w:t>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به ناتوانی این کنوانسیون در تعیین حداقل چند معیار برای حل تعارض صلاحیت قضایی اشاره کرد</w:t>
      </w:r>
      <w:r>
        <w:rPr>
          <w:rFonts w:eastAsia="IRNazanin" w:cs="IRNazanin"/>
          <w:color w:val="111111"/>
          <w:sz w:val="28"/>
          <w:szCs w:val="28"/>
          <w:rtl w:val="true"/>
          <w:lang w:bidi="fa-IR"/>
        </w:rPr>
        <w:t>.</w:t>
      </w:r>
    </w:p>
    <w:p>
      <w:pPr>
        <w:pStyle w:val="Heading5"/>
        <w:numPr>
          <w:ilvl w:val="4"/>
          <w:numId w:val="1"/>
        </w:numPr>
        <w:rPr/>
      </w:pPr>
      <w:bookmarkStart w:id="619" w:name="__RefHeading___Toc1440690_372815092"/>
      <w:bookmarkStart w:id="620" w:name="_Toc231"/>
      <w:bookmarkEnd w:id="619"/>
      <w:r>
        <w:rPr>
          <w:rtl w:val="true"/>
        </w:rPr>
        <w:t xml:space="preserve">پروتکل </w:t>
      </w:r>
      <w:r>
        <w:rPr/>
        <w:t>1954</w:t>
      </w:r>
      <w:r>
        <w:rPr>
          <w:rtl w:val="true"/>
        </w:rPr>
        <w:t xml:space="preserve"> </w:t>
      </w:r>
      <w:r>
        <w:rPr>
          <w:rtl w:val="true"/>
        </w:rPr>
        <w:t>جهت حمایت از اموال فرهنگی به هنگام نزاع مسلحانه</w:t>
      </w:r>
      <w:bookmarkEnd w:id="62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لاهه در حمایت از اموال فرهنگی به هنگام نزاع مسلحانه حاوی مقرراتی است در زمینه استرداد اموال فرهنگی که به صورت غیرقانونی از سرزمین اشغالی خارج شده اند به دلیل مخالفت چندین هیأت نمایندگی با گنجاندن مقررات مربوط به استرداد اموال فرهنگی در کنوانسیون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این مقررات به شکل پروتکل مستقلی به تصویب </w:t>
      </w:r>
      <w:bookmarkStart w:id="621" w:name="pg6894_74732"/>
    </w:p>
    <w:p>
      <w:pPr>
        <w:pStyle w:val="BookText"/>
        <w:rPr/>
      </w:pPr>
      <w:bookmarkEnd w:id="621"/>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پروتکل تعهد کشورهای اشغالگر را جهت ممانعت از خروج اموال فرهنگی از</w:t>
      </w:r>
    </w:p>
    <w:p>
      <w:pPr>
        <w:pStyle w:val="BookText"/>
        <w:rPr/>
      </w:pPr>
      <w:r>
        <w:rPr>
          <w:rFonts w:ascii="IRNazanin" w:hAnsi="IRNazanin" w:eastAsia="IRNazanin"/>
          <w:color w:val="111111"/>
          <w:sz w:val="28"/>
          <w:sz w:val="28"/>
          <w:szCs w:val="28"/>
          <w:rtl w:val="true"/>
          <w:lang w:bidi="fa-IR"/>
        </w:rPr>
        <w:t>سرزمین اشغالی در طول مناقشات مسلحانه تأیید و تأکید می کند هر یک از طرفین ملزم هستند که از تمام اموال فرهنگی که از یک کشور اشغال شده به صورت غیر قانونی مستقیم یا غیرمستقیم به کشورشان وارد شده،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تعهد می کنند که در پایان مخاصمات، اموال فرهنگی را که به صورت غیرقانونی از کشور اشغال شده پیشین وارد کشورشان شده به مقامات صالح آن کشور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اموال نباید به عنوان غرامت جنگی نگهداری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کشوری از خروج اموال فرهنگی از سرزمینی که آن را اشغال کرده ممانعت نکند، ملزم است به صاحبان این اموال در ازای تمام اموال فرهنگی که باید برگردانده شوند، خسارت پرداخت کند</w:t>
      </w:r>
      <w:r>
        <w:rPr>
          <w:rFonts w:eastAsia="IRNazanin" w:cs="IRNazanin"/>
          <w:color w:val="111111"/>
          <w:sz w:val="28"/>
          <w:szCs w:val="28"/>
          <w:rtl w:val="true"/>
          <w:lang w:bidi="fa-IR"/>
        </w:rPr>
        <w:t>.</w:t>
      </w:r>
    </w:p>
    <w:p>
      <w:pPr>
        <w:pStyle w:val="Heading4"/>
        <w:numPr>
          <w:ilvl w:val="3"/>
          <w:numId w:val="1"/>
        </w:numPr>
        <w:rPr/>
      </w:pPr>
      <w:bookmarkStart w:id="622" w:name="__RefHeading___Toc1440692_372815092"/>
      <w:bookmarkStart w:id="623" w:name="_Toc232"/>
      <w:bookmarkEnd w:id="622"/>
      <w:r>
        <w:rPr>
          <w:rtl w:val="true"/>
        </w:rPr>
        <w:t>پروتکل الحاقی به کنوانسیونهای ژنو</w:t>
      </w:r>
      <w:bookmarkEnd w:id="623"/>
    </w:p>
    <w:p>
      <w:pPr>
        <w:pStyle w:val="Heading5"/>
        <w:numPr>
          <w:ilvl w:val="4"/>
          <w:numId w:val="1"/>
        </w:numPr>
        <w:rPr/>
      </w:pPr>
      <w:bookmarkStart w:id="624" w:name="__RefHeading___Toc1440694_372815092"/>
      <w:bookmarkStart w:id="625" w:name="_Toc233"/>
      <w:bookmarkEnd w:id="624"/>
      <w:r>
        <w:rPr>
          <w:rtl w:val="true"/>
        </w:rPr>
        <w:t>قلمرو اعمال این پروتکل</w:t>
      </w:r>
      <w:bookmarkEnd w:id="625"/>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یک پروتکل الحاقی به کنوانسیونهای ژنو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از قربانیان مناقشات مسلحانه بین المللی مقرر می دارد که این پروتکل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مکمل کنوانسیونهای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تمام مواردی که در ماده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که با کنوانسیونها مشترک است،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 گردد، یعنی نسبت به تمام مخاصمات مسلحانه بین المللی بین دو یا چند کشور که طرف این کنوانسیون هستند، اعمال می شود حتی اگر حالت جنگ از سوی یکی از کشورها به رسمیت شناخته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کنوانسیونها که مکمل آنها همین پروتکل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مربوط به اشغال کامل یا جزئی سرزمین طرفین اعمال می شود اگر چه این اشغال با هیچگونه مقاومت مسلحانه ای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یک این پروتکل می افزاید که این کنوانسیونها که توسط این پروتکل تکمیل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جنبشهای آزادیخواه ملی هم اجرا می شوند</w:t>
      </w:r>
      <w:r>
        <w:rPr>
          <w:rFonts w:eastAsia="IRNazanin" w:cs="IRNazanin"/>
          <w:color w:val="111111"/>
          <w:sz w:val="28"/>
          <w:szCs w:val="28"/>
          <w:rtl w:val="true"/>
          <w:lang w:bidi="fa-IR"/>
        </w:rPr>
        <w:t xml:space="preserve">. </w:t>
      </w:r>
      <w:bookmarkStart w:id="626" w:name="pg6894_74733"/>
    </w:p>
    <w:p>
      <w:pPr>
        <w:pStyle w:val="Heading5"/>
        <w:numPr>
          <w:ilvl w:val="4"/>
          <w:numId w:val="1"/>
        </w:numPr>
        <w:rPr/>
      </w:pPr>
      <w:bookmarkStart w:id="627" w:name="__RefHeading___Toc1440696_372815092"/>
      <w:bookmarkStart w:id="628" w:name="_Toc234"/>
      <w:bookmarkEnd w:id="626"/>
      <w:bookmarkEnd w:id="627"/>
      <w:r>
        <w:rPr>
          <w:rtl w:val="true"/>
        </w:rPr>
        <w:t xml:space="preserve">ارتباط این پروتکل با کنوانسیون </w:t>
      </w:r>
      <w:r>
        <w:rPr/>
        <w:t>1954</w:t>
      </w:r>
      <w:bookmarkEnd w:id="628"/>
    </w:p>
    <w:p>
      <w:pPr>
        <w:pStyle w:val="BookText"/>
        <w:rPr/>
      </w:pPr>
      <w:r>
        <w:rPr>
          <w:rFonts w:ascii="IRNazanin" w:hAnsi="IRNazanin" w:eastAsia="IRNazanin"/>
          <w:color w:val="111111"/>
          <w:sz w:val="28"/>
          <w:sz w:val="28"/>
          <w:szCs w:val="28"/>
          <w:rtl w:val="true"/>
          <w:lang w:bidi="fa-IR"/>
        </w:rPr>
        <w:t>از آنجا که موضوع حمایت از اموال فرهنگی در مناقشات مسلحانه قبلا توسط</w:t>
      </w:r>
    </w:p>
    <w:p>
      <w:pPr>
        <w:pStyle w:val="BookText"/>
        <w:rPr/>
      </w:pP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مورد بررسی قرار گرفته بود لذا پیش نویس اولیه این پروتکل حاوی هیچ مقرراتی در این باره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در کنفرانس دیپلماتیک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Diplomatic confrence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دیدگاههایی ارایه شد که این پروتکل باید در بردارنده ماده ای در زمینه حمایت از اموال فرهنگی باشد چرا که تعدادی از دولتها عضو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دومین جلسه، پیشنهادی در این باره تسلیم شد که بعدا مبنای تشکیل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پروتکل، که حاوی مقرراتی درباره حمایت از اموال فرهنگی می باشد،</w:t>
      </w:r>
    </w:p>
    <w:p>
      <w:pPr>
        <w:pStyle w:val="BookText"/>
        <w:rPr/>
      </w:pPr>
      <w:r>
        <w:rPr>
          <w:rFonts w:ascii="IRNazanin" w:hAnsi="IRNazanin" w:eastAsia="IRNazanin"/>
          <w:color w:val="111111"/>
          <w:sz w:val="28"/>
          <w:sz w:val="28"/>
          <w:szCs w:val="28"/>
          <w:rtl w:val="true"/>
          <w:lang w:bidi="fa-IR"/>
        </w:rPr>
        <w:t xml:space="preserve">صریح بیان می کند که حمایت مقرر در 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کم و کاستی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مقررات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اسناد بین المللی مربوط به حمایت از اموال فرهنگی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مقررات پروتکل شماره یک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حفاظت از اموال فرهنگی اختصاص داده شده است، اسناد موجود در این زمینه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خصوص نحوه رابطه طرفهای این پروتکل با طرفهای کنوانسیون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باید گفت که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w:t>
      </w:r>
    </w:p>
    <w:p>
      <w:pPr>
        <w:pStyle w:val="Heading5"/>
        <w:numPr>
          <w:ilvl w:val="4"/>
          <w:numId w:val="1"/>
        </w:numPr>
        <w:rPr/>
      </w:pPr>
      <w:bookmarkStart w:id="629" w:name="__RefHeading___Toc1440698_372815092"/>
      <w:bookmarkStart w:id="630" w:name="_Toc235"/>
      <w:bookmarkEnd w:id="629"/>
      <w:r>
        <w:rPr>
          <w:rtl w:val="true"/>
        </w:rPr>
        <w:t>حمایت از اموال فرهنگی و اماکن مذهبی</w:t>
      </w:r>
      <w:bookmarkEnd w:id="63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ویژه ای که در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از اموال فرهنگی و اماکن مذهبی به عمل آمده است علاوه بر آن مصونیتی است که در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اموال غیرنظامی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میزان و مفهوم این حمایت خاص که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اموال و اماکن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باید در مفهومی وسیعتر از مقررات بخش چهارم این پروتکل که حمایت از افراد و اموال غیرنظامی را بررسی می کند مورد تجزیه و تحلیل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مقرر می دارد که عملیات نظامی تنها علیه </w:t>
      </w:r>
    </w:p>
    <w:p>
      <w:pPr>
        <w:pStyle w:val="BookText"/>
        <w:rPr/>
      </w:pPr>
      <w:r>
        <w:rPr>
          <w:rFonts w:ascii="IRNazanin" w:hAnsi="IRNazanin" w:eastAsia="IRNazanin"/>
          <w:color w:val="111111"/>
          <w:sz w:val="28"/>
          <w:sz w:val="28"/>
          <w:szCs w:val="28"/>
          <w:rtl w:val="true"/>
          <w:lang w:bidi="fa-IR"/>
        </w:rPr>
        <w:t>اهداف نظامی می تواند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حمایت عام از اشیای غیرنظامی اختصاص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یا اقدامات تلافی جویانه عليه اموال غیرنظامی را ممنوع اعلام و آن را اموالی تعریف می کند که دارای هدف نظامی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نظامی آن گونه که در بند دوم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هستند که به لحاظ ماهیت، محل استقرار، هدف و نحوه استفاده سهم مؤثری در عملیات نظامی دارند و انهدام همه یا بخشی از آنها و یا تسخیر و خنثی سازی آنها با توجه به شرایط حاکم بر آن زمان یک امتیاز نظامی قطعی برای طرف مهاجم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می دارد که اگر در جایی تردید به وجود آید که آیا مالی که معمولا به اهداف غیر نظامی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خانه یا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عنصر مؤثر برای اقدام نظامی به کار گرفته می شود یا خیر باید فرض را بر این گذاشت که این مورد، هدف نظامی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فرض در مورد اموال فرهنگی و اماکن مذهبی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بخش چهارم این پروتکل در زمینه ممنوعیت حملات کورکورانه و نامشخص، لزوم وجود تناسب بین خسارت وارده و استفاده نظامی و نیز مرتبط با</w:t>
      </w:r>
    </w:p>
    <w:p>
      <w:pPr>
        <w:pStyle w:val="BookText"/>
        <w:rPr/>
      </w:pPr>
      <w:r>
        <w:rPr>
          <w:rFonts w:ascii="IRNazanin" w:hAnsi="IRNazanin" w:eastAsia="IRNazanin"/>
          <w:color w:val="111111"/>
          <w:sz w:val="28"/>
          <w:sz w:val="28"/>
          <w:szCs w:val="28"/>
          <w:rtl w:val="true"/>
          <w:lang w:bidi="fa-IR"/>
        </w:rPr>
        <w:t>حفاظت از اموال فرهنگی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مقررات این پروتکل در زمینه حملات</w:t>
      </w:r>
    </w:p>
    <w:p>
      <w:pPr>
        <w:pStyle w:val="BookText"/>
        <w:rPr/>
      </w:pPr>
      <w:r>
        <w:rPr>
          <w:rFonts w:ascii="IRNazanin" w:hAnsi="IRNazanin" w:eastAsia="IRNazanin"/>
          <w:color w:val="111111"/>
          <w:sz w:val="28"/>
          <w:sz w:val="28"/>
          <w:szCs w:val="28"/>
          <w:rtl w:val="true"/>
          <w:lang w:bidi="fa-IR"/>
        </w:rPr>
        <w:t>کورکورانه، تحریم حملات علیه آن دسته از اهداف نظامی است که به طور واضح از اهداف غیرنظامی منفک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 نظامی باید به اندازه کافی از اهداف غیر نظامی متمایز باشند به طوری که بتوان با استفاده از سلاحهای موجود آنها را منفردا مورد حمله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قاعده عرفی تناسب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این پروتکل مورد تأکید مجدد قرار گرفته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غیرنظامی در مقابل خسارتهای جانبی که پیش بینی می شود در مقایسه با خسارتهای ناشی از حمله مستقیم به یک هدف نظامی بسیار بیشتر باشد، مورد حمایت قرار می گیرند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حمایت عام از اموال غیرنظامی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در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خاص فوق العاده ای را در مورد دسته خاصی از اموال غیرنظامی یعنی گروه مشخصی از اموال فرهنگی پیش بینی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حمایت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اعطا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سه </w:t>
      </w:r>
    </w:p>
    <w:p>
      <w:pPr>
        <w:pStyle w:val="BookText"/>
        <w:rPr/>
      </w:pPr>
      <w:r>
        <w:rPr>
          <w:rFonts w:ascii="IRNazanin" w:hAnsi="IRNazanin" w:eastAsia="IRNazanin"/>
          <w:color w:val="111111"/>
          <w:sz w:val="28"/>
          <w:sz w:val="28"/>
          <w:szCs w:val="28"/>
          <w:rtl w:val="true"/>
          <w:lang w:bidi="fa-IR"/>
        </w:rPr>
        <w:t>گروه از اموال فرهنگی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تاریخی، آثار هنری و اماکن مذهبی؛</w:t>
      </w:r>
    </w:p>
    <w:p>
      <w:pPr>
        <w:pStyle w:val="BookText"/>
        <w:rPr/>
      </w:pPr>
      <w:r>
        <w:rPr>
          <w:rFonts w:ascii="IRNazanin" w:hAnsi="IRNazanin" w:eastAsia="IRNazanin"/>
          <w:color w:val="111111"/>
          <w:sz w:val="28"/>
          <w:sz w:val="28"/>
          <w:szCs w:val="28"/>
          <w:rtl w:val="true"/>
          <w:lang w:bidi="fa-IR"/>
        </w:rPr>
        <w:t>مشروط بر این که اموال میراث معنوی و فرهنگی یک جامعه تلقی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حمایت خاص که به موجب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شده برای گروه محدودی از اموال فرهنگی است که دارای اهمیت فوق العاده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دسته از اموال فرهنگی و اماکن مذهبی که ملاکهای تعلق به میراث معنوی و فرهنگی یک ملت را واجد نیستند، حمایت لازم در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اساسی در حمایت اعطا شده به اموال فرهنگی که در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اقدام خصمانه علیه اموال فرهنگی و مذهبی حمایت شده و همچنین به کار بردن آنها در حمایت از عملیات نظامی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لاهه نیز دارای ماده ای مشابه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اما تعهدی که</w:t>
      </w:r>
    </w:p>
    <w:p>
      <w:pPr>
        <w:pStyle w:val="BookText"/>
        <w:rPr/>
      </w:pP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 دقیقتر است زیرا این پروتکل هیچ استثنایی را پیش بینی</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آنجا که به طرفین این پروتکل مربوط می شود، استناد کردن به</w:t>
      </w:r>
    </w:p>
    <w:p>
      <w:pPr>
        <w:pStyle w:val="BookText"/>
        <w:rPr/>
      </w:pPr>
      <w:r>
        <w:rPr>
          <w:rFonts w:ascii="IRNazanin" w:hAnsi="IRNazanin" w:eastAsia="IRNazanin"/>
          <w:color w:val="111111"/>
          <w:sz w:val="28"/>
          <w:sz w:val="28"/>
          <w:szCs w:val="28"/>
          <w:rtl w:val="true"/>
          <w:lang w:bidi="fa-IR"/>
        </w:rPr>
        <w:t>استثنای ضرورت نظامی گری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توسل جستن به ضرورت نظامی گری در مورد متعاهدين پروتکل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متعاهدين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هستند امکان پذیر است اما مفهوم اهداف نظامی چنین حقی را محدود می کند و این بدین معناست که متعاهدين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پروتکل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اموالی که دارای هدف نظامی هستند، می توانند به استثنای ضرورت نظامی استناد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استناد کردن به ضرورت نظامی نمی تواند حمله به اموال غیرنظامی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قسمت دوم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اموال فرهنگی در حمایت از عملیات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کار بردن اموال فرهنگی حمایت شده در دفاع از عملیات نظامی، تخلف از مقررات این پروتکل است، اما چنین تخلفی خود به خود حق حمله را به دشمن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متخاصم در صورتی حق انجام چنین کاری را دارد که اموال فرهنگی حمایت شده به اهداف نظامی تبدیل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به کار بردن اموال فرهنگی حمایت شده در جهت حمایت از عملیات نظامی می تواند تنها نمودار یکی از دو شرط لازم برای اهداف نظامی باشد و آن این است که چنین کاربردی سهم مؤثری در </w:t>
      </w:r>
    </w:p>
    <w:p>
      <w:pPr>
        <w:pStyle w:val="BookText"/>
        <w:rPr/>
      </w:pPr>
      <w:r>
        <w:rPr>
          <w:rFonts w:ascii="IRNazanin" w:hAnsi="IRNazanin" w:eastAsia="IRNazanin"/>
          <w:color w:val="111111"/>
          <w:sz w:val="28"/>
          <w:sz w:val="28"/>
          <w:szCs w:val="28"/>
          <w:rtl w:val="true"/>
          <w:lang w:bidi="fa-IR"/>
        </w:rPr>
        <w:t>عملیات نظامی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سوء استفاده از وضعیتهای مورد حمایت سبب از</w:t>
      </w:r>
    </w:p>
    <w:p>
      <w:pPr>
        <w:pStyle w:val="BookText"/>
        <w:rPr/>
      </w:pPr>
      <w:r>
        <w:rPr>
          <w:rFonts w:ascii="IRNazanin" w:hAnsi="IRNazanin" w:eastAsia="IRNazanin"/>
          <w:color w:val="111111"/>
          <w:sz w:val="28"/>
          <w:sz w:val="28"/>
          <w:szCs w:val="28"/>
          <w:rtl w:val="true"/>
          <w:lang w:bidi="fa-IR"/>
        </w:rPr>
        <w:t xml:space="preserve">دست دادن حمایت خاص مقرر در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این حمایت به موجب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و حمله تنها در صورتی می تواند موجه باشد که شرط دوم مربوط به اهداف نظامی مورد نظر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شده باشد یعنی استفاده نظامی مشخص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باید تأکید کرد که مقررات پروتكل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جلوگیری از تخلفات، به حد کافی از این تدابیر حمایت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مقررات قسمت دوم از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کنوانسیون</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نوعی پیشرفت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مقررات، آن قسمت از اموال</w:t>
      </w:r>
    </w:p>
    <w:p>
      <w:pPr>
        <w:pStyle w:val="BookText"/>
        <w:rPr/>
      </w:pPr>
      <w:r>
        <w:rPr>
          <w:rFonts w:ascii="IRNazanin" w:hAnsi="IRNazanin" w:eastAsia="IRNazanin"/>
          <w:color w:val="111111"/>
          <w:sz w:val="28"/>
          <w:sz w:val="28"/>
          <w:szCs w:val="28"/>
          <w:rtl w:val="true"/>
          <w:lang w:bidi="fa-IR"/>
        </w:rPr>
        <w:t>فرهنگی که مصونیت خود را بر اثر سوءاستفاده از وضعیت مورد حمایت از دست</w:t>
      </w:r>
    </w:p>
    <w:p>
      <w:pPr>
        <w:pStyle w:val="BookText"/>
        <w:rPr/>
      </w:pPr>
      <w:r>
        <w:rPr>
          <w:rFonts w:ascii="IRNazanin" w:hAnsi="IRNazanin" w:eastAsia="IRNazanin"/>
          <w:color w:val="111111"/>
          <w:sz w:val="28"/>
          <w:sz w:val="28"/>
          <w:szCs w:val="28"/>
          <w:rtl w:val="true"/>
          <w:lang w:bidi="fa-IR"/>
        </w:rPr>
        <w:t>داده اند می توانند با مفهوم هدف نظامی محدود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متعاهدين پروتکل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کنوانسیون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به کار بردن اموال فرهنگی برای مقاصد نظامی بر خلاف مقررات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عامل موجهی برای حمله علیه اموال فرهنگی طرف دیگر باشد مگر اینکه اموال مفروض به اهداف نظامی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بیان شد مقررات پروتكل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جلوگیری از تخلفات، این نتیجه را به طور کامل و مقرر تأیید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ذکر کرد که حمایت از اموال فرهنگی در مناقشات مسلحانه به وسیله</w:t>
      </w:r>
    </w:p>
    <w:p>
      <w:pPr>
        <w:pStyle w:val="BookText"/>
        <w:rPr/>
      </w:pP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تر و شدیدتر شده و امکان فقدان مصونیت یا محدود و یا با شاخصهای دقیقتر و قطعی تری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ضرورت نظامی گری را نمی توان بسادگی مورد استناد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سوء استفاده از وضعیت حمایت شده به عنوان دلیلی برای فقدان مصونیت، اکنون به وسیله مفهوم هدف نظامی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مفهوم هدف نظامی، اگر چه در برگیرنده عناصری از استثنائات ضرورت نظامی گری و سوءاستفاده از وضعیت مورد حمایت می باشد، اما همچون مفهوم ضرورت نظامی گری توجیه کننده و فریب دهنده نیست و یا لااقل کمتر چنین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کاستیهای موجود در مفهوم هدف نظامی که از فقدان تعاریف دقیقی از </w:t>
      </w:r>
      <w:bookmarkStart w:id="631" w:name="pg6894_74737"/>
    </w:p>
    <w:p>
      <w:pPr>
        <w:pStyle w:val="BookText"/>
        <w:rPr/>
      </w:pPr>
      <w:bookmarkEnd w:id="6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مؤثر در عملیات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دقیق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انتزاعی فرمانده صحنه نبرد هنوز هم نقش مهمی دارد با وجود این مفهوم ضرورت نظامی گری مجال اندکی برای اقدامات خودسرانه فراهم می آورد و این ارزیابیها بر ملاکهای عینی و نسبتا دقیقی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ملاكها اقدامات احتیاطی در طول حمله است که در 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و دارای اهمیت فوق العاده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حملات باید منحصر به اهداف نظامی محدود شوند و فرماندهان نظامی باید هر اقدامی را که می توانند انجام دهند تا احراز کنند که اهداف مورد حمله غیرنظامی و مشمول حمایت خاص نیستند و فقط اهداف نظامی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حمله علیه یک دارایی فرهنگی باید یقین کرد که می توان آن را نظامی شمرد و این تشخیص باید با دقت زیاد و با به کارگیری تمام وسایل موجود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اطلاعات گردآوری شده موجب تردید شود که آیا شیء مورد بحث سهم مؤثری در عملیات نظامی دارد یا نه، به موجب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از این شیء چنین استفاده ای نمی شود و بنابراین، نباید به آن حمله کرد</w:t>
      </w:r>
      <w:r>
        <w:rPr>
          <w:rFonts w:eastAsia="IRNazanin" w:cs="IRNazanin"/>
          <w:color w:val="111111"/>
          <w:sz w:val="28"/>
          <w:szCs w:val="28"/>
          <w:rtl w:val="true"/>
          <w:lang w:bidi="fa-IR"/>
        </w:rPr>
        <w:t>.</w:t>
      </w:r>
    </w:p>
    <w:p>
      <w:pPr>
        <w:pStyle w:val="Heading5"/>
        <w:numPr>
          <w:ilvl w:val="4"/>
          <w:numId w:val="1"/>
        </w:numPr>
        <w:rPr/>
      </w:pPr>
      <w:bookmarkStart w:id="632" w:name="__RefHeading___Toc1440700_372815092"/>
      <w:bookmarkStart w:id="633" w:name="_Toc236"/>
      <w:bookmarkEnd w:id="632"/>
      <w:r>
        <w:rPr>
          <w:rtl w:val="true"/>
        </w:rPr>
        <w:t>منع تخلفات</w:t>
      </w:r>
      <w:bookmarkEnd w:id="633"/>
    </w:p>
    <w:p>
      <w:pPr>
        <w:pStyle w:val="BookText"/>
        <w:rPr/>
      </w:pPr>
      <w:r>
        <w:rPr>
          <w:rFonts w:ascii="IRNazanin" w:hAnsi="IRNazanin" w:eastAsia="IRNazanin"/>
          <w:color w:val="111111"/>
          <w:sz w:val="28"/>
          <w:sz w:val="28"/>
          <w:szCs w:val="28"/>
          <w:rtl w:val="true"/>
          <w:lang w:bidi="fa-IR"/>
        </w:rPr>
        <w:t xml:space="preserve">قسمت پنجم از بخش دوم پروتکل الحاقی به کنوانسیونهای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در خصوص</w:t>
      </w:r>
    </w:p>
    <w:p>
      <w:pPr>
        <w:pStyle w:val="BookText"/>
        <w:rPr/>
      </w:pPr>
      <w:r>
        <w:rPr>
          <w:rFonts w:ascii="IRNazanin" w:hAnsi="IRNazanin" w:eastAsia="IRNazanin"/>
          <w:color w:val="111111"/>
          <w:sz w:val="28"/>
          <w:sz w:val="28"/>
          <w:szCs w:val="28"/>
          <w:rtl w:val="true"/>
          <w:lang w:bidi="fa-IR"/>
        </w:rPr>
        <w:t>حمایت از قربانیان جنگ، به جلوگیری از تخلفات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منعی که در کنوانسون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مقرر شده است، در مورد جلوگیری از تخلفات مقرر در پروتکل الحاقی به کنوانسیون نیز قابل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کنوانسیونهای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بین تخلفات شدید و غیر شدید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w:t>
      </w:r>
    </w:p>
    <w:p>
      <w:pPr>
        <w:pStyle w:val="BookText"/>
        <w:rPr/>
      </w:pPr>
      <w:r>
        <w:rPr>
          <w:rFonts w:ascii="IRNazanin" w:hAnsi="IRNazanin" w:eastAsia="IRNazanin"/>
          <w:color w:val="111111"/>
          <w:sz w:val="28"/>
          <w:sz w:val="28"/>
          <w:szCs w:val="28"/>
          <w:rtl w:val="true"/>
          <w:lang w:bidi="fa-IR"/>
        </w:rPr>
        <w:t>تخلفات مهم در هریک از کنوانسیونهای ژنو شمارش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با مقررات کنوانسیونهای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ناسازگار باشد و از موارد تخلف مهم نباشد، خود یک نقض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کنوانسیونهای ژنو متعهد می شوند تا برای جلوگیری از تخلفات شدید قوانین مورد نیاز را به تصویب برسانند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عضو باید افرادی را که ادعا شده مرتکب تخلفات شدیدی شده و یا دستور </w:t>
      </w:r>
    </w:p>
    <w:p>
      <w:pPr>
        <w:pStyle w:val="BookText"/>
        <w:rPr/>
      </w:pPr>
      <w:r>
        <w:rPr>
          <w:rFonts w:ascii="IRNazanin" w:hAnsi="IRNazanin" w:eastAsia="IRNazanin"/>
          <w:color w:val="111111"/>
          <w:sz w:val="28"/>
          <w:sz w:val="28"/>
          <w:szCs w:val="28"/>
          <w:rtl w:val="true"/>
          <w:lang w:bidi="fa-IR"/>
        </w:rPr>
        <w:t>ارتکاب آن را داده اند، تحت تعقیب قرار دهد و بدون توجه به تابعیتشان، آنها را در دادگاه خود محاکمه کند و یا در صورت صلاحدید دادگاه، آنها را به شرط اینکه پرونده مستندی علیه شان ترتیب داده باشند، برای محاکمه به عضو دیگر کنوانسیون که در تعقیب آنها ذینفع می باشد،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کنوانسیونهای ژنو امکان تحویل یک چنین متهمی را به دادگاه کیفری بین المللی که صلاحیتش از طرف اعضای کنوانسیون به رسمیت شناخته شده است،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رسیدگی به تخلفات شدیدی که جنایات جنگی تلقی می شوند، در صلاحیت مراجع قضایی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کنوانسیونهای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برای جلوگیری از تخلفات غير شدید، اعضای خود را</w:t>
      </w:r>
    </w:p>
    <w:p>
      <w:pPr>
        <w:pStyle w:val="BookText"/>
        <w:rPr/>
      </w:pPr>
      <w:r>
        <w:rPr>
          <w:rFonts w:ascii="IRNazanin" w:hAnsi="IRNazanin" w:eastAsia="IRNazanin"/>
          <w:color w:val="111111"/>
          <w:sz w:val="28"/>
          <w:sz w:val="28"/>
          <w:szCs w:val="28"/>
          <w:rtl w:val="true"/>
          <w:lang w:bidi="fa-IR"/>
        </w:rPr>
        <w:t>ملزم می دارند تا برای جلوگیری از هر نوع رفتار مغایر با مقررات کنوانسیون، اقدامات لازم را مبذول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غير شدید مشمول صلاحیت جهانی نیستند، گرچه جلوگیری از این تخلفات متضمن تمام اقدامات ضروری، از قبیل اقدامات اداری، انتظامی یا ضمانت اجرایی کیفری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طرفهای متعاهد هیچ الزام حقوقی ندارند که این تخلفات را در قانون کیفری خود درج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کشوری که متعهد به کنوانسیون است، به هنگام وضع قوانین داخلی، موانع کیفری برای جلوگیری از تخلفات پیش بینی کند، متخلفان فقط در صورتی قابل مجازات خواهند بود که به نیروهای مسلح خود آن کشور تعلق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بررسی موضوعاتی که ادعا شده موجب نقض مهم و جدی یا نقض عادی</w:t>
      </w:r>
    </w:p>
    <w:p>
      <w:pPr>
        <w:pStyle w:val="BookText"/>
        <w:rPr/>
      </w:pPr>
      <w:r>
        <w:rPr>
          <w:rFonts w:ascii="IRNazanin" w:hAnsi="IRNazanin" w:eastAsia="IRNazanin"/>
          <w:color w:val="111111"/>
          <w:sz w:val="28"/>
          <w:sz w:val="28"/>
          <w:szCs w:val="28"/>
          <w:rtl w:val="true"/>
          <w:lang w:bidi="fa-IR"/>
        </w:rPr>
        <w:t xml:space="preserve">کنوانسیونهای ژنو و پروتکل الحاقی می شوند، اعضای کنوانسیون در هر زمانی می توانند به کمیسیون دایمی حقیقت یاب بین المللی، 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پروتکل تشکیل شده است،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کنوانسیون ژنو تخریب و تصرف اموال فرهنگی را به طور صریح نقض شدید به حساب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در تکمیل مقررات کنوانسیون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تخلفات شدیدی که در پاراگرافهای قبل و در کنوانسیونها توضیح داده شده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موارد ذیل نیز، در صورتی که عمدا و در جهت نقض کنوانسیونها و یا پروتکل </w:t>
      </w:r>
    </w:p>
    <w:p>
      <w:pPr>
        <w:pStyle w:val="BookText"/>
        <w:rPr/>
      </w:pPr>
      <w:r>
        <w:rPr>
          <w:rFonts w:ascii="IRNazanin" w:hAnsi="IRNazanin" w:eastAsia="IRNazanin"/>
          <w:color w:val="111111"/>
          <w:sz w:val="28"/>
          <w:sz w:val="28"/>
          <w:szCs w:val="28"/>
          <w:rtl w:val="true"/>
          <w:lang w:bidi="fa-IR"/>
        </w:rPr>
        <w:t>انجام گیرد، از موارد نقض جدی این پروتکل به حساب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به بناهایی که بدون تردید آثار تاریخی به حساب می آیند، آثار هنری یا اماکن مذهبی که میراث</w:t>
      </w:r>
    </w:p>
    <w:p>
      <w:pPr>
        <w:pStyle w:val="BookText"/>
        <w:rPr/>
      </w:pPr>
      <w:r>
        <w:rPr>
          <w:rFonts w:ascii="IRNazanin" w:hAnsi="IRNazanin" w:eastAsia="IRNazanin"/>
          <w:color w:val="111111"/>
          <w:sz w:val="28"/>
          <w:sz w:val="28"/>
          <w:szCs w:val="28"/>
          <w:rtl w:val="true"/>
          <w:lang w:bidi="fa-IR"/>
        </w:rPr>
        <w:t>فرهنگی و معنوی ملتها را تشکیل می دهند و با ترتیبات خاصی، به عنوان مثال در قالب یک سازمان صلاحیتدار بین المللی، مورد حمایت خاص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باعث تخریب شدید آنها شود، در حالی که دلیلی هم وجود ندارد که رقیب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نقض نموده است و یا چنین بناهای تاریخی، آثار هنری و اماکن مذهبی در مجاورت بی واسطه اهداف نظامی قرار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عنایت به مقرره ای که نقل شد، این حمله در صورتی نقض شدید به</w:t>
      </w:r>
    </w:p>
    <w:p>
      <w:pPr>
        <w:pStyle w:val="BookText"/>
        <w:rPr/>
      </w:pPr>
      <w:r>
        <w:rPr>
          <w:rFonts w:ascii="IRNazanin" w:hAnsi="IRNazanin" w:eastAsia="IRNazanin"/>
          <w:color w:val="111111"/>
          <w:sz w:val="28"/>
          <w:sz w:val="28"/>
          <w:szCs w:val="28"/>
          <w:rtl w:val="true"/>
          <w:lang w:bidi="fa-IR"/>
        </w:rPr>
        <w:t>شمار می رود که از روی عمد صورت گرفته باشد؛ یعنی مستقیم آن شیء فرهنگی را هدف گرفته و نتایج خاصی همچون تخریب شدید هم به بار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شیء فرهنگی باید با ترتیبات ویژه ای مورد حمایت خاص قرار داشته باشد، نباید در جهت حمایت از اقدام نظامی به کار گرفته شود یا در مجاورت بی واسطه اهداف نظامی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شیء مورد بحث در جهت تقویت فعالیتهای نظامی مورد استفاده قرار گیرد یا در نزدیک اهداف نظامی واقع شده باشد، حمله به آن قابل توجیه است، یعنی به موجب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شدید تلقی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پاراگراف به منظور حل مشکل خسارتهای جانبی تدارک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طولانی و دارای جزئیات بیش از اندازه</w:t>
      </w:r>
    </w:p>
    <w:p>
      <w:pPr>
        <w:pStyle w:val="BookText"/>
        <w:rPr/>
      </w:pPr>
      <w:r>
        <w:rPr>
          <w:rFonts w:ascii="IRNazanin" w:hAnsi="IRNazanin" w:eastAsia="IRNazanin"/>
          <w:color w:val="111111"/>
          <w:sz w:val="28"/>
          <w:sz w:val="28"/>
          <w:szCs w:val="28"/>
          <w:rtl w:val="true"/>
          <w:lang w:bidi="fa-IR"/>
        </w:rPr>
        <w:t>است، یک پیش نویس منحصر به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در این زمینه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نویس مقررات جنایات علیه صلح و امنیت نوع بشر،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جنگی کاملا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عمدی به اموال دارای ارزش</w:t>
      </w:r>
    </w:p>
    <w:p>
      <w:pPr>
        <w:pStyle w:val="BookText"/>
        <w:rPr/>
      </w:pPr>
      <w:r>
        <w:rPr>
          <w:rFonts w:ascii="IRNazanin" w:hAnsi="IRNazanin" w:eastAsia="IRNazanin"/>
          <w:color w:val="111111"/>
          <w:sz w:val="28"/>
          <w:sz w:val="28"/>
          <w:szCs w:val="28"/>
          <w:rtl w:val="true"/>
          <w:lang w:bidi="fa-IR"/>
        </w:rPr>
        <w:t>فوق العاده مذهبی، تاریخی یا فرهنگی را برشمرده و به این ترتیب، فقط دو عنصر را در تعریف این نوع جنایات برجسته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عمدی بودن حمله و استثنایی بودن ارزش اموال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دقیق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وجود نوعی تعارض بین مفاد </w:t>
      </w:r>
    </w:p>
    <w:p>
      <w:pPr>
        <w:pStyle w:val="BookText"/>
        <w:rPr/>
      </w:pPr>
      <w:r>
        <w:rPr>
          <w:rFonts w:ascii="IRNazanin" w:hAnsi="IRNazanin" w:eastAsia="IRNazanin"/>
          <w:color w:val="111111"/>
          <w:sz w:val="28"/>
          <w:sz w:val="28"/>
          <w:szCs w:val="28"/>
          <w:rtl w:val="true"/>
          <w:lang w:bidi="fa-IR"/>
        </w:rPr>
        <w:t xml:space="preserve">این پاراگراف و مفاد مواد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بر خلاف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وضعیت مورد حمایت یک شیء فرهنگی حق حمله را به طور خودکار برقرار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موجب این پاراگراف، به کارگیری مال فرهنگی در جهت حمایت از اقدام نظامی حمله به آن مال را توجیه می کند و سبب نقض شدید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ما در بین مقررات منع تخلفات یک پیش بینی نامعقول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هدف نظامی، اموالی را که مورد حمایت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در شرایط بدتر از دیگر اموال غیر نظامی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غیر نظامی فقط در صورتی می توانند مورد حمله قرار گیرند که تبدیل به هدف نظامی شده باشند، در حالی که پاراگراف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حمله به اموال فرهنگی مورد حمایت را در صورتی که مورد سوء استفاده قرار گیرند، یعنی وقتی که فقط یک عنصر از هدف نظامی تحقق یابد،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یک چنین حمله ای نیز نشانگر نقض معمولی مقررات پروتکل است، اما باید به خاطر سپرد که با توجه به وجود تفاوتهای قابل ملاحظه بین دو مجموعه از تخلفات شدید و غیر شدید و با لحاظ ضمانت اجرا و تفاوتهایی که در ایجاد صلاحیت دارند، پیداست که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مفاد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حفاظت از اموال فرهنگی، حمایت شایسته ای از این اموال به عمل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حمله نظامی به اماکن مورد حمایت، غالبا با این ادعا که مکان مورد نظر مورد سوء استفاده قرار گرفته است، توجیه می شود و برای اثبات این ادعا دلیل می آورند که طرف مخاصمه روی آن پست دیده بانی ایجاد کرده است، چون می دانند که ادعایی جز این را نمی توانند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پاراگراف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جز این نوع رفتار را پیش پای متخاصمان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مقررات، حمله به مکان مورد حمایت، با استناد به تأسیس پست دیده بانی بر روی آن به عنوان یک توجیه سبب نقصی مشهود در پروتکل به وجود آورده و مشمول صلاحیت اجباری مراجع قضایی بین المللی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نمی تواند طرفی را که تصميم حمله دارد به رفتار احتياط آميز وادار نماید بلکه تصمیم حمله را برای او تسهیل می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پروتکل الحاقی به کنوانسیونهای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در حمایت از قربانیان </w:t>
      </w:r>
    </w:p>
    <w:p>
      <w:pPr>
        <w:pStyle w:val="BookText"/>
        <w:rPr/>
      </w:pPr>
      <w:r>
        <w:rPr>
          <w:rFonts w:ascii="IRNazanin" w:hAnsi="IRNazanin" w:eastAsia="IRNazanin"/>
          <w:color w:val="111111"/>
          <w:sz w:val="28"/>
          <w:sz w:val="28"/>
          <w:szCs w:val="28"/>
          <w:rtl w:val="true"/>
          <w:lang w:bidi="fa-IR"/>
        </w:rPr>
        <w:t xml:space="preserve">مناقشات مسلحانه غیر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نیمی از مناقشات</w:t>
      </w:r>
    </w:p>
    <w:p>
      <w:pPr>
        <w:pStyle w:val="BookText"/>
        <w:rPr/>
      </w:pPr>
      <w:r>
        <w:rPr>
          <w:rFonts w:ascii="IRNazanin" w:hAnsi="IRNazanin" w:eastAsia="IRNazanin"/>
          <w:color w:val="111111"/>
          <w:sz w:val="28"/>
          <w:sz w:val="28"/>
          <w:szCs w:val="28"/>
          <w:rtl w:val="true"/>
          <w:lang w:bidi="fa-IR"/>
        </w:rPr>
        <w:t xml:space="preserve">مسلحانه ای که بین سالهای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عمدتأ مناقشات داخلی یا مناقشات مختلط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درک کرد که چرا تمام چهار کنوانسیون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اصول اساسی حقوق بشردوستانه بین المللی را به مناقشات مسلحانه غیر بین المللی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چهار کنوانسیون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آمده است اصول عامی را به تصویب رسانده است که نسبت به مخاصمات مسلحانه ای که حیثیت بین المللی ندارند قابل اعمال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پروتکل دوم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مناقشات مسلحانه غیر بین المللی قابل اعمال است، ماده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در کنوانسیونهای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را، بدون اینکه شرایط اعمال آن را بیان کند، توسعه داده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پروتکل نسبت به تمام مناقشات مسلحانه ای که ماده یک پروتکل یک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نمی شود،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یک پروتکل اول در مورد آن دسته از مناقشات مسلحانه ای اعمال می شود که بین نیروهای مسلح یک دولت و نیروهای مسلح مخالف و تحت فرماندهی شخص مسئول رخ دهد به گونه ای که این نیروها ضمن اعمال کنترل بر بخشی از سرزمین کشور مربوط بتوانند عملیات نظامی مداوم و متمرکزی را دنبال و این پروتکل را رعایت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دوم در مورد دستهای محدود از مناقشات مسلحانه داخلی قابل اعمال است و بوضوح وضعیتهای خاصی از نا آرامیهای داخلی، از قبیل شورش، خشونتهای پراکنده و نامنظم و رفتارهای مشابه به وضعیتهایی که مخاصمات مسلحانه به شمار نمی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قلمرو خود خارج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 این پروتکل فقط در مورد مناقشاتی که از میزان شدت خاصی برخوردارند، قابل اعمال است و دقیقا از قلمرو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در کنوانسیونهای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که در همه وضعیتهای درگیری مسلحانه غیر بین المللی قابل اعمال است، برخوردار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وضعیتهایی که صریحا از قلمرو این پروتکل حذف شده است، فقط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قابل اعمال خواهد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پروتکل که به حمایت از اموال فرهنگی اختصاص داده شده، در حقیقت همان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اظهار می دارد که مقررات آن با </w:t>
      </w:r>
    </w:p>
    <w:p>
      <w:pPr>
        <w:pStyle w:val="BookText"/>
        <w:rPr/>
      </w:pPr>
      <w:r>
        <w:rPr>
          <w:rFonts w:ascii="IRNazanin" w:hAnsi="IRNazanin" w:eastAsia="IRNazanin"/>
          <w:color w:val="111111"/>
          <w:sz w:val="28"/>
          <w:sz w:val="28"/>
          <w:szCs w:val="28"/>
          <w:rtl w:val="true"/>
          <w:lang w:bidi="fa-IR"/>
        </w:rPr>
        <w:t xml:space="preserve">کنوانسیونهای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حمایت از اموال فرهنگی در مخاصمات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مغایرت ندارد و هر نوع رفتار خصومت آمیز علیه اموال فرهنگی و اماکن مذهبی که میراث فرهنگی یا معنوی یک ملت را تشکیل می دهد و نیز هر نوع به کارگیری این اموال در جهت تقویت فعالیتهای نظامی را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ماده مربوط به حمایت از اموال فرهنگی، قبلا در کنوانسیون لاهه طرح</w:t>
      </w:r>
    </w:p>
    <w:p>
      <w:pPr>
        <w:pStyle w:val="BookText"/>
        <w:rPr/>
      </w:pPr>
      <w:r>
        <w:rPr>
          <w:rFonts w:ascii="IRNazanin" w:hAnsi="IRNazanin" w:eastAsia="IRNazanin"/>
          <w:color w:val="111111"/>
          <w:sz w:val="28"/>
          <w:sz w:val="28"/>
          <w:szCs w:val="28"/>
          <w:rtl w:val="true"/>
          <w:lang w:bidi="fa-IR"/>
        </w:rPr>
        <w:t xml:space="preserve">شده بود، در پیش نویس این پروتکل که اساس کنفرانس دیپلماتیک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داد، گنجانده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این ماده، که در جریان کنفرانس پیشنهاد گردید، مفید تشخیص داده شد؛ زیرا تعدادی از کشورها به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متعهد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کنفرانس دیپلماتیک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محتوای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مسایل جنجال برانگیز</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هیأتهای نمایندگی کشورها بر این باور بودند که مقررات راجع به حمایت از اشیای فرهنگی نباید در پروتکلی گنجانده شود که همزمان بسیاری از مقررات مربوط به حمایت از قربانیان انسانی مناقشات مسلحانه غیر بین المللی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مجموع محتویات پروتکل، چنین اظهار نظر می شد که درج این مقررات به برقراری یک تعادل مناسب کمک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ارجاع صریح این پروتکل به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لاهه، که نظریات کاملا متفاوتی را سبب می شد، بویژه جلب توجه به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مربوط به اجرای کنوانسیون در مورد مناقشات مسلحانه غیر بین المللی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این پروتکل، شرایط اجرای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را درباره طرفهای این کنوانسیون و پروتکل دوم تغییر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وضعیتهایی که صریحا از قلمرو این پروتکل خارج شده است، تحت پوشش و شمول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قرار می گیرد که در مورد تمام مناقشات مسلحانه غیر بین المللی در داخل سرزمین یکی از کشورهای عضو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دیگر عبارت بدون آنکه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صورت بروز تعارض بين مقررات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کنوانسیون، مفاد کنوانسیون راجح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برای کشورهای متعهد به پروتکل که در عین حال به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متعهدند، توسل </w:t>
      </w:r>
    </w:p>
    <w:p>
      <w:pPr>
        <w:pStyle w:val="BookText"/>
        <w:rPr/>
      </w:pPr>
      <w:r>
        <w:rPr>
          <w:rFonts w:ascii="IRNazanin" w:hAnsi="IRNazanin" w:eastAsia="IRNazanin"/>
          <w:color w:val="111111"/>
          <w:sz w:val="28"/>
          <w:sz w:val="28"/>
          <w:szCs w:val="28"/>
          <w:rtl w:val="true"/>
          <w:lang w:bidi="fa-IR"/>
        </w:rPr>
        <w:t xml:space="preserve">جستن و استناد کردن به ضرورت نظامی گری همچنان مجاز است، گرچه ماده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پروتکل هرگونه رفتار خصمانه را مطلقا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علاوه بر منع ارتکاب هر نوع رفتار خصمانه علیه موضوعات</w:t>
      </w:r>
    </w:p>
    <w:p>
      <w:pPr>
        <w:pStyle w:val="BookText"/>
        <w:rPr/>
      </w:pPr>
      <w:r>
        <w:rPr>
          <w:rFonts w:ascii="IRNazanin" w:hAnsi="IRNazanin" w:eastAsia="IRNazanin"/>
          <w:color w:val="111111"/>
          <w:sz w:val="28"/>
          <w:sz w:val="28"/>
          <w:szCs w:val="28"/>
          <w:rtl w:val="true"/>
          <w:lang w:bidi="fa-IR"/>
        </w:rPr>
        <w:t>فرهنگی و اماکن مذهبی، استفاده از اشیای تحت حمایت، در جهت تقویت فعالیتهای</w:t>
      </w:r>
    </w:p>
    <w:p>
      <w:pPr>
        <w:pStyle w:val="BookText"/>
        <w:rPr/>
      </w:pPr>
      <w:r>
        <w:rPr>
          <w:rFonts w:ascii="IRNazanin" w:hAnsi="IRNazanin" w:eastAsia="IRNazanin"/>
          <w:color w:val="111111"/>
          <w:sz w:val="28"/>
          <w:sz w:val="28"/>
          <w:szCs w:val="28"/>
          <w:rtl w:val="true"/>
          <w:lang w:bidi="fa-IR"/>
        </w:rPr>
        <w:t>نظامی را نیز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اشیایی در جهت تقویت فعالیتهای نظامی مورد</w:t>
      </w:r>
    </w:p>
    <w:p>
      <w:pPr>
        <w:pStyle w:val="BookText"/>
        <w:rPr/>
      </w:pPr>
      <w:r>
        <w:rPr>
          <w:rFonts w:ascii="IRNazanin" w:hAnsi="IRNazanin" w:eastAsia="IRNazanin"/>
          <w:color w:val="111111"/>
          <w:sz w:val="28"/>
          <w:sz w:val="28"/>
          <w:szCs w:val="28"/>
          <w:rtl w:val="true"/>
          <w:lang w:bidi="fa-IR"/>
        </w:rPr>
        <w:t>استفاده قرار گیرد، آنگاه این سؤال مطرح می شود که آیا حق حمله به آنها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چنین موردی را پیش بینی نکرده است، اما با توجه به اینکه این اشیا دارای ارزش استثنایی و جهانی است، نباید چنین حقی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سلب مصونیت در موردی که از وضعیت مورد حمایت سوء استفاده شود، نسبت به کشورهای متعهد به پروتکل که در عین حال به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متعهدند، همچنان قابل اجراست و این حقیقت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پروتکل به مفاد کنوانسیون لطمه ای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حقوق مراجع ذی صلاحیت را نسبت به تعقیب و مجازات جرایم کیفری ناشی از درگیریهای مسلحانه از بین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در جهت تکمیل و توسعه پاراگراف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اصولی را که باید در طول جریان تعقیب و محاکمه مراعات شود، وضع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نقض مقررات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کنوانسیونهای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 و پروتکل دوم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تخلفات شدیدی که مشمول صلاحیت قضایی مراجع جهانی است، به شمار نیامده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زیرا عموما اعتقاد بر این است که در وضع کنونی توسعه حقوقی، مقررات نقض جدی فقط در مورد جرایمی اجرا می شود که در هنگام مخاصمات مسلحانه بین المللی به وقوع پیوسته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این که جرایم خاصی که در مناقشات مسلحانه داخلی ارتکاب یافته است، نقض شدید تلقی شود، را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نویس جنایات علیه صلح و امنیت نوع بشر، که باید در هر دو مورد مناقشات مسلحانه بین المللی و غیر بین المللی اجرا شود،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عمدی به اموالی را که دارای ارزش </w:t>
      </w:r>
      <w:bookmarkStart w:id="634" w:name="pg6894_74744"/>
    </w:p>
    <w:p>
      <w:pPr>
        <w:pStyle w:val="BookText"/>
        <w:rPr/>
      </w:pPr>
      <w:bookmarkEnd w:id="634"/>
      <w:r>
        <w:rPr>
          <w:rFonts w:ascii="IRNazanin" w:hAnsi="IRNazanin" w:eastAsia="IRNazanin"/>
          <w:color w:val="111111"/>
          <w:sz w:val="28"/>
          <w:sz w:val="28"/>
          <w:szCs w:val="28"/>
          <w:rtl w:val="true"/>
          <w:lang w:bidi="fa-IR"/>
        </w:rPr>
        <w:t>استثنایی مذهبی، تاریخی یا فرهنگی است، در ردیف جنایات فوق العاده شدید جنگی قرار داده است</w:t>
      </w:r>
      <w:r>
        <w:rPr>
          <w:rFonts w:eastAsia="IRNazanin" w:cs="IRNazanin"/>
          <w:color w:val="111111"/>
          <w:sz w:val="28"/>
          <w:szCs w:val="28"/>
          <w:rtl w:val="true"/>
          <w:lang w:bidi="fa-IR"/>
        </w:rPr>
        <w:t>.</w:t>
      </w:r>
    </w:p>
    <w:p>
      <w:pPr>
        <w:pStyle w:val="Heading4"/>
        <w:numPr>
          <w:ilvl w:val="3"/>
          <w:numId w:val="1"/>
        </w:numPr>
        <w:rPr/>
      </w:pPr>
      <w:bookmarkStart w:id="635" w:name="__RefHeading___Toc1440702_372815092"/>
      <w:bookmarkStart w:id="636" w:name="_Toc237"/>
      <w:bookmarkEnd w:id="635"/>
      <w:r>
        <w:rPr>
          <w:rtl w:val="true"/>
        </w:rPr>
        <w:t>دیگر توافق نامه های بین المللی مربوط به بحث</w:t>
      </w:r>
      <w:bookmarkEnd w:id="636"/>
    </w:p>
    <w:p>
      <w:pPr>
        <w:pStyle w:val="BookText"/>
        <w:rPr/>
      </w:pPr>
      <w:r>
        <w:rPr>
          <w:rFonts w:ascii="IRNazanin" w:hAnsi="IRNazanin" w:eastAsia="IRNazanin"/>
          <w:color w:val="111111"/>
          <w:sz w:val="28"/>
          <w:sz w:val="28"/>
          <w:szCs w:val="28"/>
          <w:rtl w:val="true"/>
          <w:lang w:bidi="fa-IR"/>
        </w:rPr>
        <w:t xml:space="preserve">علاوه بر توافق نامه های بین المللی که مورد تجزیه و تحلیل قرار گرفت، دو کنوانسیون جهانی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مختص به حمایت از اموال فرهنگی در خلال درگیری مسلحانه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مقرراتی درباره موضوع مورد بحث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درباره شیوه های جلوگیری از ورود و خروج غیر قانونی و نیز انتقال مالکیت اموال 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برای حمایت و حفاظت از میراث فرهنگی و طبیعی</w:t>
      </w:r>
    </w:p>
    <w:p>
      <w:pPr>
        <w:pStyle w:val="BookText"/>
        <w:rPr/>
      </w:pP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که از حیث حمایت از اموال فرهنگی در زمان صلح</w:t>
      </w:r>
    </w:p>
    <w:p>
      <w:pPr>
        <w:pStyle w:val="BookText"/>
        <w:rPr/>
      </w:pPr>
      <w:r>
        <w:rPr>
          <w:rFonts w:ascii="IRNazanin" w:hAnsi="IRNazanin" w:eastAsia="IRNazanin"/>
          <w:color w:val="111111"/>
          <w:sz w:val="28"/>
          <w:sz w:val="28"/>
          <w:szCs w:val="28"/>
          <w:rtl w:val="true"/>
          <w:lang w:bidi="fa-IR"/>
        </w:rPr>
        <w:t>اهمیت عمده ای دارد، سند بسیار مهمی درباره سرنوشت اموال فرهنگی منقول که از</w:t>
      </w:r>
    </w:p>
    <w:p>
      <w:pPr>
        <w:pStyle w:val="BookText"/>
        <w:rPr/>
      </w:pPr>
      <w:r>
        <w:rPr>
          <w:rFonts w:ascii="IRNazanin" w:hAnsi="IRNazanin" w:eastAsia="IRNazanin"/>
          <w:color w:val="111111"/>
          <w:sz w:val="28"/>
          <w:sz w:val="28"/>
          <w:szCs w:val="28"/>
          <w:rtl w:val="true"/>
          <w:lang w:bidi="fa-IR"/>
        </w:rPr>
        <w:t>سرزمینهای اشغالی به غارت رفته اند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کنوانسیون ممنوع کردن داد و ستد بین المللی غیرقانونی اموال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دستیابی به این هدف، طرفهای این کنوانسیون متعهد می شوند از ورود اموال فرهنگی که به طور غیر مجاز خارج شده، به کشور خود جلوگیری و زمینه استرداد آن را به دولت صاحب مال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حالات احتمالی جا به جایی غیر قانونی اشیای فرهنگی در زمان صلح، مقررات این کنوانسیون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و منتقل کردن مالکیت اموال فرهنگی که تحت تأثير الزامات ناشی از اشغال یک کشور توسط نیروی بیگانه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قابل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کنوانسیون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حمایت و مراقبت از اشیای فرهنگی و طبیعی 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مکانهایی است که ارزش چشمگیر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مسؤولیت دولتهای طرف معاهده، </w:t>
      </w:r>
    </w:p>
    <w:p>
      <w:pPr>
        <w:pStyle w:val="BookText"/>
        <w:rPr/>
      </w:pPr>
      <w:r>
        <w:rPr>
          <w:rFonts w:ascii="IRNazanin" w:hAnsi="IRNazanin" w:eastAsia="IRNazanin"/>
          <w:color w:val="111111"/>
          <w:sz w:val="28"/>
          <w:sz w:val="28"/>
          <w:szCs w:val="28"/>
          <w:rtl w:val="true"/>
          <w:lang w:bidi="fa-IR"/>
        </w:rPr>
        <w:t>جهت حمایت و نگهداری میراث فرهنگی و طبیعی که در سرزمینشان قرار گرفته، این کنوانسیون یک نظام بین المللی تشریک مساعی و کمک را با همان هدف پیش بینی</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توجه خود را بر حمایت از اشیایی که در فهرست میراث جهانی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 کرده، و تأسیس یک کمیته میراث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بودجه میراث جهانی را پیش بینی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فهرست میراث جهانی، مسؤولیت تعیین فهرست آن دسته از میراث جهانی که در معرض خطر هستند نیز بر عهده این کمیته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می تواند شامل اشیایی که در فهرست میراث جهانی هستند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اشیایی که در معرض خطری جدی و خاص قرار گرفته، و دولتهایی که این اشیا در</w:t>
      </w:r>
    </w:p>
    <w:p>
      <w:pPr>
        <w:pStyle w:val="BookText"/>
        <w:rPr/>
      </w:pPr>
      <w:r>
        <w:rPr>
          <w:rFonts w:ascii="IRNazanin" w:hAnsi="IRNazanin" w:eastAsia="IRNazanin"/>
          <w:color w:val="111111"/>
          <w:sz w:val="28"/>
          <w:sz w:val="28"/>
          <w:szCs w:val="28"/>
          <w:rtl w:val="true"/>
          <w:lang w:bidi="fa-IR"/>
        </w:rPr>
        <w:t>سرزمین آنها واقع شده، درخواست کمک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دلایلی که گنجاندن در این</w:t>
      </w:r>
    </w:p>
    <w:p>
      <w:pPr>
        <w:pStyle w:val="BookText"/>
        <w:rPr/>
      </w:pPr>
      <w:r>
        <w:rPr>
          <w:rFonts w:ascii="IRNazanin" w:hAnsi="IRNazanin" w:eastAsia="IRNazanin"/>
          <w:color w:val="111111"/>
          <w:sz w:val="28"/>
          <w:sz w:val="28"/>
          <w:szCs w:val="28"/>
          <w:rtl w:val="true"/>
          <w:lang w:bidi="fa-IR"/>
        </w:rPr>
        <w:t xml:space="preserve">فهرست را موجه می سازد، ماده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پاراگراف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یا خطر وقوع یک برخورد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اگر چه این کنوانسیون در درجه اول، مختص حمایت از باارزشترین</w:t>
      </w:r>
    </w:p>
    <w:p>
      <w:pPr>
        <w:pStyle w:val="BookText"/>
        <w:rPr/>
      </w:pPr>
      <w:r>
        <w:rPr>
          <w:rFonts w:ascii="IRNazanin" w:hAnsi="IRNazanin" w:eastAsia="IRNazanin"/>
          <w:color w:val="111111"/>
          <w:sz w:val="28"/>
          <w:sz w:val="28"/>
          <w:szCs w:val="28"/>
          <w:rtl w:val="true"/>
          <w:lang w:bidi="fa-IR"/>
        </w:rPr>
        <w:t>اشیای فرهنگی در زمان صلح است، اما حمایت از این اشیا در زمان برخورد مسلحانه هم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توافق نامه های مربوط به حفظ اشیای فرهنگی، توافق نامه کمیسیون حفظ و</w:t>
      </w:r>
    </w:p>
    <w:p>
      <w:pPr>
        <w:pStyle w:val="BookText"/>
        <w:rPr/>
      </w:pPr>
      <w:r>
        <w:rPr>
          <w:rFonts w:ascii="IRNazanin" w:hAnsi="IRNazanin" w:eastAsia="IRNazanin"/>
          <w:color w:val="111111"/>
          <w:sz w:val="28"/>
          <w:sz w:val="28"/>
          <w:szCs w:val="28"/>
          <w:rtl w:val="true"/>
          <w:lang w:bidi="fa-IR"/>
        </w:rPr>
        <w:t xml:space="preserve">نگهداری آثار ملی، ضميمه توافق نامه ساختار کلی صلح در بوسنی و هرزگوین،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نامه میان سه طرف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بوسنی و هرزگوین، فدراسیون بوسنی و هرزگوین و جمهوری صربستان بر این اساس، کمیسیونی برای حفظ و نگهداری آثار ملی تأسیس شد که وظیفه آن دریافت تقاضاهای رسیده برای تعیین اموال دارای اهمیت فرهنگی، تاریخی، دینی یا نژادی به عنوان آثار ملی و تصمیم گیری درباره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موردی که کمیسیون تصمیمی صادر کند و اموالی را به عنوان آثار ملی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برگزیند، طرفی که آن اموال در قلمرو وی واقع شده، باید با تمام توان اقدامات مناسب قانونی، علمی، فنی، اداری و مالی لازم را برای حمایت، حفظ و مرمت آن اموال انجام </w:t>
      </w:r>
      <w:bookmarkStart w:id="637" w:name="pg6894_74746"/>
    </w:p>
    <w:p>
      <w:pPr>
        <w:pStyle w:val="BookText"/>
        <w:rPr/>
      </w:pPr>
      <w:bookmarkEnd w:id="637"/>
      <w:r>
        <w:rPr>
          <w:rFonts w:ascii="IRNazanin" w:hAnsi="IRNazanin" w:eastAsia="IRNazanin"/>
          <w:color w:val="111111"/>
          <w:sz w:val="28"/>
          <w:sz w:val="28"/>
          <w:szCs w:val="28"/>
          <w:rtl w:val="true"/>
          <w:lang w:bidi="fa-IR"/>
        </w:rPr>
        <w:t>دهد و از ارتکاب هر اقدام عمدی که به اموال زیان رساند،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هدف این توافق نامه، حمایت از آثار تاریخی منقول یا غیر منقول است که کلا یا جزئا در طی برخورد مسلحانه محفوظ مانده اند</w:t>
      </w:r>
      <w:r>
        <w:rPr>
          <w:rFonts w:eastAsia="IRNazanin" w:cs="IRNazanin"/>
          <w:color w:val="111111"/>
          <w:sz w:val="28"/>
          <w:szCs w:val="28"/>
          <w:rtl w:val="true"/>
          <w:lang w:bidi="fa-IR"/>
        </w:rPr>
        <w:t>.</w:t>
      </w:r>
    </w:p>
    <w:p>
      <w:pPr>
        <w:pStyle w:val="Heading4"/>
        <w:numPr>
          <w:ilvl w:val="3"/>
          <w:numId w:val="1"/>
        </w:numPr>
        <w:rPr/>
      </w:pPr>
      <w:bookmarkStart w:id="638" w:name="__RefHeading___Toc1440704_372815092"/>
      <w:bookmarkStart w:id="639" w:name="_Toc238"/>
      <w:bookmarkEnd w:id="638"/>
      <w:r>
        <w:rPr>
          <w:rtl w:val="true"/>
        </w:rPr>
        <w:t xml:space="preserve">اصلاح کنوانسیون </w:t>
      </w:r>
      <w:r>
        <w:rPr/>
        <w:t>1954</w:t>
      </w:r>
      <w:r>
        <w:rPr>
          <w:rtl w:val="true"/>
        </w:rPr>
        <w:t xml:space="preserve"> </w:t>
      </w:r>
      <w:r>
        <w:rPr>
          <w:rtl w:val="true"/>
        </w:rPr>
        <w:t>لاهه</w:t>
      </w:r>
      <w:bookmarkEnd w:id="639"/>
    </w:p>
    <w:p>
      <w:pPr>
        <w:pStyle w:val="BookText"/>
        <w:rPr/>
      </w:pPr>
      <w:r>
        <w:rPr>
          <w:rFonts w:ascii="IRNazanin" w:hAnsi="IRNazanin" w:eastAsia="IRNazanin"/>
          <w:color w:val="111111"/>
          <w:sz w:val="28"/>
          <w:sz w:val="28"/>
          <w:szCs w:val="28"/>
          <w:rtl w:val="true"/>
          <w:lang w:bidi="fa-IR"/>
        </w:rPr>
        <w:t>به دنبال تجارب حاصل از برخوردهای مسلحانه اخیر، بویژه در کویت، کرواسی و</w:t>
      </w:r>
    </w:p>
    <w:p>
      <w:pPr>
        <w:pStyle w:val="BookText"/>
        <w:rPr/>
      </w:pPr>
      <w:r>
        <w:rPr>
          <w:rFonts w:ascii="IRNazanin" w:hAnsi="IRNazanin" w:eastAsia="IRNazanin"/>
          <w:color w:val="111111"/>
          <w:sz w:val="28"/>
          <w:sz w:val="28"/>
          <w:szCs w:val="28"/>
          <w:rtl w:val="true"/>
          <w:lang w:bidi="fa-IR"/>
        </w:rPr>
        <w:t xml:space="preserve">بوسنی و هرزگوین، یونسکو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مطالعه ای درباره تحقق و کارآیی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هلند بر آن شد تا بررسی و نقد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را به عنوان بخشی از کمک خود به دهه بین المللی حقوق بین الملل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 و یونسکو یک اجلاس کارشناسان را در لاهه برگزار کردند که وظیفه آن راهنمایی و هدایت فعالیتهای آتی یونسکو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نتایج اجلاس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لاهه، یونسکو ضرورت اجباری کردن اعمال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لاهه، با نشستهای تخصصی در </w:t>
      </w:r>
      <w:r>
        <w:rPr>
          <w:rFonts w:eastAsia="Times New Roman" w:cs="Times New Roman" w:ascii="Times New Roman" w:hAnsi="Times New Roman"/>
          <w:color w:val="111111"/>
          <w:sz w:val="28"/>
          <w:szCs w:val="28"/>
          <w:lang w:val="en-US" w:bidi="en-US"/>
        </w:rPr>
        <w:t>Lauswolt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پاریس در اواخر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نشستهای تخصصی معایب عمده کنوانسیون و نقایصی را که در اجرای این کنوانسیون به هنگام برخوردهای مسلحانه اخیر بروز کرده بود،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اجلاسهای فوق توجه ویژه ای به موارد ذیل مبذول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به دست آوردن حمایت ویژه، آیین نامه چگونگی نظارت بر نحوه اجرای</w:t>
      </w:r>
    </w:p>
    <w:p>
      <w:pPr>
        <w:pStyle w:val="BookText"/>
        <w:rPr/>
      </w:pPr>
      <w:r>
        <w:rPr>
          <w:rFonts w:ascii="IRNazanin" w:hAnsi="IRNazanin" w:eastAsia="IRNazanin"/>
          <w:color w:val="111111"/>
          <w:sz w:val="28"/>
          <w:sz w:val="28"/>
          <w:szCs w:val="28"/>
          <w:rtl w:val="true"/>
          <w:lang w:bidi="fa-IR"/>
        </w:rPr>
        <w:t>کنوانسیون، معافیت ضرورتهای نظامی گری و بالاخره جلوگیری از نقض کنوانسیون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حمایت ویژه از اموال فرهنگی، توافق مشترکی وجود داشت مبنی بر اینکه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پیش بینی شده در کنوانسیون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باید بهبود یافته، واقع بینانه و ساده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به توافق رسیدند که شرایط به دست آوردن حمایت ویژه باید با سعه صدر بیشتری تعیین و آیین نامه ثبت نام آن نیز ساده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کنترل کردن نحوه اجرای </w:t>
      </w:r>
    </w:p>
    <w:p>
      <w:pPr>
        <w:pStyle w:val="BookText"/>
        <w:rPr/>
      </w:pPr>
      <w:r>
        <w:rPr>
          <w:rFonts w:ascii="IRNazanin" w:hAnsi="IRNazanin" w:eastAsia="IRNazanin"/>
          <w:color w:val="111111"/>
          <w:sz w:val="28"/>
          <w:sz w:val="28"/>
          <w:szCs w:val="28"/>
          <w:rtl w:val="true"/>
          <w:lang w:bidi="fa-IR"/>
        </w:rPr>
        <w:t>کمیسیون، خاطرنشان شد که رویه اعزام نمایندگان شخص مدیرکل، کم کم جایگزین نظام ناکارآمد نماینده کل یا کشورهای حمایت کننده گردد، اگر چه هیچ مقررهای آنان را جهت کنترل نحوه اجرای کنوانسیون به رسمیت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شد تا مبنای اقدامات مدیرکل در موقعیتهای اضطراری تقویت شود و سیستم کنونی کنترل که در آیین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اجرای کنوانسیون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است، حذف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ایجاد یک کمیته، دفتر یا هیأت بین المللی دیگر که مدیرکل را در انجام وظایفش حمایت کند، نیز مورد بحث و گفتگو قرار گرفت، اما توافق شفافی درین مسأله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معافیت ضرورت نظامی باعث به وجود آمدن آرای متعارض کارشناسان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حالی که اکثریت موافق حذف آن بودند، به نظر می رسید برخی کارشناسان حاضر به دست کشیدن از آن نیستند، اگر چه آنان نیز تأکید کردند که معافیت ضرورت نظامی باید به حالات خاصی که می توان در کنوانسیون تعریف کرد،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درک و هضم مخالفت با حذف کامل آن معافیت دشوار است، زیرا قبلا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درج نکردن آن در مقررات پروتکلهای الحاقی به کنوانسیونهای ژنو، که به حمایت از اموال فرهنگی مربوط می شد، توافق عامی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تا حدودی درباره مساله جلوگیری از نقض کنوانسیون بحث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نویس </w:t>
      </w:r>
      <w:r>
        <w:rPr>
          <w:rFonts w:eastAsia="Times New Roman" w:cs="Times New Roman" w:ascii="Times New Roman" w:hAnsi="Times New Roman"/>
          <w:color w:val="111111"/>
          <w:sz w:val="28"/>
          <w:szCs w:val="28"/>
          <w:lang w:val="en-US" w:bidi="en-US"/>
        </w:rPr>
        <w:t>Lauswolt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اعمالی را که در جهت نقض مقررات کنوانسیون انجام می گیرد طبقه بندی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نقضهای جدی، به نابودی، حیف و میل یا آسیب رساندن عمدی و مغرضانه به آن دسته از اموال فرهنگی که مشمول حمایت خاص هستند، منحصر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آن دسته از اموال فرهنگی که تحت حمایت ویژه نیستند، نوع دیگری از نقض کنوانسیون تلقی شده و مشمول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صلاحیت،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نویس </w:t>
      </w:r>
      <w:r>
        <w:rPr>
          <w:rFonts w:eastAsia="Times New Roman" w:cs="Times New Roman" w:ascii="Times New Roman" w:hAnsi="Times New Roman"/>
          <w:color w:val="111111"/>
          <w:sz w:val="28"/>
          <w:szCs w:val="28"/>
          <w:lang w:val="en-US" w:bidi="en-US"/>
        </w:rPr>
        <w:t>Lauswolt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مقرر می دارد که کشورهای عضو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کنوانسیون متعهد می شوند اشخاصی را که در سرزمین آنها مسؤول یا متهم به ارتکاب اعمال ناقض مقررات کنوانسیون هستند، تحت تعقیب، محاکمه و مجازات قرار داده یا آنها را مستردکنند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تأسیس و صلاحیت اجباری یک داوری بین المللی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باید مشخص کرد که آیا صلاحیت پیشنهاد شده تنها محدود به نقضهای </w:t>
      </w:r>
      <w:bookmarkStart w:id="640" w:name="pg6894_74748"/>
    </w:p>
    <w:p>
      <w:pPr>
        <w:pStyle w:val="BookText"/>
        <w:rPr/>
      </w:pPr>
      <w:bookmarkEnd w:id="640"/>
      <w:r>
        <w:rPr>
          <w:rFonts w:ascii="IRNazanin" w:hAnsi="IRNazanin" w:eastAsia="IRNazanin"/>
          <w:color w:val="111111"/>
          <w:sz w:val="28"/>
          <w:sz w:val="28"/>
          <w:szCs w:val="28"/>
          <w:rtl w:val="true"/>
          <w:lang w:bidi="fa-IR"/>
        </w:rPr>
        <w:t>شدید است یا به دیگر تخلفات جدی مقررات کنوانسیون هم مربوط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نویس نهایی کنوانسیون بازنگری شده، باید توسط شمار محدودی از کارشناسان بین المللی، بر اساس گزارشهای اجلاس کارشناسان که در سالهای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شرح و تفسیر شود</w:t>
      </w:r>
      <w:r>
        <w:rPr>
          <w:rFonts w:eastAsia="IRNazanin" w:cs="IRNazanin"/>
          <w:color w:val="111111"/>
          <w:sz w:val="28"/>
          <w:szCs w:val="28"/>
          <w:rtl w:val="true"/>
          <w:lang w:bidi="fa-IR"/>
        </w:rPr>
        <w:t>.</w:t>
      </w:r>
    </w:p>
    <w:p>
      <w:pPr>
        <w:pStyle w:val="Heading4"/>
        <w:numPr>
          <w:ilvl w:val="3"/>
          <w:numId w:val="1"/>
        </w:numPr>
        <w:rPr/>
      </w:pPr>
      <w:bookmarkStart w:id="641" w:name="__RefHeading___Toc1440706_372815092"/>
      <w:bookmarkStart w:id="642" w:name="_Toc239"/>
      <w:bookmarkEnd w:id="641"/>
      <w:r>
        <w:rPr>
          <w:rtl w:val="true"/>
        </w:rPr>
        <w:t>دادگاه کیفری بین المللی درباره یوگسلاوی سابق</w:t>
      </w:r>
      <w:bookmarkEnd w:id="642"/>
    </w:p>
    <w:p>
      <w:pPr>
        <w:pStyle w:val="BookText"/>
        <w:rPr/>
      </w:pPr>
      <w:r>
        <w:rPr>
          <w:rFonts w:ascii="IRNazanin" w:hAnsi="IRNazanin" w:eastAsia="IRNazanin"/>
          <w:color w:val="111111"/>
          <w:sz w:val="28"/>
          <w:sz w:val="28"/>
          <w:szCs w:val="28"/>
          <w:rtl w:val="true"/>
          <w:lang w:bidi="fa-IR"/>
        </w:rPr>
        <w:t xml:space="preserve">ظلمهای شدیدی که در قلمرو یوگسلاوی سابق رخ داد،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تأسیس دادگاه کیفری بین المللی برای تعقیب افرادی که حقوق بین المللی بشردوستانه را، در سرزمین یوگسلاوی سابق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تا تشکیل دادگاه مذکور به طور جدی نقض کرده بودند،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توسط شورای امنیت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مذکور پس از احراز این که نقض حقوق بین المللی بشر دوستانه در قلمرو یوگسلاوی سابق سبب تهدید صلح و امنیت بین المللی شده است بر اساس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و اختیارات تفویض شده وارد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قطعنامه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دبیرکل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خود را در سوم ماه مه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یاد شده پیش نویس قانون دادگاه مزبور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با قطعنامه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را تأسیس و قانون آن را همان طور که دبیرکل ارائه داشته بود بدون هیچ گونه تغییری تصویب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مواد یک تا پنج این قانون، دادگاه در مورد رسیدگی به جرایم جنگی و</w:t>
      </w:r>
    </w:p>
    <w:p>
      <w:pPr>
        <w:pStyle w:val="BookText"/>
        <w:rPr/>
      </w:pPr>
      <w:r>
        <w:rPr>
          <w:rFonts w:ascii="IRNazanin" w:hAnsi="IRNazanin" w:eastAsia="IRNazanin"/>
          <w:color w:val="111111"/>
          <w:sz w:val="28"/>
          <w:sz w:val="28"/>
          <w:szCs w:val="28"/>
          <w:rtl w:val="true"/>
          <w:lang w:bidi="fa-IR"/>
        </w:rPr>
        <w:t xml:space="preserve">جرایم علیه انسانیت، از جمله کشتار جمعی که از اول ژانویه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اتفاق افتاده باشد، صلاحیت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صلاحیت رسیدگی به تخلفات از حقوق و عرف جنگ را برای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دادگاه ایجاد می کند و لیست مشروحی از این تخلفات را ارائه می دهد که در آن عناوین </w:t>
      </w:r>
    </w:p>
    <w:p>
      <w:pPr>
        <w:pStyle w:val="BookText"/>
        <w:rPr/>
      </w:pPr>
      <w:r>
        <w:rPr>
          <w:rFonts w:ascii="IRNazanin" w:hAnsi="IRNazanin" w:eastAsia="IRNazanin"/>
          <w:color w:val="111111"/>
          <w:sz w:val="28"/>
          <w:sz w:val="28"/>
          <w:szCs w:val="28"/>
          <w:rtl w:val="true"/>
          <w:lang w:bidi="fa-IR"/>
        </w:rPr>
        <w:t>ذیل صریحا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تخریب یا ایراد خسارت عمدی به مؤسساتی که</w:t>
      </w:r>
    </w:p>
    <w:p>
      <w:pPr>
        <w:pStyle w:val="BookText"/>
        <w:rPr/>
      </w:pPr>
      <w:r>
        <w:rPr>
          <w:rFonts w:ascii="IRNazanin" w:hAnsi="IRNazanin" w:eastAsia="IRNazanin"/>
          <w:color w:val="111111"/>
          <w:sz w:val="28"/>
          <w:sz w:val="28"/>
          <w:szCs w:val="28"/>
          <w:rtl w:val="true"/>
          <w:lang w:bidi="fa-IR"/>
        </w:rPr>
        <w:t>خاص مسائل مذهبی، آموزشی، علمی و هنری هستند، آثار تاریخی، هنری و علمی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صریح از اشیای فرهنگی یاد می کند،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شامل تخریب و ضبط اموال فرهنگی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در حالی که فهرستی از نقضهای شدیدی را، که در کنوانسیونهای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 آمده است، بر می شمارد، تعقیب عاملان تخریب وسیع و ضبط اموال را، به طوری که با ضرورت نظامی قابل توجیه نباشد و به طور غیر قانونی و با سوء نیت صورت گرفته باشد، مقرر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قانون مذکور به کنوانسیون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پروتکلهای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ندارد و</w:t>
      </w:r>
    </w:p>
    <w:p>
      <w:pPr>
        <w:pStyle w:val="BookText"/>
        <w:rPr/>
      </w:pPr>
      <w:r>
        <w:rPr>
          <w:rFonts w:ascii="IRNazanin" w:hAnsi="IRNazanin" w:eastAsia="IRNazanin"/>
          <w:color w:val="111111"/>
          <w:sz w:val="28"/>
          <w:sz w:val="28"/>
          <w:szCs w:val="28"/>
          <w:rtl w:val="true"/>
          <w:lang w:bidi="fa-IR"/>
        </w:rPr>
        <w:t>اعمال قواعدی را مقرر می دارد که بدون تردید جزئی از عرف حقوق بین الملل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سعی شده است که از بروز مشکلات ناشی از پیوستن دولتهای جانشین یوگسلاوی سابق به معاهدات معینی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اینکه شورای امنیت، گزارش دبیرکل را بدون ایجاد تغییری در آن تصویب</w:t>
      </w:r>
    </w:p>
    <w:p>
      <w:pPr>
        <w:pStyle w:val="BookText"/>
        <w:rPr/>
      </w:pPr>
      <w:r>
        <w:rPr>
          <w:rFonts w:ascii="IRNazanin" w:hAnsi="IRNazanin" w:eastAsia="IRNazanin"/>
          <w:color w:val="111111"/>
          <w:sz w:val="28"/>
          <w:sz w:val="28"/>
          <w:szCs w:val="28"/>
          <w:rtl w:val="true"/>
          <w:lang w:bidi="fa-IR"/>
        </w:rPr>
        <w:t>کرد، محدود کردن قانون مذکور به حقوق بین الملل عرفي سبب صدور بیانیه های</w:t>
      </w:r>
    </w:p>
    <w:p>
      <w:pPr>
        <w:pStyle w:val="BookText"/>
        <w:rPr/>
      </w:pPr>
      <w:r>
        <w:rPr>
          <w:rFonts w:ascii="IRNazanin" w:hAnsi="IRNazanin" w:eastAsia="IRNazanin"/>
          <w:color w:val="111111"/>
          <w:sz w:val="28"/>
          <w:sz w:val="28"/>
          <w:szCs w:val="28"/>
          <w:rtl w:val="true"/>
          <w:lang w:bidi="fa-IR"/>
        </w:rPr>
        <w:t xml:space="preserve">تفسیری از طرف فرانسه، انگلستان و آمریکا در زمان رأی دادن به قطعنامه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انتقادهایی به نظریه مزبور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بیانیه های تفسیری، نمایندگان سه کشور مذکور پذیرفتند که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دادگاه که لیست مشخصی از حقوق و عرف جنگ را بیان می دارد، تمام پیکره حقوق بشر دوستانه را، که در زمان وقوع جرایم مورد ادعا در سرزمین یوگسلاوی سابق در جریان بوده است،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حقوق آن دسته از تعهداتی است که به موجب توافقات حقوق بشر دوستانه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اظهارنظرهای مکتوب هم در همین راستا بودند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دادگاه در رأی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دعوای </w:t>
      </w:r>
      <w:r>
        <w:rPr>
          <w:rFonts w:eastAsia="Times New Roman" w:cs="Times New Roman" w:ascii="Times New Roman" w:hAnsi="Times New Roman"/>
          <w:color w:val="111111"/>
          <w:sz w:val="28"/>
          <w:szCs w:val="28"/>
          <w:lang w:val="en-US" w:bidi="en-US"/>
        </w:rPr>
        <w:t>Tadic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بیانیه های تفسیری مربوط به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 در شورای امنیت هنگام تصویب شدن قانون مذکور مطرح شده بود،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مکررا اظهار داشته است که تنها دلیل محدودیت این قانون به حقوق بین الملل عرفی در موردی که یکی از طرفهای درگیر به معاهده خاصی نپیوسته باشد، </w:t>
      </w:r>
      <w:bookmarkStart w:id="643" w:name="pg6894_74750"/>
    </w:p>
    <w:p>
      <w:pPr>
        <w:pStyle w:val="BookText"/>
        <w:rPr/>
      </w:pPr>
      <w:bookmarkEnd w:id="643"/>
      <w:r>
        <w:rPr>
          <w:rFonts w:ascii="IRNazanin" w:hAnsi="IRNazanin" w:eastAsia="IRNazanin"/>
          <w:color w:val="111111"/>
          <w:sz w:val="28"/>
          <w:sz w:val="28"/>
          <w:szCs w:val="28"/>
          <w:rtl w:val="true"/>
          <w:lang w:bidi="fa-IR"/>
        </w:rPr>
        <w:t>خودداری از نقض اصل قانونی بودن مجازاتهاست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دادگاه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حقوق بین الملل عرفی، هر معاهده ای که اولا، در زمان وقوع جرم مورد ادعا نسبت به طرفهای درگیر، مسلما الزام آور بوده باشد و ثاني، از معیارهای قطعی حقوق بین الملل عدول نشده باشد و یا با آنها در تعارض نباشد، از رایجترین و متداولترین قواعد حقوق بین الملل بشردوستانه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این تفسیر از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مؤثر واقع</w:t>
      </w:r>
    </w:p>
    <w:p>
      <w:pPr>
        <w:pStyle w:val="BookText"/>
        <w:rPr/>
      </w:pPr>
      <w:r>
        <w:rPr>
          <w:rFonts w:ascii="IRNazanin" w:hAnsi="IRNazanin" w:eastAsia="IRNazanin"/>
          <w:color w:val="111111"/>
          <w:sz w:val="28"/>
          <w:sz w:val="28"/>
          <w:szCs w:val="28"/>
          <w:rtl w:val="true"/>
          <w:lang w:bidi="fa-IR"/>
        </w:rPr>
        <w:t>شدن اقدام دادگاه نسبت به تعقیب اشخاص مرتکب جرم، کمک کند و شمول ضمنی</w:t>
      </w:r>
    </w:p>
    <w:p>
      <w:pPr>
        <w:pStyle w:val="BookText"/>
        <w:rPr/>
      </w:pP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لاهه و پروتکل شماره یک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توافق نامه های بین المللی قابل اجرا، ممکن سازد</w:t>
      </w:r>
      <w:r>
        <w:rPr>
          <w:rFonts w:eastAsia="IRNazanin" w:cs="IRNazanin"/>
          <w:color w:val="111111"/>
          <w:sz w:val="28"/>
          <w:szCs w:val="28"/>
          <w:rtl w:val="true"/>
          <w:lang w:bidi="fa-IR"/>
        </w:rPr>
        <w:t>.</w:t>
      </w:r>
    </w:p>
    <w:p>
      <w:pPr>
        <w:pStyle w:val="Heading4"/>
        <w:numPr>
          <w:ilvl w:val="3"/>
          <w:numId w:val="1"/>
        </w:numPr>
        <w:rPr/>
      </w:pPr>
      <w:bookmarkStart w:id="644" w:name="__RefHeading___Toc1440708_372815092"/>
      <w:bookmarkStart w:id="645" w:name="_Toc240"/>
      <w:bookmarkEnd w:id="644"/>
      <w:r>
        <w:rPr>
          <w:rtl w:val="true"/>
        </w:rPr>
        <w:t>نتیجه گیری</w:t>
      </w:r>
      <w:bookmarkEnd w:id="645"/>
    </w:p>
    <w:p>
      <w:pPr>
        <w:pStyle w:val="BookText"/>
        <w:rPr/>
      </w:pPr>
      <w:r>
        <w:rPr>
          <w:rFonts w:ascii="IRNazanin" w:hAnsi="IRNazanin" w:eastAsia="IRNazanin"/>
          <w:color w:val="111111"/>
          <w:sz w:val="28"/>
          <w:sz w:val="28"/>
          <w:szCs w:val="28"/>
          <w:rtl w:val="true"/>
          <w:lang w:bidi="fa-IR"/>
        </w:rPr>
        <w:t>وسعت تخریب و ضبط اشیای فرهنگی در جنگهای کرواسی و بوسنی و هرزگوین، منجر به این شد که بعضی از نویسندگان به این نتیجه برسند که مقررات بین المللی موجود مربوط به محافظت از اموال فرهنگی در درگیریهای مسلحانه، مؤثر و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بین المللی حمایت از اموال فرهنگی در هنگام وقوع درگیریهای مسلحانه، همان طور که در تحلیلهای قبلی نشان داده شد، نه تنها کافی نیست، بلکه نقصهای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بسیار جدی معاهده اصلی در این زمینه، یعنی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پذیرفتن ضرورت نظامی است، که این مطلب با موضوع و هدف خود معاهده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مسلحانه اخیر نارسایی جدی دیگری در کنوانسیون را به اثبات رساند؛ همان نقصی که سالهاست نظریه پردازان زیادی به آن اشاره کرده اند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ناکافی بودن مکانیسمهای کنترل برای اجرای کنوانسیون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که کمبودهای مذکور و نقایص دیگر موجود در کنوانسیون از طریق فرایند اصلاح برطرف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حمایت از اموال فرهنگی در زمان درگیریهای مسلحانه در پروتکل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یافته است و امکان سلب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فرهنگی در زمان جنگ به تحقق پارامترهای مشخصتری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ضرورت نظامی نمی تواند در این جا مورد استناد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سوءاستفاده از وضعیت مورد حمایت به عنوان توجیهی برای عدم مصونیت، توسط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شدن به هدف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نسبت به مفهوم ضرورت نظامی کمتر اغفال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پروتکل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درگیریهای مسلحانه داخلی مربوط است اصول اساسی نهفته در حمایت از اموال فرهنگی را به درگیریهای مسلحانه داخلی تسری می دهد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مقررات بین المللی مربوط به حفاظت از اموال فرهنگی در درگیریهای مسلحانه، اگر چه بتدریج در مثال بهبود یافتن است، اما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کافی بودن مقررات مزبور نمی تواند به طور مجزا از مجموعه قواعد مربوط به درگیریهای مسلحانه، که مقررات مذکور خود جزئی از آنهاست،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مقررات مولود مصالحه ای است که خود پیامدی اجتناب ناپذیر از نیاز شورا به کسب حمایت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وسیع از سوی دولتها پذیرفته نشوند، معاهدات مربوط به حقوق جنگ خاصیت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باید در نظر داشته باشیم که امکان یک نتیجه گیری واقعی تر از آنچه در ابتدای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وجود دارد و آن اینکه مقررات بین المللی که در حفاظت از اموال فرهنگی در درگیریهای مسلحانه اعمال می شود، به اندازه دیگر مقررات حقوقی قابل اعمال در مورد درگیریهای مسلحانه، دارای طبیعت مصالحته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هیچ یک از نقصهای بررسی شده موجود در معاهدات کنونی مربوط به حمایت از اموال فرهنگی در نزاعهای مسلحانه نمی تواند به عنوان توجیهی برای تخریب وسیع اشیای فرهنگی در درگیریهای مسلحانه اخیر مدنظر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مربوط به حمایت از اموال فرهنگی در نزاعهای مسلحانه عمدتا برای محافظت اموال فرهنگی از تأثیرات </w:t>
      </w:r>
    </w:p>
    <w:p>
      <w:pPr>
        <w:pStyle w:val="BookText"/>
        <w:rPr/>
      </w:pPr>
      <w:r>
        <w:rPr>
          <w:rFonts w:ascii="IRNazanin" w:hAnsi="IRNazanin" w:eastAsia="IRNazanin"/>
          <w:color w:val="111111"/>
          <w:sz w:val="28"/>
          <w:sz w:val="28"/>
          <w:szCs w:val="28"/>
          <w:rtl w:val="true"/>
          <w:lang w:bidi="fa-IR"/>
        </w:rPr>
        <w:t>جنبی جنگ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تخریب عمدی اشیای فرهنگی که به هیچ وجه نمی توانند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واقعأ نظامی طبقه بندی شوند یا با ضرورت نظامی قابل توجیه باشد، بوضوح نشان می دهد که در این گونه موارد میراث فرهنگی نشانه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در این مورد، از شهر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جنگ در کرواسی و بوسنی و هرزگوین، تسلط بر سرزمین و محو هر گونه مدرکی دال بر استمرار و اتصال فرهنگی و هویتی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با داشتن چنین هدفی در ذهن، مقررات بین المللی مربوط به حفاظت از اموال در درگیریهای مسلحانه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کاملتر از مقررات موجود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نقش برجسته ای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وجود سؤالاتی درباره کفایت و اجرای مقررات بین المللی در مورد محافظت از اموال فرهنگی در درگیریهای مسلحانه، وسعت تخریب و ضبط اشیای</w:t>
      </w:r>
    </w:p>
    <w:p>
      <w:pPr>
        <w:pStyle w:val="BookText"/>
        <w:rPr/>
      </w:pPr>
      <w:r>
        <w:rPr>
          <w:rFonts w:ascii="IRNazanin" w:hAnsi="IRNazanin" w:eastAsia="IRNazanin"/>
          <w:color w:val="111111"/>
          <w:sz w:val="28"/>
          <w:sz w:val="28"/>
          <w:szCs w:val="28"/>
          <w:rtl w:val="true"/>
          <w:lang w:bidi="fa-IR"/>
        </w:rPr>
        <w:t>فرهنگی در درگیریهای مسلحانه اخیر، مایه بروز سؤالاتی در مورد تعقیب عاملان آن نیز می 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به کرواسی و بوسنی و هرزگوین مربوط است، تأسیس دادگاه کیفری بین المللی، تعقیب و مجازات عاملان نقشهای شدید حقوق بشردوستانه در قلمرو دو کشور مزبور؛ از جمله، عاملان تخریب و ضبط اموال فرهنگی را ممکن می سازد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نوزدهم اعلامیه جهانی حقوق بشر در کتاب دایرة المعارف دانش بشر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حق آزادی عقیده و بیان دارد و حق مزبور شامل آن است که از داشتن عقاید خود بیم و اضطرابی نداشته باشد و در کسب اطلاعات و افکار و در اخذ و انتشار آن به تمام وسائل ممکن و بدون ملاحظات مرزی آزاد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محمد عاملی، جامع عباسی،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زین الدین جبعی عاملی،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خانواده،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المهور،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 محمد بن مکرم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سیدعبدالاعلی سبزواری، مهذب الاحکام،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سید محمد تقی موسویالخویی، الشروط،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خانواده،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کتاب النکاح،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المبسوط في فقه الامامیه،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المرأة فإنها تتوكل لزوجها في طلاق نفسها عند الفقهاء و فيه خلاف بين أصحابنا و الأظهر أنه لا يصح ذلك، و أما هل يصح أن يتوكل في طلاق ضرتها و غيرها من النساء؟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وجهان و عندي أنه لايمنع من ذلك مانع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الاماميه،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سید محمد باقر موسوی همدانی،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الاماميه،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الاماميه،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دخل و تصرف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لِلْمُطَلَّقاتِ مَتاعُ بِالْمَعْرُوفِ حَقًّا عَلَى 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الاية في حق مطلق المطلقات، و تعلیق ثبوت الحكم بوصف التقوى مشعر بالاستحباب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ربما الحق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المفوضة المفارقة من قبل الزوج بعيب و نحوه، أو من قبله و قبلها كالخلع، أو من اجنبی کالرضاع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 المتعة، بل هو خيرة المحكئ عن مختلف الفاضل، بل ظاهر المحکی عن المبسوط الميل اليه، الا أنه لم نجد لهما موافقا منا، و انما هذا الكلام و نحوه مذكور في كتب العامة، و لادلیلا سوی دعوى تنقيح المناط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تفسير العياشي باسناده عن علي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في كتاب الله مسجلة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جزاء الإحسان الا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في الكافر و المؤمن و البر و الفاجر، و من صنع اليه معروف فعليه أن يكافئ به، و ليس المكافأة أن يصنع كما صنع حتى يربى فإن صنعت كما صنع كان له الفضل بالابتداء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على بن ابراهيم، عن أبيه، عن ابن أبي عمير عن حفص بن البختري، عن أبی عبدالله عليه السلام في الرجل يطلق امرأته أيمتعها؟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أما يجب أن يكون من المحسنين، أما يجب أن يكون من 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باسناده عن محمد بن على بن محبوب، عن الكرخ، عن الحسن بن سيف، عن أخيه على، عن أبيه، عن عمرو بن شمر، عن جابر، عن أبي جعفر عليه السلام في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فَمَتِّعُوهُنَّ وَ سَرِّحُوهُنَّ سَراحاً جَمِيلاً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متعوهن جملوهن بما قدرتم عليه، فانهن يرجعن بكأبة و حیاء و هم عظیم و شماتة من أعدائهن، فان الله كريم يستحيي و يحب أهل الحياء إن أكرمكم عند الله أشدكم إكراما لحلائلهم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المهور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جوامع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انتشارات ناصر خسرو،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طلاق،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ایران نیز اشاره ای کوتاه به این مسأله کرده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الصيغة،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الرجعة،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أقسام الطلاق،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سیدابوالقاسم خویی،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نوزدهم</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اکبر قرشی،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دخل و تصرف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اول، مقدمات طلاق،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مقدمات و شرایط طلاق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دمشقیه،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از این روایت تعبیر به مقبول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للنبوى المقبول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 بيد من أخذ بالساق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بمقتضى الحصر على اختصاص الطلاق بمالك البضع على وجه ينافي الطلاق بالولاية دون الوكالة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سنن دار قطنی،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حماد الحارثي،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لا يستجاب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جعل الله بيده طلاق امرأته فهي تؤذيه و عنده ما يعطيها و لم يخل سبيلها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يستجيب الله لهم، بل يعذبهم و يوبخهم، أحدهم فرجل ابتلي بامرأة سوء فهي تؤذيه و تضاره و تعيب عليه دنیاه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يا رب خلصني منها، يقول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الجاهل، خلصتك منها، و جعلت طلاقها بيدك، و التفصي منها طلاقها، و انبذها عنك نبذ الجورب الخلق المزق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حاجی میرزا حسین نوری،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مسأله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1470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 قطع رحلی، ص</w:t>
      </w:r>
      <w:r>
        <w:rPr>
          <w:rFonts w:eastAsia="IRNazanin" w:cs="IRNazanin"/>
          <w:b w:val="false"/>
          <w:bCs w:val="false"/>
          <w:i w:val="false"/>
          <w:iCs w:val="false"/>
          <w:color w:val="333333"/>
          <w:sz w:val="20"/>
          <w:szCs w:val="20"/>
        </w:rPr>
        <w:t>523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مقدمات و شرایط طلاق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 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کاشف الغطا، تحریرالمجله،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خویی،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حسین حلی، بحوث الفقهيه،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محمدرضا گلپایگانی، مجمع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اراکی، استفتائات، چاپ اول،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محمدکاظم طباطبایی یزدی، ملحقات عروة الوثقی،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نفقات،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نفقات،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الفقهيه،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الفقهيه،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ص </w:t>
      </w:r>
      <w:r>
        <w:rPr>
          <w:rFonts w:eastAsia="IRNazanin" w:cs="IRNazanin"/>
          <w:b w:val="false"/>
          <w:bCs w:val="false"/>
          <w:i w:val="false"/>
          <w:iCs w:val="false"/>
          <w:color w:val="333333"/>
          <w:sz w:val="20"/>
          <w:szCs w:val="20"/>
        </w:rPr>
        <w:t>434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عروه،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الفقهيه،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 حسبی، به کارهایی اطلاق می شود که مورد نیاز عموم است و جامعه هرگز نمی تواند از آن بی نیاز باشد و مطالعه مبحث آن در کتب فقهی، نشانگر این است که فقها تصدی حسبه را نوعی ولایت تلقی نموده اند و آن را جزء ضروری ترین وظایف و اختیارات فقیه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این که امور حسبیه از موارد امر به معروف و نهی از منکر است و اجرای آن اختصاص به فقیه نخواهد داشت، مردود می باشد؛ زیرا مواردی مانند قضاوت که از مصادیق بارز حسبد شمرده می شود، بدون داشتن شرایط فقاهت و عدالت، مشروعیت نخواهد داشت؛ چرا که گرفتن حقوق افراد، در بسیاری از موارد با تصرفات در اموال و انفس همراه می باشد که احتیاج به مشروعیت ولایت در این گونه تصرفات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برخی این امور را از موارد ولایت فقیه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ابوالقاسم خویی، التنقيح، الاجتهاد و التقليد،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امتناع شخصی، فقیه به عنوان صاحب حق تصرف در امور اشخاص ممتنع، تصمیم می گیرد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 چاپ سنگی، قطع رحلی، ص</w:t>
      </w:r>
      <w:r>
        <w:rPr>
          <w:rFonts w:eastAsia="IRNazanin" w:cs="IRNazanin"/>
          <w:b w:val="false"/>
          <w:bCs w:val="false"/>
          <w:i w:val="false"/>
          <w:iCs w:val="false"/>
          <w:color w:val="333333"/>
          <w:sz w:val="20"/>
          <w:szCs w:val="20"/>
        </w:rPr>
        <w:t>523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قضا</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الفقهيه،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جدید در مسائل حقوقی،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الجصاص، 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حبيب ماوردی، الحاوی الکبیر،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الجزیری، الفقه على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سألت اباعبدالله او اباجعفر علیهما السلام عن رجل اقيم عليه الحد في الدنيا ايعاقب في الآخرة،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اکرم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هاشمی، مقالات فقهيه،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الجزیری، الفقه على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نهايه، ص </w:t>
      </w:r>
      <w:r>
        <w:rPr>
          <w:rFonts w:eastAsia="IRNazanin" w:cs="IRNazanin"/>
          <w:b w:val="false"/>
          <w:bCs w:val="false"/>
          <w:i w:val="false"/>
          <w:iCs w:val="false"/>
          <w:color w:val="333333"/>
          <w:sz w:val="20"/>
          <w:szCs w:val="20"/>
        </w:rPr>
        <w:t>720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حلی، 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خوانساری، جامع المدارك،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نکت النهایه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مجموعه الجوامع الفقهيه،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شرایع،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المحققین، ایضاح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اول، الدروس الشرعية،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مسالك الأفهام في شرح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هندی، 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شهید ثانی، مسالک،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شرایع،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الفقه على المذاهب الأربعه،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حلی، 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مقنعه،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الجزیری، الفقه على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الجزيری، الفقه على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مرآة العقول،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کتاب العين؛ المعجم الوسيط،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جواد کاظمی، مسالك الافهام الى آيات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هندی، 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سیداحمد خوانساری، جامع المدارك،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حبیب زاده، بررسی محاربه و افساد في الأرض،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محاربه و افساد في الأرض،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کاظمی، مسالك الافهام الى آيات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صابونی، صفوة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فخر رازی، مفاتیح الغیب،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رشید رضا،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نیشابوری، غرائب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محمدجعفر حبیب زاده، بررسی محاربه و افساد في الأرض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متن روایت اسماعیل بن فضل را به شهید نسبت داده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آنچه را شیخ به عنوان نظر فقهای اهل سنت نقل کرده، به شیخ نسبت داده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رضا، 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ارشاد الاذهان،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محقق حلی، 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شهید ثانی، 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مسالك شهيد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الجزيری، الفقه على المذاهب الأربعة،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تحرير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تجرید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برادری در غیر ولادت به معنای مشارکت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تحف العقول،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تحف العقول،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ذیل کفر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تحف العقول،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ذیل رد</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فاضل هندی، 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مبسوط،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اردبیلی، مجمع الفائدة 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زحیلی، الفقه الاسلامی،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صدوق، 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بحث را حاج آقا رضا همدانی در 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صواعق المحرقه،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مقنعه،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حلی، 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مغنیه، فقه امام صادق علیه السلام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مغنی،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مختصر النافع،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سید احمد خوانساری، جامع المدارک،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صدر، تأسیس الشیعه،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 مفيد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شیرازی، الفقه،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شیخ طوسی، 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سرخسی، مبسوط،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شیخ طوسی، 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ابن قدامه، 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ادامه حدیث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به نقل از شیخ</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آقارضا همدانی، مصباح الفقاهه،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لمعه،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نماز میت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شیخ طوسی، 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رضا همدانی، مصباح الفقاهه،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اردبیلی، مجمع الفائدة 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احکام ماه رمضان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هندی، کشف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نراقی، مستند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امام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سید محمد شیرازی، الفقه،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شیرازی، الفقه،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رشیدرضا،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فخر رازی، تفسیر کبیر،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رشیدرضا،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جواد حسینی عاملی، مفتاح الكرامه،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شیرازی، الفقه،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نشر اعلام اسلامی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مدنی، حقوق اساسی در جمهوری اسلامی ایران،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آزاد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کیهان فرهنگی، سال نهم، شماره دوم</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تحقیق در دو نظام جهانی حقوق بشر، ص</w:t>
      </w:r>
      <w:r>
        <w:rPr>
          <w:rFonts w:eastAsia="IRNazanin" w:cs="IRNazanin"/>
          <w:b w:val="false"/>
          <w:bCs w:val="false"/>
          <w:i w:val="false"/>
          <w:iCs w:val="false"/>
          <w:color w:val="333333"/>
          <w:sz w:val="20"/>
          <w:szCs w:val="20"/>
        </w:rPr>
        <w:t>403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ناصرزاده، اعلامیه های حقوق بشر،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فرانسه، مصوب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گفتارهایی در حقوق عمومی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سیدجلال الدین مدنی، حقوق اساسی و نهادهای اساسی جمهوری اسلامی ایران،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آزاد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كيهان فرهنگی، سال نهم، شماره دوم</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مجموعه آثار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مدنی، حقوق اساسی در جمهوری اسلامی ایران،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منتسکیو، روح القوانين، ص</w:t>
      </w:r>
      <w:r>
        <w:rPr>
          <w:rFonts w:eastAsia="IRNazanin" w:cs="IRNazanin"/>
          <w:b w:val="false"/>
          <w:bCs w:val="false"/>
          <w:i w:val="false"/>
          <w:iCs w:val="false"/>
          <w:color w:val="333333"/>
          <w:sz w:val="20"/>
          <w:szCs w:val="20"/>
        </w:rPr>
        <w:t>294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و اهمیت آن از دیدگاه اسلام و امام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پاسدار اسلام، شماره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ابوسعیدی، حقوق بشر و سیر تکامل آن در غرب،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آگوستین در قرن پنجم،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صرف تألیف کتاب شهر خدا کرد و شهر آرمانی موضوع کتاب خود را سرزمین بهشت آسا و مأوای ابدی مسیحیان می پنداشت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نجومیان، زمینه حقوق تطبیقی در نظامهای حقوقی اسلام، فرانسه، انگلیس، روسیه، ص </w:t>
      </w:r>
      <w:r>
        <w:rPr>
          <w:rFonts w:eastAsia="IRNazanin" w:cs="IRNazanin"/>
          <w:b w:val="false"/>
          <w:bCs w:val="false"/>
          <w:i w:val="false"/>
          <w:iCs w:val="false"/>
          <w:color w:val="333333"/>
          <w:sz w:val="20"/>
          <w:szCs w:val="20"/>
        </w:rPr>
        <w:t>39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منصوری لاریجانی، سیر تحول حقوق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محمودی،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عوامل آزادی فرد در فلسفه سیاسی هابز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كيهان فرهنگی، شماره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M.M.G old Smith,Hobbes's Science of Politics,p</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Ramon M.Lemos,Hobbes and Locke Porrer and Consent, p</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منصوری لاریجانی، سیر تحول حقوق بشر،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ژاک روسو، قرارداد اجتماعی،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منصوری لاریجانی، سیر تحول حقوق بشر،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قرارداد اجتماعی،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استوارت میل، رساله درباره آزادی،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آزاد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كيهان فرهنگی، سال نهم،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اصل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سال هشتم،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فرانسه، مصوب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ابوالفضل قاضی، گفتارهایی در حقوق عمومی،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یا هرج و 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پاسدار اسلام، سال دوم،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آزاد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سال نهم،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تعلیم وتربیت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اسپینوزا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پوپر، درس این قرن،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ناصرزاده، اعلامیه های حقوق بشر،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استوارت میل، رساله درباره آزادی،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حوزه، سال پنجم،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الحق على كل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الحق و ان كان فيه هلاكك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الحق في الخوف و الامن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إلى سبيل ربك بالحكمة والموعظة الحسنه و جادلهم بالتي هي احسن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تُجادِلُوا أَهْلَ الْكِتابِ الَّا بِالَّتِي هِيَ أَحْسَنُ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ءاله مَعَ اللَّهُ ، قُلْ هاتُوا بُرْهانَكُمْ انَّ کنتم صادقین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 لَنْ يَدْخُلَ الْجَنَّةَ الَّا مَنْ كانَ هُوداً أَوْ نصارا تِلْكَ أَمانِيُّهُمْ قُلْ هاتُوا بُرْهانَكُمْ انَّ کنتم صادقین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حوزه، سال هفتم،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استقلال و آزادی در جمهوری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پاسدار اسلام، سال دوم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تحقیق در دو نظام حقوق جهانی بشر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الهامی، اسلام و حقوق طبیعی،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ناصرزاده، اعلامیه های حقوق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اعلامیه اسلامی حقوق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اصل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جلال الدین مدنی، حقوق اساسی و نهادهای سیاسی ج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ص </w:t>
      </w:r>
      <w:r>
        <w:rPr>
          <w:rFonts w:eastAsia="IRNazanin" w:cs="IRNazanin"/>
          <w:b w:val="false"/>
          <w:bCs w:val="false"/>
          <w:i w:val="false"/>
          <w:iCs w:val="false"/>
          <w:color w:val="333333"/>
          <w:sz w:val="20"/>
          <w:szCs w:val="20"/>
        </w:rPr>
        <w:t>77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ناصرزاده، اعلامیه های حقوق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اعلامید حقوق بشر و شهروندان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ناصرزاده، همان، ص </w:t>
      </w:r>
      <w:r>
        <w:rPr>
          <w:rFonts w:eastAsia="IRNazanin" w:cs="IRNazanin"/>
          <w:b w:val="false"/>
          <w:bCs w:val="false"/>
          <w:i w:val="false"/>
          <w:iCs w:val="false"/>
          <w:color w:val="333333"/>
          <w:sz w:val="20"/>
          <w:szCs w:val="20"/>
        </w:rPr>
        <w:t>10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رویدادها،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کمیسیون حقوق بشر اسلامی، گزارش نماینده ویژه کمیسیون حقوق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اجلاس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 حقوق بشر، ژانویه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ذوالعين،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حمایت بین المللی از حقوق اقلیتها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تحقیقات حقوقی، ص </w:t>
      </w:r>
      <w:r>
        <w:rPr>
          <w:rFonts w:eastAsia="IRNazanin" w:cs="IRNazanin"/>
          <w:b w:val="false"/>
          <w:bCs w:val="false"/>
          <w:i w:val="false"/>
          <w:iCs w:val="false"/>
          <w:color w:val="333333"/>
          <w:sz w:val="20"/>
          <w:szCs w:val="20"/>
        </w:rPr>
        <w:t>447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اسلام و همزیستی مسالمت آمیز،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اسلام و حقوق بشر، نشر کتابخانه صدر،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اسلام و همزیستی مسالمت آمیز،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احمد رشید، اسلام و حقوق بین الملل عمومی،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ویل دورانت، تاریخ تمدن،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جرجی زیدان، تمدن اسلام و عرب،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پرتو اسلام،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اسلام و همزیستی مسالمت آمیز،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 ماله، تاریخ قرن نوزدهم،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ذوالعين،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حمایت بین المللی از حقوق اقلیتها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تحقیقات حقوقی،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ضیائی بیگدلی، حقوق بین الملل عمومی،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فراسیون، راهنمای سازمان ملل متحد،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متین دفتری، حقوق بشر و حمایت بین المللی آن، ص </w:t>
      </w:r>
      <w:r>
        <w:rPr>
          <w:rFonts w:eastAsia="IRNazanin" w:cs="IRNazanin"/>
          <w:b w:val="false"/>
          <w:bCs w:val="false"/>
          <w:i w:val="false"/>
          <w:iCs w:val="false"/>
          <w:color w:val="333333"/>
          <w:sz w:val="20"/>
          <w:szCs w:val="20"/>
        </w:rPr>
        <w:t>128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حقوق جهانی بشر، ص </w:t>
      </w:r>
      <w:r>
        <w:rPr>
          <w:rFonts w:eastAsia="IRNazanin" w:cs="IRNazanin"/>
          <w:b w:val="false"/>
          <w:bCs w:val="false"/>
          <w:i w:val="false"/>
          <w:iCs w:val="false"/>
          <w:color w:val="333333"/>
          <w:sz w:val="20"/>
          <w:szCs w:val="20"/>
        </w:rPr>
        <w:t>224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ناصرزاده، اعلامیه های حقوق بشر،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ذوالعين،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حمایت بین المللی از حقوق اقلیتها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تحقیقات حقوقی،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العابدین قربانی، اسلام و حقوق بشر،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روح الدين الاسلامی،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عدالت و قضا در اسلام،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ترجمه علی اصغر فقیهی،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همان، خطبه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جرجی زیدان، تاریخ تمدن اسلام،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احمد رشید، اسلام و حقوق بین المللی عمومی،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تذكرة الفقهاء، چاپ سنگی،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جهاد،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خامنه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 حکم فقهی صابئان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ترجمه درس خارج فقه،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ماوردی، الحاوي الكبير،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علامه حلی، قواعد الاحکام در الينابيع الفقهيه،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علامه حلی، تذكرة الفقهاء، كتاب جهاد؛ علی اکبر کلانتری،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چشم اندازی به نظام جزیه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فقه اهل بیت،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 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صحاح اللغة، ذیل حرف جیم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کلانتری،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اندازی به نظام جزيد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اهل بیت،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طباطبایی، زمین در فقه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ماوردی، الاحکام السلطانية،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ابراهيم حسن، تاریخ سیاسی اسلام، ترجمه ابوالقاسم پاینده،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محمد خدوری، جنگ و صلح در قانون اسلام، ترجمه غلامرضا سعیدی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أبو يوسف، الخراج،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یحیی بن آدم، الخراج،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دانیل دنت، مالیات سرانه و تأثیر آن در گرایش به اسلام، ترجمه محمدعلی موحد،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طباطبایی، زمین در فقه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حقوق اقلیتها بر اساس قرارداد ذمه،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طباطبایی، همان،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دانیل دنت، همان؛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ابراهيم حسن، همان؛ کلانتری،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تاریخ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جرجی زیدان، تاریخ تمدن اسلام و عرب، ترجمه على جواهر 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بلاذری، فتوح البلدان،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چاپ سنگی؛ تحریرالکلام،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مؤسسه طوس؛ ماوردی، الاحکام السلطانية،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لمعه دمشقية،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الينابيع الفقهيه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في أهل الجزية يؤخذ من أموالهم و مواشيهم شيء سوى الجزية؟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اخذت الجزية من أهل الكتاب فليس على أموالهم و مواشيهم شيء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احادیث ذیل توجه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للإمام أكثر من الجزية إن شاء الامام وضع ذلك على رؤوسهم، و ليس على أموالهم شيء و إن شاء فعلى أموالهم و ليس على رؤوسهم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 إن أخذ من رؤوسهم الجزية فلا سبيل على أرضهم و إن أخذ من أرضهم فلا سبيل على رؤوسهم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حقوق اقلیتها بر اساس قرارداد ذمه، ص </w:t>
      </w:r>
      <w:r>
        <w:rPr>
          <w:rFonts w:eastAsia="IRNazanin" w:cs="IRNazanin"/>
          <w:b w:val="false"/>
          <w:bCs w:val="false"/>
          <w:i w:val="false"/>
          <w:iCs w:val="false"/>
          <w:color w:val="333333"/>
          <w:sz w:val="20"/>
          <w:szCs w:val="20"/>
        </w:rPr>
        <w:t>116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کلانتری،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چشم اندازی به نظام جزیه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اهل بیت،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زین العابدین قربانی، اسلام و حقوق بشر،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الدعوة الى الاسلام،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زنجانی، حقوق اقلیتها بر اساس قرارداد ذمه،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مقداد بن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کنزالعرفان،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طبرسی، 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زمخشری،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شیخ طوسی، 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مکتب الأعلام الاسلامی؛ تفسیر جلالین،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محمد حسین طباطبایی،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جواد کاظمی، 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انتشارات مرتضوی؛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دار الكتب الاسلامیه؛ قمی مشهدی، کنز الدقائق،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وزارت فرهنگ و ارشاد اسلامی؛ محمد رشيد رضا، تفسير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چاپ بیروت؛ ابي الحسن ماوردی، 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کلانتری، همان؛ عمید زنجانی، 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سیوری، کنز العرفان،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زمخشری،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قمی مشهدی، کنز الدقائق،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المكتبة المرتضويه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الخلاف،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سیوری، همان؛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ابن حزم اندلسی، المحلی،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چاپ بیروت؛ علامه حلی،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مؤسسۀ طوس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کلانتری،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جلال الدین سیوطی و محلی، تفسیر جلالین،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محمدرشید رضا، المنار،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ماوردی، 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همان؛ عمید زنجانی، حقوق اقلیتها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راغب اصفهانی، 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تذكرة الفقها؛ شیخ طوسی، 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أبويوسف، الخراج،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بلاذری، فتوح البلدان،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زنجانی، 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ضیائی بیگدلی، اسلام و حقوق بین الملل،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به نقل از احمدرشید، اسلام و حقوق بین الملل عمومی،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حمیدالله، حقوق و روابط بین الملل در اسلام، ترجمه مصطفی محقق داماد،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مرکز نشر علوم اسلامی، آذر ماه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جهاد،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مبحث 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اقلیتها بر اساس قرارداد 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عمید زنجانی، از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علامه حلی،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تحرير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 کافران به مسجدها و مکانهای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تحريرالاحکام،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زنجانی، عباسعلی، فقه سیاسی،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مالکی، اوزاعی و زیدی به این مبنا قائلند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حنبلی، شافعی، ظاهری و شیعی به این دیدگاه معتقدند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همان،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احمد حسینی،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اصول و روابط بین المللی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مرتضی مطهری، وحی و نبوت،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 اهل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مقالات و بررسیها،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دانشکده الهیات تهران؛ سیدابوالقاسم خویی، التنقيح،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شیخ طوسی، فقه المعالم،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شیخ مفید، مستمسک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ابراهیم جناتی،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 ذاتی مطلق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کیهان فرهنگی،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عمید زنجانی، همان،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فاضل لنکرانی، جامع المسائل استفتائات،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معتقد است که کفار اهل کتاب پاک هستند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عابدینی،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بودن ذاتی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دفتر تبلیغات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ناپاکی کافران و مشرکان در نگاه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ناپاکی کافران و مشرکان از نگاه دلیل 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شواهدی بر پا کی ذاتی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و ازدواج با کافران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الكلام،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چاپ بیروت؛ ابوالقاسم خویی، مبانی تكملة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معرفت،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 اهل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دادرسی،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سال دوم، آذر و دیماه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دیات النفس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پناه، فتاوی ابن الجنيد،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مختلف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وسائل،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ابن اثیر، تاریخ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دیات النفس</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کسانی که ولدالزنا را مسلمان ندانند گرچه به ظاهر ایمان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خود بر خلاف مبانی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سیدمرتضی، الانتصار،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 اهل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دادرسی،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هاشمی، حقوق اساسی جمهوری اسلامی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حمیدالله، حقوق و روابط بین الملل در اسلام ترجمه مصطفی محقق داماد،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high command of the Union Forces</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Lieber Code</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reproduction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309.xml"/><Relationship Id="rId317" Type="http://schemas.openxmlformats.org/officeDocument/2006/relationships/footnotes" Target="footnotes.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81408</Words>
  <Characters>306539</Characters>
  <CharactersWithSpaces>385313</CharactersWithSpaces>
  <Paragraphs>2879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2026-08-27T06:27:28Z</dcterms:created>
  <dc:creator>ghaemiyeh.com</dc:creator>
  <dc:description/>
  <dc:language>en-US</dc:language>
  <cp:lastModifiedBy/>
  <dcterms:modified xsi:type="dcterms:W3CDTF">2026-08-27T09:57:42Z</dcterms:modified>
  <cp:revision>1</cp:revision>
  <dc:subject/>
  <dc:title>حقوق در آینه فقه</dc:title>
</cp:coreProperties>
</file>

<file path=docProps/custom.xml><?xml version="1.0" encoding="utf-8"?>
<Properties xmlns="http://schemas.openxmlformats.org/officeDocument/2006/custom-properties" xmlns:vt="http://schemas.openxmlformats.org/officeDocument/2006/docPropsVTypes"/>
</file>